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August 6, 2024 </w:t>
      </w:r>
    </w:p>
    <w:p>
      <w:pPr>
        <w:pStyle w:val="TextBody"/>
        <w:bidi w:val="0"/>
        <w:spacing w:lineRule="auto" w:line="288" w:before="1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California Resources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(888) 848-4754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4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California Resources Corporation (the “Company”) issued a press release announcing its financial condition and results of operations for the three and six months ended June 30, 2024. A copy of the press release is furnished as Exhibit 99.1 to this report on Form 8-K, and is incorporated herein by reference.</w:t>
      </w:r>
    </w:p>
    <w:p>
      <w:pPr>
        <w:pStyle w:val="TextBody"/>
        <w:bidi w:val="0"/>
        <w:spacing w:lineRule="auto" w:line="288" w:before="24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bidi w:val="0"/>
        <w:spacing w:lineRule="auto" w:line="276" w:before="480" w:after="20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q2erex991.htm">
              <w:r>
                <w:rPr>
                  <w:rStyle w:val="InternetLink"/>
                  <w:rFonts w:ascii="Times New Roman;sans-serif" w:hAnsi="Times New Roman;sans-serif"/>
                  <w:b w:val="false"/>
                  <w:color w:val="0000FF"/>
                  <w:sz w:val="20"/>
                  <w:u w:val="single"/>
                </w:rPr>
                <w:t>Press Release dated August 6, 2024.</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400" w:after="283"/>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4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6,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828800"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533400"/>
                    </a:xfrm>
                    <a:prstGeom prst="rect">
                      <a:avLst/>
                    </a:prstGeom>
                  </pic:spPr>
                </pic:pic>
              </a:graphicData>
            </a:graphic>
          </wp:inline>
        </w:drawing>
      </w:r>
      <w:r>
        <w:rPr>
          <w:color w:val="000000"/>
        </w:rPr>
        <w:t>                                </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California Resources Reports Second Quarter 2024 Financial and Operating Results</w:t>
      </w:r>
    </w:p>
    <w:p>
      <w:pPr>
        <w:pStyle w:val="TextBody"/>
        <w:bidi w:val="0"/>
        <w:spacing w:before="0" w:after="0"/>
        <w:jc w:val="center"/>
        <w:rPr/>
      </w:pPr>
      <w:r>
        <w:rPr/>
      </w:r>
    </w:p>
    <w:p>
      <w:pPr>
        <w:pStyle w:val="TextBody"/>
        <w:bidi w:val="0"/>
        <w:spacing w:lineRule="auto" w:line="268" w:before="0" w:after="0"/>
        <w:jc w:val="center"/>
        <w:rPr>
          <w:rFonts w:ascii="Franklin Gothic Book;sans-serif" w:hAnsi="Franklin Gothic Book;sans-serif"/>
          <w:b w:val="false"/>
          <w:i/>
          <w:color w:val="000000"/>
          <w:sz w:val="22"/>
        </w:rPr>
      </w:pPr>
      <w:r>
        <w:rPr>
          <w:rFonts w:ascii="Franklin Gothic Book;sans-serif" w:hAnsi="Franklin Gothic Book;sans-serif"/>
          <w:b w:val="false"/>
          <w:i/>
          <w:color w:val="000000"/>
          <w:sz w:val="22"/>
        </w:rPr>
        <w:t>Increasing quarterly dividend by 25%, enhancing cash returns to shareholders</w:t>
      </w:r>
    </w:p>
    <w:p>
      <w:pPr>
        <w:pStyle w:val="TextBody"/>
        <w:bidi w:val="0"/>
        <w:spacing w:before="0" w:after="0"/>
        <w:jc w:val="left"/>
        <w:rPr/>
      </w:pPr>
      <w:r>
        <w:rPr/>
      </w:r>
    </w:p>
    <w:p>
      <w:pPr>
        <w:pStyle w:val="TextBody"/>
        <w:bidi w:val="0"/>
        <w:spacing w:lineRule="auto" w:line="268" w:before="0" w:after="0"/>
        <w:jc w:val="center"/>
        <w:rPr>
          <w:rFonts w:ascii="Franklin Gothic Book;sans-serif" w:hAnsi="Franklin Gothic Book;sans-serif"/>
          <w:b w:val="false"/>
          <w:i/>
          <w:color w:val="000000"/>
          <w:sz w:val="22"/>
        </w:rPr>
      </w:pPr>
      <w:r>
        <w:rPr>
          <w:rFonts w:ascii="Franklin Gothic Book;sans-serif" w:hAnsi="Franklin Gothic Book;sans-serif"/>
          <w:b w:val="false"/>
          <w:i/>
          <w:color w:val="000000"/>
          <w:sz w:val="22"/>
        </w:rPr>
        <w:t xml:space="preserve">Targeting $235 million in Aera merger synergies </w:t>
      </w:r>
    </w:p>
    <w:p>
      <w:pPr>
        <w:pStyle w:val="TextBody"/>
        <w:bidi w:val="0"/>
        <w:spacing w:before="0" w:after="0"/>
        <w:jc w:val="left"/>
        <w:rPr/>
      </w:pPr>
      <w:r>
        <w:rPr/>
      </w:r>
    </w:p>
    <w:p>
      <w:pPr>
        <w:pStyle w:val="TextBody"/>
        <w:bidi w:val="0"/>
        <w:spacing w:lineRule="auto" w:line="268" w:before="0" w:after="0"/>
        <w:jc w:val="center"/>
        <w:rPr/>
      </w:pPr>
      <w:r>
        <w:rPr>
          <w:rFonts w:ascii="Franklin Gothic Book;sans-serif" w:hAnsi="Franklin Gothic Book;sans-serif"/>
          <w:b w:val="false"/>
          <w:i/>
          <w:color w:val="000000"/>
          <w:sz w:val="22"/>
        </w:rPr>
        <w:t>New EPA Class VI permit application to expand Company's carbon platform, doubling Central California CO</w:t>
      </w:r>
      <w:r>
        <w:rPr>
          <w:rFonts w:ascii="Franklin Gothic Book;sans-serif" w:hAnsi="Franklin Gothic Book;sans-serif"/>
          <w:b w:val="false"/>
          <w:i/>
          <w:color w:val="000000"/>
          <w:sz w:val="13"/>
        </w:rPr>
        <w:t>2</w:t>
      </w:r>
      <w:r>
        <w:rPr>
          <w:color w:val="000000"/>
        </w:rPr>
        <w:t xml:space="preserve"> </w:t>
      </w:r>
      <w:r>
        <w:rPr>
          <w:rFonts w:ascii="Franklin Gothic Book;sans-serif" w:hAnsi="Franklin Gothic Book;sans-serif"/>
          <w:b w:val="false"/>
          <w:i/>
          <w:color w:val="000000"/>
          <w:sz w:val="22"/>
        </w:rPr>
        <w:t xml:space="preserve">potential storage capacity </w:t>
      </w:r>
    </w:p>
    <w:p>
      <w:pPr>
        <w:pStyle w:val="TextBody"/>
        <w:bidi w:val="0"/>
        <w:spacing w:before="0" w:after="0"/>
        <w:jc w:val="center"/>
        <w:rPr/>
      </w:pPr>
      <w:r>
        <w:rPr/>
      </w:r>
    </w:p>
    <w:p>
      <w:pPr>
        <w:pStyle w:val="TextBody"/>
        <w:bidi w:val="0"/>
        <w:spacing w:lineRule="auto" w:line="268" w:before="0" w:after="0"/>
        <w:jc w:val="both"/>
        <w:rPr/>
      </w:pPr>
      <w:r>
        <w:rPr>
          <w:rFonts w:ascii="Franklin Gothic Book;sans-serif" w:hAnsi="Franklin Gothic Book;sans-serif"/>
          <w:b/>
          <w:color w:val="000000"/>
          <w:sz w:val="24"/>
        </w:rPr>
        <w:t>LONG BEACH, California, August 6, 2024</w:t>
      </w:r>
      <w:r>
        <w:rPr>
          <w:color w:val="000000"/>
        </w:rPr>
        <w:t xml:space="preserve"> </w:t>
      </w:r>
      <w:r>
        <w:rPr>
          <w:rFonts w:ascii="Franklin Gothic Book;sans-serif" w:hAnsi="Franklin Gothic Book;sans-serif"/>
          <w:b w:val="false"/>
          <w:color w:val="000000"/>
          <w:sz w:val="24"/>
        </w:rPr>
        <w:t>- California Resources Corporation (NYSE: CRC) today reported financial and operating results for the second quarter of 2024. The Company plans to host a conference call and webcast at 1 p.m. ET (10 a.m. PT) on Wednesday, August 7, 2024. Participation details can be found within this release. In addition, supplemental slides have been posted to CRC’s website at www.crc.com.</w:t>
      </w:r>
    </w:p>
    <w:p>
      <w:pPr>
        <w:pStyle w:val="TextBody"/>
        <w:bidi w:val="0"/>
        <w:spacing w:before="0" w:after="0"/>
        <w:jc w:val="left"/>
        <w:rPr/>
      </w:pPr>
      <w:r>
        <w:rPr/>
      </w:r>
    </w:p>
    <w:p>
      <w:pPr>
        <w:pStyle w:val="TextBody"/>
        <w:bidi w:val="0"/>
        <w:spacing w:lineRule="auto" w:line="312"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Highlights:</w:t>
      </w:r>
    </w:p>
    <w:p>
      <w:pPr>
        <w:pStyle w:val="TextBody"/>
        <w:bidi w:val="0"/>
        <w:spacing w:before="0" w:after="0"/>
        <w:jc w:val="both"/>
        <w:rPr/>
      </w:pPr>
      <w:r>
        <w:rPr/>
      </w:r>
    </w:p>
    <w:p>
      <w:pPr>
        <w:pStyle w:val="TextBody"/>
        <w:bidi w:val="0"/>
        <w:spacing w:lineRule="auto" w:line="312" w:before="0" w:after="0"/>
        <w:jc w:val="both"/>
        <w:rPr>
          <w:rFonts w:ascii="Franklin Gothic Book;sans-serif" w:hAnsi="Franklin Gothic Book;sans-serif"/>
          <w:b w:val="false"/>
          <w:i/>
          <w:color w:val="000000"/>
          <w:sz w:val="24"/>
          <w:u w:val="single"/>
        </w:rPr>
      </w:pPr>
      <w:r>
        <w:rPr>
          <w:rFonts w:ascii="Franklin Gothic Book;sans-serif" w:hAnsi="Franklin Gothic Book;sans-serif"/>
          <w:b w:val="false"/>
          <w:i/>
          <w:color w:val="000000"/>
          <w:sz w:val="24"/>
          <w:u w:val="single"/>
        </w:rPr>
        <w:t>Aera Merger</w:t>
      </w:r>
    </w:p>
    <w:p>
      <w:pPr>
        <w:pStyle w:val="TextBody"/>
        <w:bidi w:val="0"/>
        <w:spacing w:lineRule="auto" w:line="312" w:before="0" w:after="0"/>
        <w:ind w:left="0" w:right="0" w:hanging="360"/>
        <w:jc w:val="both"/>
        <w:rPr/>
      </w:pPr>
      <w:r>
        <w:rPr>
          <w:color w:val="000000"/>
        </w:rPr>
        <w:t>•</w:t>
      </w:r>
      <w:r>
        <w:rPr>
          <w:rFonts w:ascii="Franklin Gothic Book;sans-serif" w:hAnsi="Franklin Gothic Book;sans-serif"/>
          <w:b w:val="false"/>
          <w:color w:val="000000"/>
          <w:sz w:val="24"/>
          <w:shd w:fill="FFFFFF" w:val="clear"/>
        </w:rPr>
        <w:t xml:space="preserve">Successfully closed the merger with Aera Energy on July 1, 2024. </w:t>
      </w:r>
      <w:r>
        <w:rPr>
          <w:rFonts w:ascii="Franklin Gothic Book;sans-serif" w:hAnsi="Franklin Gothic Book;sans-serif"/>
          <w:b w:val="false"/>
          <w:color w:val="000000"/>
          <w:sz w:val="24"/>
        </w:rPr>
        <w:t>Complementary assets grow Company's core base, expected to double cash flow, and adds quality assets to carbon business platform</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Increased Aera merger targeted synergies to $235 million which includes a reduction of $60 million</w:t>
      </w:r>
      <w:r>
        <w:rPr>
          <w:rFonts w:ascii="Franklin Gothic Book;sans-serif" w:hAnsi="Franklin Gothic Book;sans-serif"/>
          <w:b w:val="false"/>
          <w:color w:val="000000"/>
          <w:sz w:val="16"/>
          <w:shd w:fill="FFFFFF" w:val="clear"/>
        </w:rPr>
        <w:t>1</w:t>
      </w:r>
      <w:r>
        <w:rPr>
          <w:color w:val="000000"/>
          <w:shd w:fill="FFFFFF" w:val="clear"/>
        </w:rPr>
        <w:t xml:space="preserve"> </w:t>
      </w:r>
      <w:r>
        <w:rPr>
          <w:rFonts w:ascii="Franklin Gothic Book;sans-serif" w:hAnsi="Franklin Gothic Book;sans-serif"/>
          <w:b w:val="false"/>
          <w:color w:val="000000"/>
          <w:sz w:val="24"/>
          <w:shd w:fill="FFFFFF" w:val="clear"/>
        </w:rPr>
        <w:t xml:space="preserve">in annual interest expense and $25 million in additional operational synergies </w:t>
      </w:r>
    </w:p>
    <w:p>
      <w:pPr>
        <w:pStyle w:val="TextBody"/>
        <w:bidi w:val="0"/>
        <w:spacing w:before="0" w:after="0"/>
        <w:jc w:val="left"/>
        <w:rPr/>
      </w:pPr>
      <w:r>
        <w:rPr/>
      </w:r>
    </w:p>
    <w:p>
      <w:pPr>
        <w:pStyle w:val="TextBody"/>
        <w:bidi w:val="0"/>
        <w:spacing w:lineRule="auto" w:line="312" w:before="0" w:after="0"/>
        <w:jc w:val="both"/>
        <w:rPr>
          <w:rFonts w:ascii="Franklin Gothic Book;sans-serif" w:hAnsi="Franklin Gothic Book;sans-serif"/>
          <w:b w:val="false"/>
          <w:i/>
          <w:color w:val="000000"/>
          <w:sz w:val="24"/>
          <w:u w:val="single"/>
        </w:rPr>
      </w:pPr>
      <w:r>
        <w:rPr>
          <w:rFonts w:ascii="Franklin Gothic Book;sans-serif" w:hAnsi="Franklin Gothic Book;sans-serif"/>
          <w:b w:val="false"/>
          <w:i/>
          <w:color w:val="000000"/>
          <w:sz w:val="24"/>
          <w:u w:val="single"/>
        </w:rPr>
        <w:t>CRC</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Enhanced cash returns to shareholders through 25% increase in quarterly dividend; declared quarterly dividend of $0.3875/share to be paid in the third quarter of 2024</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rPr>
        <w:t>Generated $97 million of net cash provided by operating activities, n</w:t>
      </w:r>
      <w:r>
        <w:rPr>
          <w:rFonts w:ascii="Franklin Gothic Book;sans-serif" w:hAnsi="Franklin Gothic Book;sans-serif"/>
          <w:b w:val="false"/>
          <w:color w:val="000000"/>
          <w:sz w:val="24"/>
          <w:shd w:fill="FFFFFF" w:val="clear"/>
        </w:rPr>
        <w:t>et cash provided by operating activities before changes in operating assets and liabilities</w:t>
      </w:r>
      <w:r>
        <w:rPr>
          <w:rFonts w:ascii="Franklin Gothic Book;sans-serif" w:hAnsi="Franklin Gothic Book;sans-serif"/>
          <w:b w:val="false"/>
          <w:color w:val="000000"/>
          <w:sz w:val="13"/>
        </w:rPr>
        <w:t>2</w:t>
      </w:r>
      <w:r>
        <w:rPr>
          <w:color w:val="000000"/>
          <w:shd w:fill="FFFFFF" w:val="clear"/>
        </w:rPr>
        <w:t xml:space="preserve"> </w:t>
      </w:r>
      <w:r>
        <w:rPr>
          <w:rFonts w:ascii="Franklin Gothic Book;sans-serif" w:hAnsi="Franklin Gothic Book;sans-serif"/>
          <w:b w:val="false"/>
          <w:color w:val="000000"/>
          <w:sz w:val="24"/>
          <w:shd w:fill="FFFFFF" w:val="clear"/>
        </w:rPr>
        <w:t xml:space="preserve">of </w:t>
      </w:r>
      <w:r>
        <w:rPr>
          <w:rFonts w:ascii="Franklin Gothic Book;sans-serif" w:hAnsi="Franklin Gothic Book;sans-serif"/>
          <w:b w:val="false"/>
          <w:color w:val="000000"/>
          <w:sz w:val="24"/>
        </w:rPr>
        <w:t>$108</w:t>
      </w:r>
      <w:r>
        <w:rPr>
          <w:color w:val="000000"/>
          <w:shd w:fill="FFFFFF" w:val="clear"/>
        </w:rPr>
        <w:t xml:space="preserve"> </w:t>
      </w:r>
      <w:r>
        <w:rPr>
          <w:rFonts w:ascii="Franklin Gothic Book;sans-serif" w:hAnsi="Franklin Gothic Book;sans-serif"/>
          <w:b w:val="false"/>
          <w:color w:val="000000"/>
          <w:sz w:val="24"/>
          <w:shd w:fill="FFFFFF" w:val="clear"/>
        </w:rPr>
        <w:t xml:space="preserve">million and </w:t>
      </w:r>
      <w:r>
        <w:rPr>
          <w:rFonts w:ascii="Franklin Gothic Book;sans-serif" w:hAnsi="Franklin Gothic Book;sans-serif"/>
          <w:b w:val="false"/>
          <w:color w:val="000000"/>
          <w:sz w:val="24"/>
        </w:rPr>
        <w:t>$63 million of free cash flow</w:t>
      </w:r>
      <w:r>
        <w:rPr>
          <w:rFonts w:ascii="Franklin Gothic Book;sans-serif" w:hAnsi="Franklin Gothic Book;sans-serif"/>
          <w:b w:val="false"/>
          <w:color w:val="000000"/>
          <w:sz w:val="16"/>
        </w:rPr>
        <w:t>2</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Returned 142% of year-to-date free cash flow</w:t>
      </w:r>
      <w:r>
        <w:rPr>
          <w:rFonts w:ascii="Franklin Gothic Book;sans-serif" w:hAnsi="Franklin Gothic Book;sans-serif"/>
          <w:b w:val="false"/>
          <w:color w:val="000000"/>
          <w:sz w:val="13"/>
        </w:rPr>
        <w:t>2</w:t>
      </w:r>
      <w:r>
        <w:rPr>
          <w:rFonts w:ascii="Franklin Gothic Book;sans-serif" w:hAnsi="Franklin Gothic Book;sans-serif"/>
          <w:b w:val="false"/>
          <w:color w:val="000000"/>
          <w:sz w:val="24"/>
          <w:shd w:fill="FFFFFF" w:val="clear"/>
        </w:rPr>
        <w:t>, or $136 million, to shareholders including $93 million in share repurchases and $43 million in dividends</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 xml:space="preserve">Generated </w:t>
      </w:r>
      <w:r>
        <w:rPr>
          <w:rFonts w:ascii="Franklin Gothic Book;sans-serif" w:hAnsi="Franklin Gothic Book;sans-serif"/>
          <w:b w:val="false"/>
          <w:color w:val="000000"/>
          <w:sz w:val="24"/>
        </w:rPr>
        <w:t>$8</w:t>
      </w:r>
      <w:r>
        <w:rPr>
          <w:color w:val="000000"/>
          <w:shd w:fill="FFFFFF" w:val="clear"/>
        </w:rPr>
        <w:t xml:space="preserve"> </w:t>
      </w:r>
      <w:r>
        <w:rPr>
          <w:rFonts w:ascii="Franklin Gothic Book;sans-serif" w:hAnsi="Franklin Gothic Book;sans-serif"/>
          <w:b w:val="false"/>
          <w:color w:val="000000"/>
          <w:sz w:val="24"/>
          <w:shd w:fill="FFFFFF" w:val="clear"/>
        </w:rPr>
        <w:t xml:space="preserve">million of net income, </w:t>
      </w:r>
      <w:r>
        <w:rPr>
          <w:rFonts w:ascii="Franklin Gothic Book;sans-serif" w:hAnsi="Franklin Gothic Book;sans-serif"/>
          <w:b w:val="false"/>
          <w:color w:val="000000"/>
          <w:sz w:val="24"/>
        </w:rPr>
        <w:t>$42</w:t>
      </w:r>
      <w:r>
        <w:rPr>
          <w:color w:val="000000"/>
          <w:shd w:fill="FFFFFF" w:val="clear"/>
        </w:rPr>
        <w:t xml:space="preserve"> </w:t>
      </w:r>
      <w:r>
        <w:rPr>
          <w:rFonts w:ascii="Franklin Gothic Book;sans-serif" w:hAnsi="Franklin Gothic Book;sans-serif"/>
          <w:b w:val="false"/>
          <w:color w:val="000000"/>
          <w:sz w:val="24"/>
          <w:shd w:fill="FFFFFF" w:val="clear"/>
        </w:rPr>
        <w:t>million of adjusted net income</w:t>
      </w:r>
      <w:r>
        <w:rPr>
          <w:rFonts w:ascii="Franklin Gothic Book;sans-serif" w:hAnsi="Franklin Gothic Book;sans-serif"/>
          <w:b w:val="false"/>
          <w:color w:val="000000"/>
          <w:sz w:val="13"/>
        </w:rPr>
        <w:t>2</w:t>
      </w:r>
      <w:r>
        <w:rPr>
          <w:color w:val="000000"/>
          <w:shd w:fill="FFFFFF" w:val="clear"/>
        </w:rPr>
        <w:t xml:space="preserve"> </w:t>
      </w:r>
      <w:r>
        <w:rPr>
          <w:rFonts w:ascii="Franklin Gothic Book;sans-serif" w:hAnsi="Franklin Gothic Book;sans-serif"/>
          <w:b w:val="false"/>
          <w:color w:val="000000"/>
          <w:sz w:val="24"/>
        </w:rPr>
        <w:t>and adjusted EBITDAX</w:t>
      </w:r>
      <w:r>
        <w:rPr>
          <w:rFonts w:ascii="Franklin Gothic Book;sans-serif" w:hAnsi="Franklin Gothic Book;sans-serif"/>
          <w:b w:val="false"/>
          <w:color w:val="000000"/>
          <w:sz w:val="13"/>
        </w:rPr>
        <w:t xml:space="preserve">2 </w:t>
      </w:r>
      <w:r>
        <w:rPr>
          <w:rFonts w:ascii="Franklin Gothic Book;sans-serif" w:hAnsi="Franklin Gothic Book;sans-serif"/>
          <w:b w:val="false"/>
          <w:color w:val="000000"/>
          <w:sz w:val="24"/>
        </w:rPr>
        <w:t xml:space="preserve">of $139 million </w:t>
      </w:r>
    </w:p>
    <w:p>
      <w:pPr>
        <w:pStyle w:val="TextBody"/>
        <w:bidi w:val="0"/>
        <w:spacing w:lineRule="auto" w:line="312" w:before="0" w:after="0"/>
        <w:ind w:left="0" w:right="0" w:hanging="360"/>
        <w:jc w:val="both"/>
        <w:rPr/>
      </w:pPr>
      <w:r>
        <w:rPr>
          <w:color w:val="000000"/>
        </w:rPr>
        <w:t>•</w:t>
      </w:r>
      <w:r>
        <w:rPr>
          <w:rFonts w:ascii="Franklin Gothic Book;sans-serif" w:hAnsi="Franklin Gothic Book;sans-serif"/>
          <w:b w:val="false"/>
          <w:color w:val="000000"/>
          <w:sz w:val="24"/>
        </w:rPr>
        <w:t xml:space="preserve">Delivered second quarter average net production of 76 MBoe/d and average net oil production of 47 thousand barrels of oil per day (MBo/d). </w:t>
      </w:r>
      <w:r>
        <w:rPr>
          <w:rFonts w:ascii="Franklin Gothic Book;sans-serif" w:hAnsi="Franklin Gothic Book;sans-serif"/>
          <w:b w:val="false"/>
          <w:color w:val="000000"/>
          <w:sz w:val="24"/>
          <w:shd w:fill="FFFFFF" w:val="clear"/>
        </w:rPr>
        <w:t xml:space="preserve">Gross production averaged </w:t>
      </w:r>
    </w:p>
    <w:p>
      <w:pPr>
        <w:pStyle w:val="TextBody"/>
        <w:bidi w:val="0"/>
        <w:spacing w:lineRule="auto" w:line="268" w:before="0" w:after="0"/>
        <w:jc w:val="both"/>
        <w:rPr/>
      </w:pPr>
      <w:r>
        <w:rPr>
          <w:rFonts w:ascii="Franklin Gothic Book;sans-serif" w:hAnsi="Franklin Gothic Book;sans-serif"/>
          <w:b w:val="false"/>
          <w:color w:val="000000"/>
          <w:sz w:val="24"/>
        </w:rPr>
        <w:t>93</w:t>
      </w:r>
      <w:r>
        <w:rPr>
          <w:color w:val="000000"/>
          <w:shd w:fill="FFFFFF" w:val="clear"/>
        </w:rPr>
        <w:t xml:space="preserve"> </w:t>
      </w:r>
      <w:r>
        <w:rPr>
          <w:rFonts w:ascii="Franklin Gothic Book;sans-serif" w:hAnsi="Franklin Gothic Book;sans-serif"/>
          <w:b w:val="false"/>
          <w:color w:val="000000"/>
          <w:sz w:val="24"/>
          <w:shd w:fill="FFFFFF" w:val="clear"/>
        </w:rPr>
        <w:t>MBoe/d</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rPr>
        <w:t xml:space="preserve">Exceeded first half 2024 production expectations through lower-than-expected natural field declines and in-line capital investments; entry-to-exit gross production declined by 2%, or 2 thousand barrels of oil equivalent per day (MBoe/d) on drilling and workover capital investments of $51 million </w:t>
      </w:r>
    </w:p>
    <w:p>
      <w:pPr>
        <w:pStyle w:val="TextBody"/>
        <w:bidi w:val="0"/>
        <w:spacing w:lineRule="auto" w:line="312"/>
        <w:ind w:left="0" w:right="0" w:hanging="360"/>
        <w:jc w:val="both"/>
        <w:rPr/>
      </w:pPr>
      <w:r>
        <w:rPr>
          <w:color w:val="000000"/>
        </w:rPr>
        <w:t>•</w:t>
      </w:r>
      <w:r>
        <w:rPr>
          <w:rFonts w:ascii="Franklin Gothic Book;sans-serif" w:hAnsi="Franklin Gothic Book;sans-serif"/>
          <w:b w:val="false"/>
          <w:color w:val="000000"/>
          <w:sz w:val="24"/>
          <w:shd w:fill="FFFFFF" w:val="clear"/>
        </w:rPr>
        <w:t>Submitted a 102 million metric ton (MMT) Class VI permit application to the EPA for the Carbon TerraVault VI (CTV VI) CO</w:t>
      </w:r>
      <w:r>
        <w:rPr>
          <w:rFonts w:ascii="Franklin Gothic Book;sans-serif" w:hAnsi="Franklin Gothic Book;sans-serif"/>
          <w:b w:val="false"/>
          <w:color w:val="000000"/>
          <w:sz w:val="13"/>
        </w:rPr>
        <w:t>2</w:t>
      </w:r>
      <w:r>
        <w:rPr>
          <w:color w:val="000000"/>
          <w:shd w:fill="FFFFFF" w:val="clear"/>
        </w:rPr>
        <w:t xml:space="preserve"> </w:t>
      </w:r>
      <w:r>
        <w:rPr>
          <w:rFonts w:ascii="Franklin Gothic Book;sans-serif" w:hAnsi="Franklin Gothic Book;sans-serif"/>
          <w:b w:val="false"/>
          <w:color w:val="000000"/>
          <w:sz w:val="24"/>
          <w:shd w:fill="FFFFFF" w:val="clear"/>
        </w:rPr>
        <w:t xml:space="preserve">reservoir in Central California bringing CTV's total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v:textbox>
                <w10:wrap type="none"/>
              </v:rect>
            </w:pict>
          </mc:Fallback>
        </mc:AlternateContent>
      </w:r>
    </w:p>
    <w:p>
      <w:pPr>
        <w:pStyle w:val="TextBody"/>
        <w:bidi w:val="0"/>
        <w:spacing w:lineRule="auto" w:line="312" w:before="0" w:after="0"/>
        <w:jc w:val="both"/>
        <w:rPr>
          <w:rFonts w:ascii="Franklin Gothic Book;sans-serif" w:hAnsi="Franklin Gothic Book;sans-serif"/>
          <w:b w:val="false"/>
          <w:color w:val="000000"/>
          <w:sz w:val="24"/>
          <w:shd w:fill="FFFFFF" w:val="clear"/>
        </w:rPr>
      </w:pPr>
      <w:r>
        <w:rPr>
          <w:rFonts w:ascii="Franklin Gothic Book;sans-serif" w:hAnsi="Franklin Gothic Book;sans-serif"/>
          <w:b w:val="false"/>
          <w:color w:val="000000"/>
          <w:sz w:val="24"/>
          <w:shd w:fill="FFFFFF" w:val="clear"/>
        </w:rPr>
        <w:t>potential storage capacity with Class VI permits submitted to the EPA to ~320 MMT. See CTV's Second Quarter 2024 Update for additional information</w:t>
      </w:r>
    </w:p>
    <w:p>
      <w:pPr>
        <w:pStyle w:val="TextBody"/>
        <w:bidi w:val="0"/>
        <w:spacing w:lineRule="auto" w:line="268" w:before="0" w:after="0"/>
        <w:jc w:val="both"/>
        <w:rPr>
          <w:rFonts w:ascii="Franklin Gothic Book;sans-serif" w:hAnsi="Franklin Gothic Book;sans-serif"/>
          <w:b w:val="false"/>
          <w:color w:val="000000"/>
          <w:sz w:val="24"/>
          <w:shd w:fill="FFFFFF" w:val="clear"/>
        </w:rPr>
      </w:pPr>
      <w:r>
        <w:rPr>
          <w:rFonts w:ascii="Franklin Gothic Book;sans-serif" w:hAnsi="Franklin Gothic Book;sans-serif"/>
          <w:b w:val="false"/>
          <w:color w:val="000000"/>
          <w:sz w:val="24"/>
          <w:shd w:fill="FFFFFF" w:val="clear"/>
        </w:rPr>
        <w:t>"These are exciting times for CRC as we successfully closed the merger with Aera Energy in early July," said Francisco Leon, CRC's President and Chief Executive Officer. "I am pleased with the CRC team's execution in the second quarter and we are working diligently with our new Aera colleagues on executing a comprehensive integration plan. We continue to identify additional avenues to further enhance shareholder value and accelerate momentum across our E&amp;P and carbon management businesses. We are committed to improving CRC’s cash flows and remain vigilant in our environmental stewardship. With the addition of Aera, we believe we are extremely well positioned in the years ahead to provide substantial value to CRC shareholders and stakeholders."</w:t>
      </w:r>
    </w:p>
    <w:p>
      <w:pPr>
        <w:pStyle w:val="TextBody"/>
        <w:bidi w:val="0"/>
        <w:spacing w:before="0" w:after="0"/>
        <w:jc w:val="both"/>
        <w:rPr/>
      </w:pPr>
      <w:r>
        <w:rPr/>
      </w:r>
    </w:p>
    <w:p>
      <w:pPr>
        <w:pStyle w:val="TextBody"/>
        <w:bidi w:val="0"/>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Second Quarter 2024 Financial and Operating Summary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rPr>
        <w:t>CRC reported net income of $8 million, or $0.11 per fully diluted share of common stock, and a</w:t>
      </w:r>
      <w:r>
        <w:rPr>
          <w:rFonts w:ascii="Franklin Gothic Book;sans-serif" w:hAnsi="Franklin Gothic Book;sans-serif"/>
          <w:b w:val="false"/>
          <w:color w:val="000000"/>
          <w:sz w:val="24"/>
          <w:shd w:fill="FFFFFF" w:val="clear"/>
        </w:rPr>
        <w:t>djusted net income</w:t>
      </w:r>
      <w:r>
        <w:rPr>
          <w:rFonts w:ascii="Franklin Gothic Book;sans-serif" w:hAnsi="Franklin Gothic Book;sans-serif"/>
          <w:b w:val="false"/>
          <w:color w:val="000000"/>
          <w:sz w:val="13"/>
        </w:rPr>
        <w:t>2</w:t>
      </w:r>
      <w:r>
        <w:rPr>
          <w:color w:val="000000"/>
          <w:shd w:fill="FFFFFF" w:val="clear"/>
        </w:rPr>
        <w:t xml:space="preserve"> </w:t>
      </w:r>
      <w:r>
        <w:rPr>
          <w:rFonts w:ascii="Franklin Gothic Book;sans-serif" w:hAnsi="Franklin Gothic Book;sans-serif"/>
          <w:b w:val="false"/>
          <w:color w:val="000000"/>
          <w:sz w:val="24"/>
          <w:shd w:fill="FFFFFF" w:val="clear"/>
        </w:rPr>
        <w:t xml:space="preserve">of </w:t>
      </w:r>
      <w:r>
        <w:rPr>
          <w:rFonts w:ascii="Franklin Gothic Book;sans-serif" w:hAnsi="Franklin Gothic Book;sans-serif"/>
          <w:b w:val="false"/>
          <w:color w:val="000000"/>
          <w:sz w:val="24"/>
        </w:rPr>
        <w:t>$42</w:t>
      </w:r>
      <w:r>
        <w:rPr>
          <w:color w:val="000000"/>
          <w:shd w:fill="FFFFFF" w:val="clear"/>
        </w:rPr>
        <w:t xml:space="preserve"> </w:t>
      </w:r>
      <w:r>
        <w:rPr>
          <w:rFonts w:ascii="Franklin Gothic Book;sans-serif" w:hAnsi="Franklin Gothic Book;sans-serif"/>
          <w:b w:val="false"/>
          <w:color w:val="000000"/>
          <w:sz w:val="24"/>
          <w:shd w:fill="FFFFFF" w:val="clear"/>
        </w:rPr>
        <w:t xml:space="preserve">million, or </w:t>
      </w:r>
      <w:r>
        <w:rPr>
          <w:rFonts w:ascii="Franklin Gothic Book;sans-serif" w:hAnsi="Franklin Gothic Book;sans-serif"/>
          <w:b w:val="false"/>
          <w:color w:val="000000"/>
          <w:sz w:val="24"/>
        </w:rPr>
        <w:t>$0.60</w:t>
      </w:r>
      <w:r>
        <w:rPr>
          <w:color w:val="000000"/>
          <w:shd w:fill="FFFFFF" w:val="clear"/>
        </w:rPr>
        <w:t xml:space="preserve"> </w:t>
      </w:r>
      <w:r>
        <w:rPr>
          <w:rFonts w:ascii="Franklin Gothic Book;sans-serif" w:hAnsi="Franklin Gothic Book;sans-serif"/>
          <w:b w:val="false"/>
          <w:color w:val="000000"/>
          <w:sz w:val="24"/>
          <w:shd w:fill="FFFFFF" w:val="clear"/>
        </w:rPr>
        <w:t xml:space="preserve">per fully diluted share. </w:t>
      </w:r>
      <w:r>
        <w:rPr>
          <w:rFonts w:ascii="Franklin Gothic Book;sans-serif" w:hAnsi="Franklin Gothic Book;sans-serif"/>
          <w:b w:val="false"/>
          <w:color w:val="000000"/>
          <w:sz w:val="24"/>
        </w:rPr>
        <w:t>Net cash provided by operating activities was $97 million.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shd w:fill="FFFFFF" w:val="clear"/>
        </w:rPr>
        <w:t xml:space="preserve">Gross production averaged </w:t>
      </w:r>
      <w:r>
        <w:rPr>
          <w:rFonts w:ascii="Franklin Gothic Book;sans-serif" w:hAnsi="Franklin Gothic Book;sans-serif"/>
          <w:b w:val="false"/>
          <w:color w:val="000000"/>
          <w:sz w:val="24"/>
        </w:rPr>
        <w:t>93</w:t>
      </w:r>
      <w:r>
        <w:rPr>
          <w:color w:val="000000"/>
          <w:shd w:fill="FFFFFF" w:val="clear"/>
        </w:rPr>
        <w:t xml:space="preserve"> </w:t>
      </w:r>
      <w:r>
        <w:rPr>
          <w:rFonts w:ascii="Franklin Gothic Book;sans-serif" w:hAnsi="Franklin Gothic Book;sans-serif"/>
          <w:b w:val="false"/>
          <w:color w:val="000000"/>
          <w:sz w:val="24"/>
          <w:shd w:fill="FFFFFF" w:val="clear"/>
        </w:rPr>
        <w:t xml:space="preserve">MBoe/d and net production averaged </w:t>
      </w:r>
      <w:r>
        <w:rPr>
          <w:rFonts w:ascii="Franklin Gothic Book;sans-serif" w:hAnsi="Franklin Gothic Book;sans-serif"/>
          <w:b w:val="false"/>
          <w:color w:val="000000"/>
          <w:sz w:val="24"/>
        </w:rPr>
        <w:t>76</w:t>
      </w:r>
      <w:r>
        <w:rPr>
          <w:color w:val="000000"/>
          <w:shd w:fill="FFFFFF" w:val="clear"/>
        </w:rPr>
        <w:t xml:space="preserve"> </w:t>
      </w:r>
      <w:r>
        <w:rPr>
          <w:rFonts w:ascii="Franklin Gothic Book;sans-serif" w:hAnsi="Franklin Gothic Book;sans-serif"/>
          <w:b w:val="false"/>
          <w:color w:val="000000"/>
          <w:sz w:val="24"/>
          <w:shd w:fill="FFFFFF" w:val="clear"/>
        </w:rPr>
        <w:t>MBoe/d, including net oil production of 47 MBo/d. Second quarter net production was negatively impacted by approximately 3 Mboe/d due to both scheduled maintenance and unplanned downtime at CRC's Elk Hills power plant. Average realized oil prices were 98% of Brent.</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shd w:fill="FFFFFF" w:val="clear"/>
        </w:rPr>
        <w:t>Operating costs declined 11% quarter-over-quarter to $</w:t>
      </w:r>
      <w:r>
        <w:rPr>
          <w:rFonts w:ascii="Franklin Gothic Book;sans-serif" w:hAnsi="Franklin Gothic Book;sans-serif"/>
          <w:b w:val="false"/>
          <w:color w:val="000000"/>
          <w:sz w:val="24"/>
        </w:rPr>
        <w:t>156</w:t>
      </w:r>
      <w:r>
        <w:rPr>
          <w:color w:val="000000"/>
          <w:shd w:fill="FFFFFF" w:val="clear"/>
        </w:rPr>
        <w:t xml:space="preserve"> </w:t>
      </w:r>
      <w:r>
        <w:rPr>
          <w:rFonts w:ascii="Franklin Gothic Book;sans-serif" w:hAnsi="Franklin Gothic Book;sans-serif"/>
          <w:b w:val="false"/>
          <w:color w:val="000000"/>
          <w:sz w:val="24"/>
          <w:shd w:fill="FFFFFF" w:val="clear"/>
        </w:rPr>
        <w:t xml:space="preserve">million. The decrease was primarily related to lower activity and natural gas prices, as well as vendor cost savings. </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shd w:fill="FFFFFF" w:val="clear"/>
        </w:rPr>
        <w:t xml:space="preserve">Capital investments totaled </w:t>
      </w:r>
      <w:r>
        <w:rPr>
          <w:rFonts w:ascii="Franklin Gothic Book;sans-serif" w:hAnsi="Franklin Gothic Book;sans-serif"/>
          <w:b w:val="false"/>
          <w:color w:val="000000"/>
          <w:sz w:val="24"/>
        </w:rPr>
        <w:t>$34</w:t>
      </w:r>
      <w:r>
        <w:rPr>
          <w:color w:val="000000"/>
          <w:shd w:fill="FFFFFF" w:val="clear"/>
        </w:rPr>
        <w:t xml:space="preserve"> </w:t>
      </w:r>
      <w:r>
        <w:rPr>
          <w:rFonts w:ascii="Franklin Gothic Book;sans-serif" w:hAnsi="Franklin Gothic Book;sans-serif"/>
          <w:b w:val="false"/>
          <w:color w:val="000000"/>
          <w:sz w:val="24"/>
          <w:shd w:fill="FFFFFF" w:val="clear"/>
        </w:rPr>
        <w:t>million, below guidance, primarily due to a $14 million change from capital to expense related to the Elk Hills power plant turnaround which began in the first quarter of 2024 and continued into the second quarter of 2024.</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Second Quarter 2024 Financial Results</w:t>
      </w:r>
    </w:p>
    <w:p>
      <w:pPr>
        <w:pStyle w:val="TextBody"/>
        <w:bidi w:val="0"/>
        <w:spacing w:before="0" w:after="0"/>
        <w:jc w:val="both"/>
        <w:rPr/>
      </w:pPr>
      <w:r>
        <w:rPr/>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v:textbox>
                <w10:wrap type="none"/>
              </v:rect>
            </w:pict>
          </mc:Fallback>
        </mc:AlternateContent>
      </w:r>
    </w:p>
    <w:p>
      <w:pPr>
        <w:pStyle w:val="TextBody"/>
        <w:bidi w:val="0"/>
        <w:spacing w:before="0" w:after="0"/>
        <w:jc w:val="both"/>
        <w:rPr/>
      </w:pPr>
      <w:r>
        <w:rPr/>
      </w:r>
    </w:p>
    <w:tbl>
      <w:tblPr>
        <w:tblW w:w="9310" w:type="dxa"/>
        <w:jc w:val="left"/>
        <w:tblInd w:w="0" w:type="dxa"/>
        <w:tblLayout w:type="fixed"/>
        <w:tblCellMar>
          <w:top w:w="28" w:type="dxa"/>
          <w:left w:w="28" w:type="dxa"/>
          <w:bottom w:w="28" w:type="dxa"/>
          <w:right w:w="28" w:type="dxa"/>
        </w:tblCellMar>
      </w:tblPr>
      <w:tblGrid>
        <w:gridCol w:w="1925"/>
        <w:gridCol w:w="1687"/>
        <w:gridCol w:w="1697"/>
        <w:gridCol w:w="109"/>
        <w:gridCol w:w="109"/>
        <w:gridCol w:w="109"/>
        <w:gridCol w:w="235"/>
        <w:gridCol w:w="685"/>
        <w:gridCol w:w="130"/>
        <w:gridCol w:w="109"/>
        <w:gridCol w:w="109"/>
        <w:gridCol w:w="109"/>
        <w:gridCol w:w="109"/>
        <w:gridCol w:w="109"/>
        <w:gridCol w:w="109"/>
        <w:gridCol w:w="215"/>
        <w:gridCol w:w="610"/>
        <w:gridCol w:w="119"/>
        <w:gridCol w:w="109"/>
        <w:gridCol w:w="109"/>
        <w:gridCol w:w="109"/>
        <w:gridCol w:w="109"/>
        <w:gridCol w:w="109"/>
        <w:gridCol w:w="109"/>
        <w:gridCol w:w="109"/>
        <w:gridCol w:w="109"/>
        <w:gridCol w:w="154"/>
      </w:tblGrid>
      <w:tr>
        <w:trPr/>
        <w:tc>
          <w:tcPr>
            <w:tcW w:w="192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Selected Production, Price Information and Results of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net oil production per day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oil price with derivative settlements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81.29</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net NGL production per day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NGL price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46.96</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net natural gas production per day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natural gas price with derivative settlements ($ per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net total production per day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Margin from marketing of purchased commodities</w:t>
            </w: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Margin from electricity sales</w:t>
            </w: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 from oil commodity derivatives ($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02"/>
        <w:gridCol w:w="1970"/>
        <w:gridCol w:w="1976"/>
        <w:gridCol w:w="109"/>
        <w:gridCol w:w="109"/>
        <w:gridCol w:w="109"/>
        <w:gridCol w:w="229"/>
        <w:gridCol w:w="669"/>
        <w:gridCol w:w="127"/>
        <w:gridCol w:w="109"/>
        <w:gridCol w:w="109"/>
        <w:gridCol w:w="109"/>
        <w:gridCol w:w="109"/>
        <w:gridCol w:w="109"/>
        <w:gridCol w:w="109"/>
        <w:gridCol w:w="215"/>
        <w:gridCol w:w="587"/>
        <w:gridCol w:w="119"/>
        <w:gridCol w:w="109"/>
        <w:gridCol w:w="109"/>
        <w:gridCol w:w="109"/>
        <w:gridCol w:w="109"/>
        <w:gridCol w:w="109"/>
        <w:gridCol w:w="109"/>
        <w:gridCol w:w="109"/>
        <w:gridCol w:w="109"/>
        <w:gridCol w:w="158"/>
      </w:tblGrid>
      <w:tr>
        <w:trPr/>
        <w:tc>
          <w:tcPr>
            <w:tcW w:w="230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Selected Financial Statement Data and non-GAAP measures: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and shares in millions, except per share amounts)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Selected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Adjusted general and administrative expenses</w:t>
            </w:r>
            <w:r>
              <w:rPr>
                <w:rFonts w:ascii="Arial;sans-serif" w:hAnsi="Arial;sans-serif"/>
                <w:b w:val="false"/>
                <w:i/>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56</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EPS, Non-GAAP Measures and Select 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0.11</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0.60</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cash provided by operating activities before changes in operating assets and liabilities, net</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1,031</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1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txbxContent>
                </v:textbox>
                <w10:wrap type="none"/>
              </v:rect>
            </w:pict>
          </mc:Fallback>
        </mc:AlternateContent>
      </w:r>
    </w:p>
    <w:p>
      <w:pPr>
        <w:pStyle w:val="TextBody"/>
        <w:bidi w:val="0"/>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Guidance</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shd w:fill="FFFFFF" w:val="clear"/>
        </w:rPr>
      </w:pPr>
      <w:r>
        <w:rPr>
          <w:rFonts w:ascii="Franklin Gothic Book;sans-serif" w:hAnsi="Franklin Gothic Book;sans-serif"/>
          <w:b w:val="false"/>
          <w:color w:val="000000"/>
          <w:sz w:val="24"/>
          <w:shd w:fill="FFFFFF" w:val="clear"/>
        </w:rPr>
        <w:t>The following tables reflect guidance for key third quarter and second half 2024 financial and operating results. Guidance for the second half of 2024 includes approximately $30 million in targeted Aera merger synergies and reflects $60 million of interest savings achieved at merger close. In the second half of 2024, CRC expects to run a one rig program under its existing permits. See Attachment 2 for more information on CRC's third quarter and second half 2024 guidance.</w:t>
      </w:r>
    </w:p>
    <w:p>
      <w:pPr>
        <w:pStyle w:val="TextBody"/>
        <w:bidi w:val="0"/>
        <w:spacing w:before="0" w:after="0"/>
        <w:ind w:left="0" w:right="0" w:firstLine="360"/>
        <w:jc w:val="center"/>
        <w:rPr/>
      </w:pPr>
      <w:r>
        <w:rPr/>
      </w:r>
    </w:p>
    <w:tbl>
      <w:tblPr>
        <w:tblW w:w="3404" w:type="dxa"/>
        <w:jc w:val="center"/>
        <w:tblInd w:w="0" w:type="dxa"/>
        <w:tblLayout w:type="fixed"/>
        <w:tblCellMar>
          <w:top w:w="28" w:type="dxa"/>
          <w:left w:w="28" w:type="dxa"/>
          <w:bottom w:w="28" w:type="dxa"/>
          <w:right w:w="28" w:type="dxa"/>
        </w:tblCellMar>
      </w:tblPr>
      <w:tblGrid>
        <w:gridCol w:w="864"/>
        <w:gridCol w:w="758"/>
        <w:gridCol w:w="763"/>
        <w:gridCol w:w="298"/>
        <w:gridCol w:w="298"/>
        <w:gridCol w:w="42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16"/>
              </w:rPr>
              <w:t>CRC GUIDANCE</w:t>
            </w:r>
            <w:r>
              <w:rPr>
                <w:rFonts w:ascii="Arial;sans-serif" w:hAnsi="Arial;sans-serif"/>
                <w:b/>
                <w:color w:val="000000"/>
                <w:sz w:val="13"/>
              </w:rPr>
              <w:t>3</w:t>
            </w:r>
          </w:p>
          <w:p>
            <w:pPr>
              <w:pStyle w:val="TableContents"/>
              <w:bidi w:val="0"/>
              <w:spacing w:before="0" w:after="0"/>
              <w:jc w:val="left"/>
              <w:rPr/>
            </w:pPr>
            <w:r>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68" w:before="0" w:after="0"/>
              <w:ind w:left="0" w:right="0" w:firstLine="135"/>
              <w:jc w:val="center"/>
              <w:rPr>
                <w:rFonts w:ascii="Arial;sans-serif" w:hAnsi="Arial;sans-serif"/>
                <w:b/>
                <w:color w:val="000000"/>
                <w:sz w:val="16"/>
              </w:rPr>
            </w:pPr>
            <w:r>
              <w:rPr>
                <w:rFonts w:ascii="Arial;sans-serif" w:hAnsi="Arial;sans-serif"/>
                <w:b/>
                <w:color w:val="000000"/>
                <w:sz w:val="16"/>
              </w:rPr>
              <w:t>3Q24E</w:t>
            </w:r>
          </w:p>
        </w:tc>
      </w:tr>
      <w:tr>
        <w:trPr/>
        <w:tc>
          <w:tcPr>
            <w:tcW w:w="23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Production (MBoe/d)</w:t>
            </w:r>
          </w:p>
        </w:tc>
        <w:tc>
          <w:tcPr>
            <w:tcW w:w="10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firstLine="135"/>
              <w:jc w:val="center"/>
              <w:rPr>
                <w:rFonts w:ascii="Arial;sans-serif" w:hAnsi="Arial;sans-serif"/>
                <w:b w:val="false"/>
                <w:color w:val="000000"/>
                <w:sz w:val="16"/>
              </w:rPr>
            </w:pPr>
            <w:r>
              <w:rPr>
                <w:rFonts w:ascii="Arial;sans-serif" w:hAnsi="Arial;sans-serif"/>
                <w:b w:val="false"/>
                <w:color w:val="000000"/>
                <w:sz w:val="16"/>
              </w:rPr>
              <w:t>141 - 145</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Oil Production (%)</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35"/>
              <w:jc w:val="center"/>
              <w:rPr>
                <w:rFonts w:ascii="Arial;sans-serif" w:hAnsi="Arial;sans-serif"/>
                <w:b w:val="false"/>
                <w:color w:val="000000"/>
                <w:sz w:val="16"/>
              </w:rPr>
            </w:pPr>
            <w:r>
              <w:rPr>
                <w:rFonts w:ascii="Arial;sans-serif" w:hAnsi="Arial;sans-serif"/>
                <w:b w:val="false"/>
                <w:color w:val="000000"/>
                <w:sz w:val="16"/>
              </w:rPr>
              <w:t>~79%</w:t>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Capital ($ millions)</w:t>
            </w:r>
          </w:p>
        </w:tc>
        <w:tc>
          <w:tcPr>
            <w:tcW w:w="1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$90 - $110</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millions)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$375 - $415</w:t>
            </w:r>
          </w:p>
        </w:tc>
      </w:tr>
    </w:tbl>
    <w:p>
      <w:pPr>
        <w:pStyle w:val="TextBody"/>
        <w:bidi w:val="0"/>
        <w:spacing w:before="0" w:after="0"/>
        <w:jc w:val="both"/>
        <w:rPr/>
      </w:pPr>
      <w:r>
        <w:rPr/>
      </w:r>
    </w:p>
    <w:tbl>
      <w:tblPr>
        <w:tblW w:w="2938" w:type="dxa"/>
        <w:jc w:val="center"/>
        <w:tblInd w:w="0" w:type="dxa"/>
        <w:tblLayout w:type="fixed"/>
        <w:tblCellMar>
          <w:top w:w="28" w:type="dxa"/>
          <w:left w:w="28" w:type="dxa"/>
          <w:bottom w:w="28" w:type="dxa"/>
          <w:right w:w="28" w:type="dxa"/>
        </w:tblCellMar>
      </w:tblPr>
      <w:tblGrid>
        <w:gridCol w:w="695"/>
        <w:gridCol w:w="610"/>
        <w:gridCol w:w="614"/>
        <w:gridCol w:w="297"/>
        <w:gridCol w:w="297"/>
        <w:gridCol w:w="425"/>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16"/>
              </w:rPr>
              <w:t>CRC GUIDANCE</w:t>
            </w:r>
            <w:r>
              <w:rPr>
                <w:rFonts w:ascii="Arial;sans-serif" w:hAnsi="Arial;sans-serif"/>
                <w:b/>
                <w:color w:val="000000"/>
                <w:sz w:val="10"/>
              </w:rPr>
              <w:t>3</w:t>
            </w:r>
          </w:p>
          <w:p>
            <w:pPr>
              <w:pStyle w:val="TableContents"/>
              <w:bidi w:val="0"/>
              <w:spacing w:before="0" w:after="0"/>
              <w:jc w:val="left"/>
              <w:rPr/>
            </w:pPr>
            <w:r>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68" w:before="0" w:after="0"/>
              <w:ind w:left="0" w:right="0" w:firstLine="135"/>
              <w:jc w:val="center"/>
              <w:rPr>
                <w:rFonts w:ascii="Arial;sans-serif" w:hAnsi="Arial;sans-serif"/>
                <w:b/>
                <w:color w:val="000000"/>
                <w:sz w:val="16"/>
              </w:rPr>
            </w:pPr>
            <w:r>
              <w:rPr>
                <w:rFonts w:ascii="Arial;sans-serif" w:hAnsi="Arial;sans-serif"/>
                <w:b/>
                <w:color w:val="000000"/>
                <w:sz w:val="16"/>
              </w:rPr>
              <w:t>2H24E</w:t>
            </w:r>
          </w:p>
        </w:tc>
      </w:tr>
      <w:tr>
        <w:trPr/>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Production (MBoe/d)</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135"/>
              <w:jc w:val="center"/>
              <w:rPr>
                <w:rFonts w:ascii="Arial;sans-serif" w:hAnsi="Arial;sans-serif"/>
                <w:b w:val="false"/>
                <w:color w:val="000000"/>
                <w:sz w:val="16"/>
              </w:rPr>
            </w:pPr>
            <w:r>
              <w:rPr>
                <w:rFonts w:ascii="Arial;sans-serif" w:hAnsi="Arial;sans-serif"/>
                <w:b w:val="false"/>
                <w:color w:val="000000"/>
                <w:sz w:val="16"/>
              </w:rPr>
              <w:t>140 - 146</w:t>
            </w:r>
          </w:p>
        </w:tc>
      </w:tr>
      <w:tr>
        <w:trPr/>
        <w:tc>
          <w:tcPr>
            <w:tcW w:w="191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Oil Production (%)</w:t>
            </w:r>
          </w:p>
        </w:tc>
        <w:tc>
          <w:tcPr>
            <w:tcW w:w="1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135"/>
              <w:jc w:val="center"/>
              <w:rPr>
                <w:rFonts w:ascii="Arial;sans-serif" w:hAnsi="Arial;sans-serif"/>
                <w:b w:val="false"/>
                <w:color w:val="000000"/>
                <w:sz w:val="16"/>
              </w:rPr>
            </w:pPr>
            <w:r>
              <w:rPr>
                <w:rFonts w:ascii="Arial;sans-serif" w:hAnsi="Arial;sans-serif"/>
                <w:b w:val="false"/>
                <w:color w:val="000000"/>
                <w:sz w:val="16"/>
              </w:rPr>
              <w:t>~79%</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Capital ($ millions)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$170 - $210</w:t>
            </w:r>
          </w:p>
        </w:tc>
      </w:tr>
      <w:tr>
        <w:trPr/>
        <w:tc>
          <w:tcPr>
            <w:tcW w:w="1919" w:type="dxa"/>
            <w:gridSpan w:val="3"/>
            <w:tcBorders/>
            <w:shd w:fill="DBDBDB" w:val="clear"/>
            <w:tcMar>
              <w:top w:w="0" w:type="dxa"/>
              <w:left w:w="0" w:type="dxa"/>
              <w:bottom w:w="0" w:type="dxa"/>
              <w:right w:w="0" w:type="dxa"/>
            </w:tcMar>
            <w:vAlign w:val="center"/>
          </w:tcPr>
          <w:p>
            <w:pPr>
              <w:pStyle w:val="TableContents"/>
              <w:bidi w:val="0"/>
              <w:spacing w:lineRule="auto" w:line="268" w:before="0" w:after="0"/>
              <w:ind w:left="0" w:right="0" w:firstLine="135"/>
              <w:jc w:val="left"/>
              <w:rPr/>
            </w:pPr>
            <w:r>
              <w:rPr>
                <w:rFonts w:ascii="Arial;sans-serif" w:hAnsi="Arial;sans-serif"/>
                <w:b w:val="false"/>
                <w:color w:val="000000"/>
                <w:sz w:val="16"/>
              </w:rPr>
              <w:t>Adjusted EBITDAX</w:t>
            </w:r>
            <w:r>
              <w:rPr>
                <w:rFonts w:ascii="Arial;sans-serif" w:hAnsi="Arial;sans-serif"/>
                <w:b w:val="false"/>
                <w:color w:val="000000"/>
                <w:sz w:val="10"/>
              </w:rPr>
              <w:t>2</w:t>
            </w:r>
          </w:p>
        </w:tc>
        <w:tc>
          <w:tcPr>
            <w:tcW w:w="1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$720 - $760</w:t>
            </w:r>
          </w:p>
        </w:tc>
      </w:tr>
    </w:tbl>
    <w:p>
      <w:pPr>
        <w:pStyle w:val="TextBody"/>
        <w:bidi w:val="0"/>
        <w:spacing w:before="0" w:after="0"/>
        <w:ind w:left="0" w:right="0" w:firstLine="1620"/>
        <w:jc w:val="both"/>
        <w:rPr/>
      </w:pPr>
      <w:r>
        <w:rPr/>
      </w:r>
    </w:p>
    <w:p>
      <w:pPr>
        <w:pStyle w:val="TextBody"/>
        <w:bidi w:val="0"/>
        <w:spacing w:lineRule="auto" w:line="268" w:before="0" w:after="0"/>
        <w:jc w:val="left"/>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Shareholder Returns</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is committed to returning cash to shareholders through dividends and repurchases of common stock.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During the second quarter of 2024, CRC repurchased 0.7 million shares for $35 million at an average price of $49.71 per share. Since the inception of the Share Repurchase Program in May 2021 through June 30, 2024, 16.6 million shares have been repurchased for $697 million at an average price of $41.74 per share.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August 2, 2024, CRC's Board of Directors amended the cash dividend policy to increase the total annual dividend to $1.55 per share of common stock, payable to shareholders in quarterly increments of $0.3875 per share. This represents a 25% increase to the prior dividend policy.</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August 5, 2024, CRC's Board of Directors declared a quarterly cash dividend of $0.3875 per share of common stock. The dividend is payable to shareholders of record on August 30, 2024 and will be paid on September 16, 2024.</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shd w:fill="FFFFFF" w:val="clear"/>
        </w:rPr>
        <w:t xml:space="preserve">From October 2020 through June 30, 2024, CRC has returned $949 million of cash to its stakeholders, including </w:t>
      </w:r>
      <w:r>
        <w:rPr>
          <w:rFonts w:ascii="Franklin Gothic Book;sans-serif" w:hAnsi="Franklin Gothic Book;sans-serif"/>
          <w:b w:val="false"/>
          <w:color w:val="000000"/>
          <w:sz w:val="24"/>
        </w:rPr>
        <w:t>$697</w:t>
      </w:r>
      <w:r>
        <w:rPr>
          <w:color w:val="000000"/>
          <w:shd w:fill="FFFFFF" w:val="clear"/>
        </w:rPr>
        <w:t xml:space="preserve"> </w:t>
      </w:r>
      <w:r>
        <w:rPr>
          <w:rFonts w:ascii="Franklin Gothic Book;sans-serif" w:hAnsi="Franklin Gothic Book;sans-serif"/>
          <w:b w:val="false"/>
          <w:color w:val="000000"/>
          <w:sz w:val="24"/>
          <w:shd w:fill="FFFFFF" w:val="clear"/>
        </w:rPr>
        <w:t>million in share repurchases, $55 million in principal of its 2026 Senior Notes repurchases and $197 million of dividends.</w:t>
      </w:r>
    </w:p>
    <w:p>
      <w:pPr>
        <w:pStyle w:val="TextBody"/>
        <w:bidi w:val="0"/>
        <w:spacing w:before="0" w:after="0"/>
        <w:ind w:left="0" w:right="0" w:firstLine="360"/>
        <w:jc w:val="both"/>
        <w:rPr/>
      </w:pPr>
      <w:r>
        <w:rPr/>
      </w:r>
    </w:p>
    <w:p>
      <w:pPr>
        <w:pStyle w:val="TextBody"/>
        <w:bidi w:val="0"/>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Balance Sheet and Liquidity</w:t>
      </w:r>
    </w:p>
    <w:p>
      <w:pPr>
        <w:pStyle w:val="TextBody"/>
        <w:bidi w:val="0"/>
        <w:spacing w:before="0" w:after="0"/>
        <w:jc w:val="left"/>
        <w:rPr/>
      </w:pPr>
      <w:r>
        <w:rPr/>
      </w:r>
    </w:p>
    <w:p>
      <w:pPr>
        <w:pStyle w:val="TextBody"/>
        <w:bidi w:val="0"/>
        <w:spacing w:lineRule="auto" w:line="268"/>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On June 5, 2024, CRC completed an offering of $600 million in an aggregate principal amount of 8.25% senior notes due 2029 (2029 Senior Notes). The net proceeds from this offering plus available cash were used to repay all Aera’s outstanding debt at the close of the Aera merger on July 1, 2024. This reduced the combined companies annual interest payments by $60 million.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As of June 30, 2024, CRC had liquidity of $1.5 billion, which consisted of $1.0 billion in available cash and cash equivalents plus $600 million of available borrowing capacity under its Revolving Credit Facility, which is after $30 million outstanding on the Revolving Credit Facility, less $130 million of outstanding letters of credit. </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July 1, 2024, CRC amended its Revolving Credit Facility which increased the aggregate commitment to $1.1 billion from $630 million and increased its borrowing base to $1.5 billion from $1.2 billion. CRC had $1,005 million of liquidity at the close of the Aera merger. There were no amounts drawn on the Revolving Credit Facility as of August 2, 2024.</w:t>
      </w:r>
    </w:p>
    <w:p>
      <w:pPr>
        <w:pStyle w:val="TextBody"/>
        <w:bidi w:val="0"/>
        <w:spacing w:before="0" w:after="0"/>
        <w:jc w:val="left"/>
        <w:rPr/>
      </w:pPr>
      <w:r>
        <w:rPr/>
      </w:r>
    </w:p>
    <w:p>
      <w:pPr>
        <w:pStyle w:val="TextBody"/>
        <w:bidi w:val="0"/>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 xml:space="preserve">Upcoming Investor Conference Participation </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plans to participate in the following events in September 2024: </w:t>
      </w:r>
    </w:p>
    <w:p>
      <w:pPr>
        <w:pStyle w:val="TextBody"/>
        <w:bidi w:val="0"/>
        <w:spacing w:before="0" w:after="0"/>
        <w:jc w:val="left"/>
        <w:rPr/>
      </w:pPr>
      <w:r>
        <w:rPr/>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2024 Barclays CEO Energy-Power Conference on September 3 to 5 in New York, NY</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NYSE Energy Virtual Investor Access Day on September 10</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Pickering Energy Partners Energy Conference 2024 on September 16 to 18 in Austin, TX</w:t>
      </w:r>
    </w:p>
    <w:p>
      <w:pPr>
        <w:pStyle w:val="TextBody"/>
        <w:bidi w:val="0"/>
        <w:spacing w:lineRule="auto" w:line="312"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2024 Goldman Sachs Global Sustainability Forum on September 26 in New Yo</w:t>
      </w:r>
      <w:r>
        <w:rPr>
          <w:rFonts w:ascii="Franklin Gothic Book;sans-serif" w:hAnsi="Franklin Gothic Book;sans-serif"/>
          <w:b w:val="false"/>
          <w:color w:val="000000"/>
          <w:sz w:val="24"/>
        </w:rPr>
        <w:t>rk, NY</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CRC’s presentation materials will be available the day of the events on the Events and Presentations page in the Investor Relations section on www.crc.com.</w:t>
      </w:r>
    </w:p>
    <w:p>
      <w:pPr>
        <w:pStyle w:val="TextBody"/>
        <w:bidi w:val="0"/>
        <w:spacing w:before="0" w:after="0"/>
        <w:jc w:val="left"/>
        <w:rPr/>
      </w:pPr>
      <w:r>
        <w:rPr/>
      </w:r>
    </w:p>
    <w:p>
      <w:pPr>
        <w:pStyle w:val="TextBody"/>
        <w:bidi w:val="0"/>
        <w:spacing w:lineRule="auto" w:line="268" w:before="0" w:after="0"/>
        <w:jc w:val="both"/>
        <w:rPr>
          <w:rFonts w:ascii="Franklin Gothic Book;sans-serif" w:hAnsi="Franklin Gothic Book;sans-serif"/>
          <w:b/>
          <w:color w:val="000000"/>
          <w:sz w:val="24"/>
          <w:u w:val="single"/>
          <w:shd w:fill="FFFFFF" w:val="clear"/>
        </w:rPr>
      </w:pPr>
      <w:r>
        <w:rPr>
          <w:rFonts w:ascii="Franklin Gothic Book;sans-serif" w:hAnsi="Franklin Gothic Book;sans-serif"/>
          <w:b/>
          <w:color w:val="000000"/>
          <w:sz w:val="24"/>
          <w:u w:val="single"/>
          <w:shd w:fill="FFFFFF" w:val="clear"/>
        </w:rPr>
        <w:t>Conference Call Details</w:t>
      </w:r>
    </w:p>
    <w:p>
      <w:pPr>
        <w:pStyle w:val="TextBody"/>
        <w:bidi w:val="0"/>
        <w:spacing w:before="0" w:after="0"/>
        <w:jc w:val="left"/>
        <w:rPr/>
      </w:pPr>
      <w:r>
        <w:rPr/>
      </w:r>
    </w:p>
    <w:p>
      <w:pPr>
        <w:pStyle w:val="TextBody"/>
        <w:bidi w:val="0"/>
        <w:spacing w:lineRule="auto" w:line="276" w:before="0" w:after="0"/>
        <w:ind w:left="0" w:right="0" w:firstLine="360"/>
        <w:jc w:val="both"/>
        <w:rPr>
          <w:rFonts w:ascii="Franklin Gothic Book;sans-serif" w:hAnsi="Franklin Gothic Book;sans-serif"/>
          <w:b w:val="false"/>
          <w:color w:val="000000"/>
          <w:sz w:val="24"/>
          <w:shd w:fill="FFFFFF" w:val="clear"/>
        </w:rPr>
      </w:pPr>
      <w:r>
        <w:rPr>
          <w:rFonts w:ascii="Franklin Gothic Book;sans-serif" w:hAnsi="Franklin Gothic Book;sans-serif"/>
          <w:b w:val="false"/>
          <w:color w:val="000000"/>
          <w:sz w:val="24"/>
          <w:shd w:fill="FFFFFF" w:val="clear"/>
        </w:rPr>
        <w:t xml:space="preserve">A conference call is scheduled for 1 p.m. ET (10 a.m. PT) on Wednesday, August 7, 2024. To participate in the call, dial (877) 328-5505 (International calls please dial +1 (412) 317-5421) or access via webcast at www.crc.com. Participants may also pre-register for the conference call at </w:t>
      </w:r>
    </w:p>
    <w:p>
      <w:pPr>
        <w:pStyle w:val="TextBody"/>
        <w:bidi w:val="0"/>
        <w:spacing w:lineRule="auto" w:line="268" w:before="0" w:after="0"/>
        <w:jc w:val="both"/>
        <w:rPr/>
      </w:pPr>
      <w:r>
        <w:rPr>
          <w:rFonts w:ascii="Franklin Gothic Book;sans-serif" w:hAnsi="Franklin Gothic Book;sans-serif"/>
          <w:b w:val="false"/>
          <w:color w:val="000000"/>
          <w:sz w:val="24"/>
        </w:rPr>
        <w:t>https://dpregister.com/sreg/10189857/fcb0ff718c</w:t>
      </w:r>
      <w:r>
        <w:rPr>
          <w:rFonts w:ascii="Franklin Gothic Book;sans-serif" w:hAnsi="Franklin Gothic Book;sans-serif"/>
          <w:b w:val="false"/>
          <w:color w:val="000000"/>
          <w:sz w:val="24"/>
          <w:shd w:fill="FFFFFF" w:val="clear"/>
        </w:rPr>
        <w:t>. A digital replay of the conference call will be archived for approximately 90 days and supplemental slides will be available online in the Investor Relations section of www.crc.com.</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Franklin Gothic Book;sans-serif" w:hAnsi="Franklin Gothic Book;sans-serif"/>
          <w:b w:val="false"/>
          <w:color w:val="000000"/>
          <w:sz w:val="8"/>
        </w:rPr>
        <w:t>1</w:t>
      </w:r>
      <w:r>
        <w:rPr>
          <w:rFonts w:ascii="Franklin Gothic Book;sans-serif" w:hAnsi="Franklin Gothic Book;sans-serif"/>
          <w:b w:val="false"/>
          <w:color w:val="000000"/>
          <w:sz w:val="13"/>
        </w:rPr>
        <w:t>As of June 30, 2024. When accounting for estimated cash interest income, CRC’s net interest savings were ~$36 million.</w:t>
      </w:r>
    </w:p>
    <w:p>
      <w:pPr>
        <w:pStyle w:val="TextBody"/>
        <w:bidi w:val="0"/>
        <w:spacing w:lineRule="auto" w:line="268" w:before="0" w:after="0"/>
        <w:jc w:val="both"/>
        <w:rPr/>
      </w:pPr>
      <w:r>
        <w:rPr>
          <w:rFonts w:ascii="Franklin Gothic Book;sans-serif" w:hAnsi="Franklin Gothic Book;sans-serif"/>
          <w:b w:val="false"/>
          <w:color w:val="000000"/>
          <w:sz w:val="8"/>
        </w:rPr>
        <w:t xml:space="preserve">2 </w:t>
      </w:r>
      <w:r>
        <w:rPr>
          <w:rFonts w:ascii="Franklin Gothic Book;sans-serif" w:hAnsi="Franklin Gothic Book;sans-serif"/>
          <w:b w:val="false"/>
          <w:color w:val="000000"/>
          <w:sz w:val="13"/>
        </w:rPr>
        <w:t xml:space="preserve">See Attachment 3 for the non-GAAP financial measures of operating costs per BOE (excluding effects of PSCs), adjusted net income (loss), adjusted net income (loss) per share - basic and diluted, net cash provided by operating activities before changes in operating assets and liabilities, net, adjusted EBITDAX, free cash flow and adjusted general and administrative expenses, including reconciliations to their most directly comparable GAAP measure, where applicable. For the 3Q24 estimates of the non-GAAP measures of adjusted EBITDAX and adjusted general and administrative expenses, including reconciliations to its most directly comparable GAAP measure, see Attachment 2. </w:t>
      </w:r>
    </w:p>
    <w:p>
      <w:pPr>
        <w:pStyle w:val="TextBody"/>
        <w:bidi w:val="0"/>
        <w:spacing w:lineRule="auto" w:line="268" w:before="0" w:after="0"/>
        <w:jc w:val="both"/>
        <w:rPr/>
      </w:pPr>
      <w:r>
        <w:rPr>
          <w:rFonts w:ascii="Franklin Gothic Book;sans-serif" w:hAnsi="Franklin Gothic Book;sans-serif"/>
          <w:b w:val="false"/>
          <w:color w:val="000000"/>
          <w:sz w:val="8"/>
        </w:rPr>
        <w:t>3</w:t>
      </w:r>
      <w:r>
        <w:rPr>
          <w:color w:val="000000"/>
        </w:rPr>
        <w:t xml:space="preserve"> </w:t>
      </w:r>
      <w:r>
        <w:rPr>
          <w:rFonts w:ascii="Franklin Gothic Book;sans-serif" w:hAnsi="Franklin Gothic Book;sans-serif"/>
          <w:b w:val="false"/>
          <w:color w:val="000000"/>
          <w:sz w:val="13"/>
        </w:rPr>
        <w:t>2H24 guidance assumes Brent price of $83.29 per barrel of oil, NGL realizations as a percentage of Brent consistent with prior years and a NYMEX gas price of $2.86 per mcf. 3Q24 guidance assumes Brent price of $84.23 per barrel of oil, NGL realizations as a percentage of Brent consistent with prior years and a NYMEX gas price of $2.61 per mcf. CRC's share of production under PSC contracts decreases when commodity prices rise and increases when prices fall.</w:t>
      </w:r>
    </w:p>
    <w:p>
      <w:pPr>
        <w:pStyle w:val="TextBody"/>
        <w:bidi w:val="0"/>
        <w:spacing w:lineRule="auto" w:line="268" w:before="0" w:after="0"/>
        <w:jc w:val="both"/>
        <w:rPr/>
      </w:pPr>
      <w:r>
        <w:rPr>
          <w:rFonts w:ascii="Franklin Gothic Book;sans-serif" w:hAnsi="Franklin Gothic Book;sans-serif"/>
          <w:b w:val="false"/>
          <w:color w:val="000000"/>
          <w:sz w:val="8"/>
        </w:rPr>
        <w:t xml:space="preserve">4 </w:t>
      </w:r>
      <w:r>
        <w:rPr>
          <w:rFonts w:ascii="Franklin Gothic Book;sans-serif" w:hAnsi="Franklin Gothic Book;sans-serif"/>
          <w:b w:val="false"/>
          <w:color w:val="000000"/>
          <w:sz w:val="13"/>
        </w:rPr>
        <w:t>Margin from Marketing of Purchased Commodities is calculated as the difference between Revenue from Marketing of Purchased Commodities and Costs Related to Marketing of Purchased Commodities</w:t>
      </w:r>
    </w:p>
    <w:p>
      <w:pPr>
        <w:pStyle w:val="TextBody"/>
        <w:bidi w:val="0"/>
        <w:spacing w:lineRule="auto" w:line="268" w:before="0" w:after="0"/>
        <w:jc w:val="both"/>
        <w:rPr/>
      </w:pPr>
      <w:r>
        <w:rPr>
          <w:rFonts w:ascii="Franklin Gothic Book;sans-serif" w:hAnsi="Franklin Gothic Book;sans-serif"/>
          <w:b w:val="false"/>
          <w:color w:val="000000"/>
          <w:sz w:val="8"/>
        </w:rPr>
        <w:t xml:space="preserve">5 </w:t>
      </w:r>
      <w:r>
        <w:rPr>
          <w:rFonts w:ascii="Franklin Gothic Book;sans-serif" w:hAnsi="Franklin Gothic Book;sans-serif"/>
          <w:b w:val="false"/>
          <w:color w:val="000000"/>
          <w:sz w:val="13"/>
        </w:rPr>
        <w:t>Electricity Margin is calculated as the difference between Electricity Sales and Electricity Generation Expenses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California Resources Corporation</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emissions-reducing projects. For more information about CRC, please visit www.crc.com. </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Carbon TerraVault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txbxContent>
                </v:textbox>
                <w10:wrap type="none"/>
              </v:rect>
            </w:pict>
          </mc:Fallback>
        </mc:AlternateContent>
      </w:r>
    </w:p>
    <w:p>
      <w:pPr>
        <w:pStyle w:val="TextBody"/>
        <w:bidi w:val="0"/>
        <w:spacing w:lineRule="auto" w:line="268" w:before="0" w:after="0"/>
        <w:ind w:left="0" w:right="0" w:firstLine="360"/>
        <w:jc w:val="both"/>
        <w:rPr/>
      </w:pPr>
      <w:r>
        <w:rPr>
          <w:rFonts w:ascii="Franklin Gothic Book;sans-serif" w:hAnsi="Franklin Gothic Book;sans-serif"/>
          <w:b w:val="false"/>
          <w:color w:val="000000"/>
          <w:sz w:val="24"/>
        </w:rPr>
        <w:t>Carbon TerraVault Holdings, LLC (CTV), a subsidiary of CRC, is developing services that include the capture, transport and storage of carbon dioxide for its customers. Through its subsidiaries, CTV is developing a series of proposed CCS projects to inject CO</w:t>
      </w:r>
      <w:r>
        <w:rPr>
          <w:rFonts w:ascii="Franklin Gothic Book;sans-serif" w:hAnsi="Franklin Gothic Book;sans-serif"/>
          <w:b w:val="false"/>
          <w:color w:val="000000"/>
          <w:sz w:val="13"/>
        </w:rPr>
        <w:t>2</w:t>
      </w:r>
      <w:r>
        <w:rPr>
          <w:color w:val="000000"/>
        </w:rPr>
        <w:t xml:space="preserve"> </w:t>
      </w:r>
      <w:r>
        <w:rPr>
          <w:rFonts w:ascii="Franklin Gothic Book;sans-serif" w:hAnsi="Franklin Gothic Book;sans-serif"/>
          <w:b w:val="false"/>
          <w:color w:val="000000"/>
          <w:sz w:val="24"/>
        </w:rPr>
        <w:t xml:space="preserve">captured from industrial sources into depleted underground reservoirs for permanent storage deep underground. For more information about CTV, please visit www.carbonterravault.com. </w:t>
      </w:r>
    </w:p>
    <w:p>
      <w:pPr>
        <w:pStyle w:val="TextBody"/>
        <w:bidi w:val="0"/>
        <w:spacing w:before="0" w:after="0"/>
        <w:jc w:val="left"/>
        <w:rPr/>
      </w:pPr>
      <w:r>
        <w:rPr/>
      </w:r>
    </w:p>
    <w:p>
      <w:pPr>
        <w:pStyle w:val="TextBody"/>
        <w:bidi w:val="0"/>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Forward-Looking Statements</w:t>
      </w:r>
    </w:p>
    <w:p>
      <w:pPr>
        <w:pStyle w:val="TextBody"/>
        <w:bidi w:val="0"/>
        <w:spacing w:before="0" w:after="0"/>
        <w:jc w:val="both"/>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fluctuations in commodity prices, including supply and demand considerations for CRC's products and services, and the impact of such fluctuations on revenues and operating expenses;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decisions as to production levels and/or pricing by OPEC or U.S. producers in future periods;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government policy, war and political conditions and events, including the military conflicts in Israel, Ukraine and Yemen and the Red Sea;</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the ability to successfully integrate Aera's business;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regulatory actions and changes that affect the oil and gas industry generally and CRC in particular, including (1) the availability or timing of, or conditions imposed on, permits and approvals necessary for drilling or development activities or its carbon management business; (2) the management of energy, water, land, greenhouse gases (GHGs) or other emissions, (3) the protection of health, safety and the environment, or (4) the transportation, marketing and sale of CRC's products;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the impact of inflation on future expenses and changes generally in the prices of goods and services;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changes in business strategy and CRC's capital plan;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lower-than-expected production or higher-than-expected production decline rates;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changes to CRC's estimates of reserves and related future cash flows, including changes arising from its inability to develop such reserves in a timely manner, and any inability to replace such reserves;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the recoverability of resources and unexpected geologic conditions;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general economic conditions and trends, including conditions in the worldwide financial, trade and credit markets;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production-sharing contracts' effects on production and operating costs;</w:t>
      </w:r>
    </w:p>
    <w:p>
      <w:pPr>
        <w:pStyle w:val="TextBody"/>
        <w:bidi w:val="0"/>
        <w:spacing w:lineRule="auto" w:line="268"/>
        <w:ind w:left="0" w:right="0" w:hanging="360"/>
        <w:jc w:val="left"/>
        <w:rPr/>
      </w:pPr>
      <w:r>
        <w:rPr>
          <w:color w:val="000000"/>
        </w:rPr>
        <w:t>•</w:t>
      </w:r>
      <w:r>
        <w:rPr>
          <w:rFonts w:ascii="Franklin Gothic Book;sans-serif" w:hAnsi="Franklin Gothic Book;sans-serif"/>
          <w:b w:val="false"/>
          <w:color w:val="000000"/>
          <w:sz w:val="24"/>
        </w:rPr>
        <w:t>the lack of available equipment, service or labor price inflation;</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limitations on transportation or storage capacity and the need to shut-in wells;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any failure of risk management;</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results from operations and competition in the industries in which CRC operates;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CRC's ability to realize the anticipated benefits from prior or future efforts to reduce costs;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environmental risks and liability under federal, regional, state, provincial, tribal, local and international environmental laws and regulations (including remedial actions);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the creditworthiness and performance of CRC's counterparties, including financial institutions, operating partners, CCS project participants and other parties;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reorganization or restructuring of CRC's operations;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CRC's ability to claim and utilize tax credits or other incentives in connection with its CCS projects;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CRC's ability to realize the benefits contemplated by its energy transition strategies and initiatives, including CCS projects and other renewable energy efforts;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CRC's ability to successfully identify, develop and finance carbon capture and storage projects and other renewable energy efforts, including those in connection with the Carbon TerraVault JV, and its ability to convert its CDMAs to definitive agreements and enter into other offtake agreements;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CRC's ability to maximize the value of its carbon management business and operate it on a stand alone basis;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CRC's ability to successfully develop infrastructure projects and enter into third party contracts on contemplated terms;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uncertainty around the accounting of emissions and its ability to successfully gather and verify emissions data and other environmental impacts;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changes to CRC's dividend policy and share repurchase program, and its ability to declare future dividends or repurchase shares under its debt agreements;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limitations on CRC's financial flexibility due to existing and future debt;</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insufficient cash flow to fund CRC's capital plan and other planned investments and return capital to shareholders;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 xml:space="preserve">changes in interest rates; </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CRC's access to and the terms of credit in commercial banking and capital markets, including its ability to refinance its debt or obtain separate financing for its carbon management business;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changes in state, federal or international tax rates, including CRC's ability to utilize its net operating loss carryforwards to reduce its income tax obligations;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effects of hedging transactions;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the effect of CRC's stock price on costs associated with incentive compensation;</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inability to enter into desirable transactions, including joint ventures, divestitures of oil and natural gas properties and real estate, and acquisitions, and CRC's ability to achieve any expected synergies;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pandemics, epidemics, outbreaks, or other public health events, such as the COVID-19 pandemic; and</w:t>
      </w:r>
    </w:p>
    <w:p>
      <w:pPr>
        <w:pStyle w:val="TextBody"/>
        <w:bidi w:val="0"/>
        <w:spacing w:lineRule="auto" w:line="268" w:before="0" w:after="0"/>
        <w:ind w:left="0" w:right="0" w:hanging="360"/>
        <w:jc w:val="left"/>
        <w:rPr/>
      </w:pPr>
      <w:r>
        <w:rPr>
          <w:color w:val="000000"/>
        </w:rPr>
        <w:t>•</w:t>
      </w:r>
      <w:r>
        <w:rPr>
          <w:rFonts w:ascii="Franklin Gothic Book;sans-serif" w:hAnsi="Franklin Gothic Book;sans-serif"/>
          <w:b w:val="false"/>
          <w:color w:val="000000"/>
          <w:sz w:val="24"/>
        </w:rPr>
        <w:t>other factors discussed in Part I, Item 1A – Risk Factors in CRC's Annual Report on Form 10-K and its other SEC filings available at www.crc.com.</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v:textbox>
                <w10:wrap type="none"/>
              </v:rect>
            </w:pict>
          </mc:Fallback>
        </mc:AlternateContent>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 cautions you not to place undue reliance on forward-looking statements contained in this document, which speak only as of the filing date, and it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Contacts:</w:t>
      </w:r>
    </w:p>
    <w:tbl>
      <w:tblPr>
        <w:tblW w:w="6931" w:type="dxa"/>
        <w:jc w:val="left"/>
        <w:tblInd w:w="0" w:type="dxa"/>
        <w:tblLayout w:type="fixed"/>
        <w:tblCellMar>
          <w:top w:w="28" w:type="dxa"/>
          <w:left w:w="28" w:type="dxa"/>
          <w:bottom w:w="28" w:type="dxa"/>
          <w:right w:w="28" w:type="dxa"/>
        </w:tblCellMar>
      </w:tblPr>
      <w:tblGrid>
        <w:gridCol w:w="1435"/>
        <w:gridCol w:w="1261"/>
        <w:gridCol w:w="1264"/>
        <w:gridCol w:w="870"/>
        <w:gridCol w:w="870"/>
        <w:gridCol w:w="1231"/>
      </w:tblGrid>
      <w:tr>
        <w:trPr/>
        <w:tc>
          <w:tcPr>
            <w:tcW w:w="143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Joanna Park (Investor Relations)</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818-661-3731</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Joanna.Park@crc.com</w:t>
            </w:r>
          </w:p>
        </w:tc>
        <w:tc>
          <w:tcPr>
            <w:tcW w:w="297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Richard Venn (Media)</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818-661-6014</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Richard.Venn@crc.com</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45"/>
        <w:gridCol w:w="1139"/>
        <w:gridCol w:w="1143"/>
        <w:gridCol w:w="265"/>
        <w:gridCol w:w="592"/>
        <w:gridCol w:w="147"/>
        <w:gridCol w:w="109"/>
        <w:gridCol w:w="109"/>
        <w:gridCol w:w="109"/>
        <w:gridCol w:w="252"/>
        <w:gridCol w:w="562"/>
        <w:gridCol w:w="139"/>
        <w:gridCol w:w="109"/>
        <w:gridCol w:w="109"/>
        <w:gridCol w:w="109"/>
        <w:gridCol w:w="265"/>
        <w:gridCol w:w="592"/>
        <w:gridCol w:w="147"/>
        <w:gridCol w:w="109"/>
        <w:gridCol w:w="109"/>
        <w:gridCol w:w="109"/>
        <w:gridCol w:w="109"/>
        <w:gridCol w:w="109"/>
        <w:gridCol w:w="109"/>
        <w:gridCol w:w="252"/>
        <w:gridCol w:w="562"/>
        <w:gridCol w:w="139"/>
        <w:gridCol w:w="109"/>
        <w:gridCol w:w="109"/>
        <w:gridCol w:w="109"/>
        <w:gridCol w:w="216"/>
        <w:gridCol w:w="632"/>
        <w:gridCol w:w="181"/>
      </w:tblGrid>
      <w:tr>
        <w:trPr/>
        <w:tc>
          <w:tcPr>
            <w:tcW w:w="134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1</w:t>
            </w:r>
          </w:p>
        </w:tc>
      </w:tr>
      <w:tr>
        <w:trPr/>
        <w:tc>
          <w:tcPr>
            <w:tcW w:w="362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SUMMARY OF RESULTS</w:t>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w:t>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and shares in millions, except per share amounts)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natural gas and NGL sales</w:t>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 from commodity derivatives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revenues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454</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968</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1,615</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Accretion expense </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Carbon management business expenses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expenses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444</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1,082</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on asset divestitures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Non-Operating (Expenses) Income</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subsidiary</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(loss) income,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68"/>
        <w:gridCol w:w="1021"/>
        <w:gridCol w:w="1027"/>
        <w:gridCol w:w="199"/>
        <w:gridCol w:w="581"/>
        <w:gridCol w:w="261"/>
        <w:gridCol w:w="109"/>
        <w:gridCol w:w="109"/>
        <w:gridCol w:w="109"/>
        <w:gridCol w:w="216"/>
        <w:gridCol w:w="629"/>
        <w:gridCol w:w="282"/>
        <w:gridCol w:w="109"/>
        <w:gridCol w:w="109"/>
        <w:gridCol w:w="109"/>
        <w:gridCol w:w="213"/>
        <w:gridCol w:w="524"/>
        <w:gridCol w:w="279"/>
        <w:gridCol w:w="109"/>
        <w:gridCol w:w="109"/>
        <w:gridCol w:w="109"/>
        <w:gridCol w:w="109"/>
        <w:gridCol w:w="109"/>
        <w:gridCol w:w="109"/>
        <w:gridCol w:w="196"/>
        <w:gridCol w:w="524"/>
        <w:gridCol w:w="256"/>
        <w:gridCol w:w="109"/>
        <w:gridCol w:w="109"/>
        <w:gridCol w:w="109"/>
        <w:gridCol w:w="196"/>
        <w:gridCol w:w="491"/>
        <w:gridCol w:w="307"/>
      </w:tblGrid>
      <w:tr>
        <w:trPr/>
        <w:tc>
          <w:tcPr>
            <w:tcW w:w="136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benefit</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w:t>
            </w:r>
            <w:r>
              <w:rPr>
                <w:color w:val="000000"/>
              </w:rPr>
              <w:t>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4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(loss) per share - basic </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0.12</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0.11</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0.62</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0.78</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0.55</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0.60</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0.75</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0.53</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basic</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69.7</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71.9</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72.7</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2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2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3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(used) in financing activities</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(172)</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Selected Balance Sheet Data:</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1,439</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929</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2,770</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616</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1,161</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 retirement obligations</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2,052</w:t>
            </w: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2,219</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35" w:type="dxa"/>
        <w:jc w:val="center"/>
        <w:tblInd w:w="0" w:type="dxa"/>
        <w:tblLayout w:type="fixed"/>
        <w:tblCellMar>
          <w:top w:w="28" w:type="dxa"/>
          <w:left w:w="28" w:type="dxa"/>
          <w:bottom w:w="28" w:type="dxa"/>
          <w:right w:w="28" w:type="dxa"/>
        </w:tblCellMar>
      </w:tblPr>
      <w:tblGrid>
        <w:gridCol w:w="1355"/>
        <w:gridCol w:w="1195"/>
        <w:gridCol w:w="1200"/>
        <w:gridCol w:w="316"/>
        <w:gridCol w:w="558"/>
        <w:gridCol w:w="175"/>
        <w:gridCol w:w="131"/>
        <w:gridCol w:w="131"/>
        <w:gridCol w:w="131"/>
        <w:gridCol w:w="273"/>
        <w:gridCol w:w="566"/>
        <w:gridCol w:w="151"/>
        <w:gridCol w:w="131"/>
        <w:gridCol w:w="131"/>
        <w:gridCol w:w="131"/>
        <w:gridCol w:w="316"/>
        <w:gridCol w:w="558"/>
        <w:gridCol w:w="175"/>
        <w:gridCol w:w="240"/>
        <w:gridCol w:w="497"/>
        <w:gridCol w:w="132"/>
        <w:gridCol w:w="109"/>
        <w:gridCol w:w="109"/>
        <w:gridCol w:w="109"/>
        <w:gridCol w:w="228"/>
        <w:gridCol w:w="508"/>
        <w:gridCol w:w="179"/>
      </w:tblGrid>
      <w:tr>
        <w:trPr/>
        <w:tc>
          <w:tcPr>
            <w:tcW w:w="135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8493" w:type="dxa"/>
            <w:gridSpan w:val="21"/>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AND LOSSES FROM COMMODITY DERIVATIVES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5985" w:type="dxa"/>
            <w:gridSpan w:val="24"/>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derivative gain (loss)</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payments on settled commodity derivatives</w:t>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gain (loss) from commodity derivatives</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29"/>
        <w:gridCol w:w="329"/>
        <w:gridCol w:w="331"/>
        <w:gridCol w:w="109"/>
        <w:gridCol w:w="109"/>
        <w:gridCol w:w="109"/>
        <w:gridCol w:w="109"/>
        <w:gridCol w:w="109"/>
        <w:gridCol w:w="109"/>
        <w:gridCol w:w="314"/>
        <w:gridCol w:w="314"/>
        <w:gridCol w:w="316"/>
        <w:gridCol w:w="109"/>
        <w:gridCol w:w="109"/>
        <w:gridCol w:w="109"/>
        <w:gridCol w:w="334"/>
        <w:gridCol w:w="334"/>
        <w:gridCol w:w="336"/>
        <w:gridCol w:w="109"/>
        <w:gridCol w:w="109"/>
        <w:gridCol w:w="109"/>
        <w:gridCol w:w="334"/>
        <w:gridCol w:w="334"/>
        <w:gridCol w:w="336"/>
        <w:gridCol w:w="109"/>
        <w:gridCol w:w="109"/>
        <w:gridCol w:w="109"/>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4th Quarter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88"/>
        <w:gridCol w:w="605"/>
        <w:gridCol w:w="611"/>
        <w:gridCol w:w="394"/>
        <w:gridCol w:w="698"/>
        <w:gridCol w:w="221"/>
        <w:gridCol w:w="168"/>
        <w:gridCol w:w="168"/>
        <w:gridCol w:w="168"/>
        <w:gridCol w:w="383"/>
        <w:gridCol w:w="678"/>
        <w:gridCol w:w="215"/>
        <w:gridCol w:w="168"/>
        <w:gridCol w:w="168"/>
        <w:gridCol w:w="168"/>
        <w:gridCol w:w="394"/>
        <w:gridCol w:w="698"/>
        <w:gridCol w:w="221"/>
        <w:gridCol w:w="168"/>
        <w:gridCol w:w="168"/>
        <w:gridCol w:w="168"/>
        <w:gridCol w:w="346"/>
        <w:gridCol w:w="610"/>
        <w:gridCol w:w="192"/>
        <w:gridCol w:w="168"/>
        <w:gridCol w:w="168"/>
        <w:gridCol w:w="168"/>
        <w:gridCol w:w="342"/>
        <w:gridCol w:w="606"/>
        <w:gridCol w:w="287"/>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814" w:type="dxa"/>
            <w:gridSpan w:val="18"/>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CAPITAL INVESTMENTS</w:t>
            </w:r>
          </w:p>
        </w:tc>
        <w:tc>
          <w:tcPr>
            <w:tcW w:w="5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301" w:type="dxa"/>
            <w:gridSpan w:val="27"/>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2nd Quarter</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Facilities </w:t>
            </w:r>
            <w:r>
              <w:rPr>
                <w:rFonts w:ascii="Arial;sans-serif" w:hAnsi="Arial;sans-serif"/>
                <w:b w:val="false"/>
                <w:color w:val="000000"/>
                <w:sz w:val="10"/>
              </w:rPr>
              <w:t>(1)</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Workovers</w:t>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E&amp;P capital</w:t>
            </w:r>
          </w:p>
        </w:tc>
        <w:tc>
          <w:tcPr>
            <w:tcW w:w="10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CMB </w:t>
            </w:r>
            <w:r>
              <w:rPr>
                <w:rFonts w:ascii="Arial;sans-serif" w:hAnsi="Arial;sans-serif"/>
                <w:b w:val="false"/>
                <w:color w:val="000000"/>
                <w:sz w:val="10"/>
              </w:rPr>
              <w:t>(1)</w:t>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 program</w:t>
            </w:r>
          </w:p>
        </w:tc>
        <w:tc>
          <w:tcPr>
            <w:tcW w:w="3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w:t>
            </w:r>
            <w:r>
              <w:rPr>
                <w:color w:val="000000"/>
              </w:rPr>
              <w:t>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Facilities capital includes $0, $0 and $1 million in the second and first quarter of 2024 and second quarter of 2023, respectively, and $0 and $2 million for the six months 2024 and 2023,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Earnings Release. Where adjusted CMB capital is presented, CRC removed the amounts from facilities capital and presented adjusted E&amp;P, Corporate and Other capital.</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Capital for the three months ended June 30, 2024 reflects a $3 million reclassification from capital (PP&amp;E) to expense for engineering costs incurred during the two prior quarters. Before this reclassification, CMB capital was $1 million for the three months ended June 30, 2024. Capital for Corporate and other for the three months ended June 30, 2024 reflects a reclassification of $10 million from capital (PP&amp;E) to expense for planned major maintenance in the first quarter of 2024. Before the reclassifications, Corporate and other capital for the three months would have been $14 million.</w:t>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v:textbox>
                <w10:wrap type="none"/>
              </v:rect>
            </w:pict>
          </mc:Fallback>
        </mc:AlternateContent>
      </w:r>
    </w:p>
    <w:p>
      <w:pPr>
        <w:pStyle w:val="TextBody"/>
        <w:bidi w:val="0"/>
        <w:spacing w:before="0" w:after="0"/>
        <w:jc w:val="left"/>
        <w:rPr/>
      </w:pPr>
      <w:r>
        <w:rPr/>
      </w:r>
    </w:p>
    <w:tbl>
      <w:tblPr>
        <w:tblW w:w="9681" w:type="dxa"/>
        <w:jc w:val="left"/>
        <w:tblInd w:w="0" w:type="dxa"/>
        <w:tblLayout w:type="fixed"/>
        <w:tblCellMar>
          <w:top w:w="28" w:type="dxa"/>
          <w:left w:w="28" w:type="dxa"/>
          <w:bottom w:w="28" w:type="dxa"/>
          <w:right w:w="28" w:type="dxa"/>
        </w:tblCellMar>
      </w:tblPr>
      <w:tblGrid>
        <w:gridCol w:w="1744"/>
        <w:gridCol w:w="1531"/>
        <w:gridCol w:w="1540"/>
        <w:gridCol w:w="404"/>
        <w:gridCol w:w="404"/>
        <w:gridCol w:w="406"/>
        <w:gridCol w:w="109"/>
        <w:gridCol w:w="109"/>
        <w:gridCol w:w="109"/>
        <w:gridCol w:w="264"/>
        <w:gridCol w:w="264"/>
        <w:gridCol w:w="266"/>
        <w:gridCol w:w="109"/>
        <w:gridCol w:w="109"/>
        <w:gridCol w:w="109"/>
        <w:gridCol w:w="644"/>
        <w:gridCol w:w="644"/>
        <w:gridCol w:w="916"/>
      </w:tblGrid>
      <w:tr>
        <w:trPr/>
        <w:tc>
          <w:tcPr>
            <w:tcW w:w="174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2</w:t>
            </w:r>
          </w:p>
        </w:tc>
      </w:tr>
      <w:tr>
        <w:trPr/>
        <w:tc>
          <w:tcPr>
            <w:tcW w:w="481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CRC GUIDANCE</w:t>
            </w:r>
          </w:p>
        </w:tc>
        <w:tc>
          <w:tcPr>
            <w:tcW w:w="121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2H24E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CMB </w:t>
              <w:br/>
              <w:t>2H24E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E&amp;P, Corp. &amp; Other 2H24E</w:t>
            </w:r>
          </w:p>
        </w:tc>
      </w:tr>
      <w:tr>
        <w:trPr/>
        <w:tc>
          <w:tcPr>
            <w:tcW w:w="48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Production (MBoe/d)</w:t>
            </w:r>
          </w:p>
        </w:tc>
        <w:tc>
          <w:tcPr>
            <w:tcW w:w="12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140 - 146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140 - 146</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Production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CMB Expenses &amp; Operating Costs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$675 - $720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$640 - $680</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$187 - $205</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General and Administrative Expenses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$165 - $185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$2 -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$163 - $181</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35"/>
              <w:jc w:val="center"/>
              <w:rPr>
                <w:rFonts w:ascii="Arial;sans-serif" w:hAnsi="Arial;sans-serif"/>
                <w:b w:val="false"/>
                <w:color w:val="000000"/>
                <w:sz w:val="16"/>
              </w:rPr>
            </w:pPr>
            <w:r>
              <w:rPr>
                <w:rFonts w:ascii="Arial;sans-serif" w:hAnsi="Arial;sans-serif"/>
                <w:b w:val="false"/>
                <w:color w:val="000000"/>
                <w:sz w:val="16"/>
              </w:rPr>
              <w:t>$160 - $195</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Drilling &amp; completions, workover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$85 -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Facilities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$70 -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Carbon management business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$10-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Corporate &amp; other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$5 -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$720 - $760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Margin from Marketing of Purchased Commodities ($ millions) </w:t>
            </w:r>
            <w:r>
              <w:rPr>
                <w:rFonts w:ascii="Arial;sans-serif" w:hAnsi="Arial;sans-serif"/>
                <w:b w:val="false"/>
                <w:color w:val="000000"/>
                <w:sz w:val="10"/>
              </w:rPr>
              <w:t>(1)</w:t>
            </w:r>
            <w:r>
              <w:rPr>
                <w:color w:val="000000"/>
              </w:rPr>
              <w:t xml:space="preserve"> </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$24 -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$24 - $30</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Electricity Margin ($ millions) </w:t>
            </w:r>
            <w:r>
              <w:rPr>
                <w:rFonts w:ascii="Arial;sans-serif" w:hAnsi="Arial;sans-serif"/>
                <w:b w:val="false"/>
                <w:color w:val="000000"/>
                <w:sz w:val="10"/>
              </w:rPr>
              <w:t>(2)</w:t>
            </w:r>
            <w:r>
              <w:rPr>
                <w:color w:val="000000"/>
              </w:rPr>
              <w:t xml:space="preserve">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$65 -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$65 - $80</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Operating Revenue &amp; Expenses, net ($ millions)</w:t>
            </w:r>
            <w:r>
              <w:rPr>
                <w:rFonts w:ascii="Arial;sans-serif" w:hAnsi="Arial;sans-serif"/>
                <w:b w:val="false"/>
                <w:color w:val="000000"/>
                <w:sz w:val="10"/>
              </w:rPr>
              <w:t>(3)</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($105)</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$40 - $50</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$160</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 ($ millions)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$53 - $59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$53 - $59</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Assumptions:</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Brent ($/Bbl)</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$83.29</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($/Mcf)</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$2.86</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 % of Brent:</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94% to 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 to 98%</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 - % of Brent:</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52% to 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 to 58%</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 % of NYMEX:</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110% to 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 to 131%</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v:textbox>
                <w10:wrap type="none"/>
              </v:rect>
            </w:pict>
          </mc:Fallback>
        </mc:AlternateContent>
      </w:r>
    </w:p>
    <w:tbl>
      <w:tblPr>
        <w:tblW w:w="9697" w:type="dxa"/>
        <w:jc w:val="left"/>
        <w:tblInd w:w="0" w:type="dxa"/>
        <w:tblLayout w:type="fixed"/>
        <w:tblCellMar>
          <w:top w:w="28" w:type="dxa"/>
          <w:left w:w="28" w:type="dxa"/>
          <w:bottom w:w="28" w:type="dxa"/>
          <w:right w:w="28" w:type="dxa"/>
        </w:tblCellMar>
      </w:tblPr>
      <w:tblGrid>
        <w:gridCol w:w="1744"/>
        <w:gridCol w:w="1531"/>
        <w:gridCol w:w="1540"/>
        <w:gridCol w:w="404"/>
        <w:gridCol w:w="404"/>
        <w:gridCol w:w="406"/>
        <w:gridCol w:w="109"/>
        <w:gridCol w:w="109"/>
        <w:gridCol w:w="109"/>
        <w:gridCol w:w="264"/>
        <w:gridCol w:w="264"/>
        <w:gridCol w:w="266"/>
        <w:gridCol w:w="109"/>
        <w:gridCol w:w="109"/>
        <w:gridCol w:w="109"/>
        <w:gridCol w:w="649"/>
        <w:gridCol w:w="649"/>
        <w:gridCol w:w="922"/>
      </w:tblGrid>
      <w:tr>
        <w:trPr/>
        <w:tc>
          <w:tcPr>
            <w:tcW w:w="174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CRC GUIDANCE</w:t>
            </w:r>
          </w:p>
        </w:tc>
        <w:tc>
          <w:tcPr>
            <w:tcW w:w="121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3Q24E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CMB </w:t>
              <w:br/>
              <w:t>3Q24E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E&amp;P, Corp. &amp; Other 3Q24E</w:t>
            </w:r>
          </w:p>
        </w:tc>
      </w:tr>
      <w:tr>
        <w:trPr/>
        <w:tc>
          <w:tcPr>
            <w:tcW w:w="48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Production (MBoe/d)</w:t>
            </w:r>
          </w:p>
        </w:tc>
        <w:tc>
          <w:tcPr>
            <w:tcW w:w="12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141 - 145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141 - 145</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Production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CMB Expenses &amp; Operating Costs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$325 - $355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$310 - $335</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$98 - $116</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Adjusted General and Administrative Expenses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$80 - $99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$79 - $97</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$90 - $110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$5 -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35"/>
              <w:jc w:val="center"/>
              <w:rPr>
                <w:rFonts w:ascii="Arial;sans-serif" w:hAnsi="Arial;sans-serif"/>
                <w:b w:val="false"/>
                <w:color w:val="000000"/>
                <w:sz w:val="16"/>
              </w:rPr>
            </w:pPr>
            <w:r>
              <w:rPr>
                <w:rFonts w:ascii="Arial;sans-serif" w:hAnsi="Arial;sans-serif"/>
                <w:b w:val="false"/>
                <w:color w:val="000000"/>
                <w:sz w:val="16"/>
              </w:rPr>
              <w:t>$85 - $100</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Drilling &amp; completions, workover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$46 - $55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Facilities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$37 - $42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Carbon management business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$5-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Corporate &amp; other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$2 -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 ($ millions)</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$375 - $415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Margin from Marketing of Purchased Commodities ($ millions) </w:t>
            </w:r>
            <w:r>
              <w:rPr>
                <w:rFonts w:ascii="Arial;sans-serif" w:hAnsi="Arial;sans-serif"/>
                <w:b w:val="false"/>
                <w:color w:val="000000"/>
                <w:sz w:val="10"/>
              </w:rPr>
              <w:t>(1)</w:t>
            </w:r>
            <w:r>
              <w:rPr>
                <w:color w:val="000000"/>
              </w:rPr>
              <w:t xml:space="preserve"> </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$16</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Electricity Margin ($ millions) </w:t>
            </w:r>
            <w:r>
              <w:rPr>
                <w:rFonts w:ascii="Arial;sans-serif" w:hAnsi="Arial;sans-serif"/>
                <w:b w:val="false"/>
                <w:color w:val="000000"/>
                <w:sz w:val="10"/>
              </w:rPr>
              <w:t>(2)</w:t>
            </w:r>
            <w:r>
              <w:rPr>
                <w:color w:val="000000"/>
              </w:rPr>
              <w:t xml:space="preserve">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$45 - $65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$45 - $65</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Operating Revenue &amp; Expenses, net ($ millions)</w:t>
            </w:r>
            <w:r>
              <w:rPr>
                <w:rFonts w:ascii="Arial;sans-serif" w:hAnsi="Arial;sans-serif"/>
                <w:b w:val="false"/>
                <w:color w:val="000000"/>
                <w:sz w:val="10"/>
              </w:rPr>
              <w:t>(3)</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($112)</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$20 - $25</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$75 - $85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$75 - $85</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 ($ millions)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$25 -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$25 - $30</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Assumptions: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Brent ($/Bbl)</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$84.23</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($/Mcf)</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Oil - % of Brent: </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 - 98%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 - 98%</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NGL - % of Brent: </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 - 54%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 - 54%</w:t>
            </w:r>
          </w:p>
        </w:tc>
      </w:tr>
      <w:tr>
        <w:trPr/>
        <w:tc>
          <w:tcPr>
            <w:tcW w:w="4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Natural Gas - % of NYMEX: </w:t>
            </w:r>
          </w:p>
        </w:tc>
        <w:tc>
          <w:tcPr>
            <w:tcW w:w="12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- 114%</w:t>
            </w:r>
          </w:p>
        </w:tc>
      </w:tr>
    </w:tbl>
    <w:p>
      <w:pPr>
        <w:pStyle w:val="TextBody"/>
        <w:bidi w:val="0"/>
        <w:spacing w:lineRule="auto" w:line="26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Margin from Marketing of Purchased Commodities is calculated as the difference between Revenue from Marketing of Purchased Commodities and Costs Related to Marketing of Purchased Commodities.</w:t>
      </w:r>
    </w:p>
    <w:p>
      <w:pPr>
        <w:pStyle w:val="TextBody"/>
        <w:bidi w:val="0"/>
        <w:spacing w:lineRule="auto" w:line="268"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Electricity Margin is calculated as the difference between Electricity Sales and Electricity Generation Expenses.</w:t>
      </w:r>
    </w:p>
    <w:p>
      <w:pPr>
        <w:pStyle w:val="TextBody"/>
        <w:bidi w:val="0"/>
        <w:spacing w:lineRule="auto" w:line="268" w:before="0" w:after="0"/>
        <w:jc w:val="both"/>
        <w:rPr/>
      </w:pPr>
      <w:r>
        <w:rPr>
          <w:rFonts w:ascii="Arial;sans-serif" w:hAnsi="Arial;sans-serif"/>
          <w:b w:val="false"/>
          <w:color w:val="000000"/>
          <w:sz w:val="10"/>
        </w:rPr>
        <w:t xml:space="preserve">(3) </w:t>
      </w:r>
      <w:r>
        <w:rPr>
          <w:rFonts w:ascii="Arial;sans-serif" w:hAnsi="Arial;sans-serif"/>
          <w:b w:val="false"/>
          <w:color w:val="000000"/>
          <w:sz w:val="16"/>
        </w:rPr>
        <w:t>Other Operating Revenue &amp; Expenses, net is calculated as the difference between Other Revenue and Other Operating Expenses, net. Includes Aera merger and integration costs paid in 3Q24 and $60 million of costs to achieve that we expect to be paid in 4Q24.</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See Attachment 3 for management's disclosure of its use of these non-GAAP measures and how these measures provide useful information to investors about CRC's results of operations and financial condition.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color w:val="000000"/>
          <w:sz w:val="16"/>
        </w:rPr>
      </w:pPr>
      <w:r>
        <w:rPr>
          <w:rFonts w:ascii="Arial;sans-serif" w:hAnsi="Arial;sans-serif"/>
          <w:b/>
          <w:color w:val="000000"/>
          <w:sz w:val="16"/>
        </w:rPr>
        <w:t xml:space="preserve">ESTIMATED ADJUSTED GENERAL AND ADMINISTRATIVE EXPENSES RECONCILIATION </w:t>
      </w:r>
    </w:p>
    <w:tbl>
      <w:tblPr>
        <w:tblW w:w="10205" w:type="dxa"/>
        <w:jc w:val="left"/>
        <w:tblInd w:w="0" w:type="dxa"/>
        <w:tblLayout w:type="fixed"/>
        <w:tblCellMar>
          <w:top w:w="28" w:type="dxa"/>
          <w:left w:w="28" w:type="dxa"/>
          <w:bottom w:w="28" w:type="dxa"/>
          <w:right w:w="28" w:type="dxa"/>
        </w:tblCellMar>
      </w:tblPr>
      <w:tblGrid>
        <w:gridCol w:w="1571"/>
        <w:gridCol w:w="1374"/>
        <w:gridCol w:w="1398"/>
        <w:gridCol w:w="196"/>
        <w:gridCol w:w="421"/>
        <w:gridCol w:w="109"/>
        <w:gridCol w:w="109"/>
        <w:gridCol w:w="109"/>
        <w:gridCol w:w="109"/>
        <w:gridCol w:w="196"/>
        <w:gridCol w:w="421"/>
        <w:gridCol w:w="109"/>
        <w:gridCol w:w="109"/>
        <w:gridCol w:w="109"/>
        <w:gridCol w:w="109"/>
        <w:gridCol w:w="196"/>
        <w:gridCol w:w="241"/>
        <w:gridCol w:w="109"/>
        <w:gridCol w:w="109"/>
        <w:gridCol w:w="109"/>
        <w:gridCol w:w="109"/>
        <w:gridCol w:w="196"/>
        <w:gridCol w:w="241"/>
        <w:gridCol w:w="109"/>
        <w:gridCol w:w="109"/>
        <w:gridCol w:w="109"/>
        <w:gridCol w:w="109"/>
        <w:gridCol w:w="215"/>
        <w:gridCol w:w="463"/>
        <w:gridCol w:w="120"/>
        <w:gridCol w:w="120"/>
        <w:gridCol w:w="120"/>
        <w:gridCol w:w="120"/>
        <w:gridCol w:w="215"/>
        <w:gridCol w:w="463"/>
        <w:gridCol w:w="174"/>
      </w:tblGrid>
      <w:tr>
        <w:trPr/>
        <w:tc>
          <w:tcPr>
            <w:tcW w:w="15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2H24 Estimated</w:t>
            </w:r>
          </w:p>
        </w:tc>
      </w:tr>
      <w:tr>
        <w:trPr/>
        <w:tc>
          <w:tcPr>
            <w:tcW w:w="4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CMB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E&amp;P, Corporate &amp; Other</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4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73"/>
        <w:gridCol w:w="1376"/>
        <w:gridCol w:w="1400"/>
        <w:gridCol w:w="196"/>
        <w:gridCol w:w="421"/>
        <w:gridCol w:w="109"/>
        <w:gridCol w:w="109"/>
        <w:gridCol w:w="109"/>
        <w:gridCol w:w="109"/>
        <w:gridCol w:w="196"/>
        <w:gridCol w:w="421"/>
        <w:gridCol w:w="109"/>
        <w:gridCol w:w="109"/>
        <w:gridCol w:w="109"/>
        <w:gridCol w:w="109"/>
        <w:gridCol w:w="196"/>
        <w:gridCol w:w="241"/>
        <w:gridCol w:w="109"/>
        <w:gridCol w:w="109"/>
        <w:gridCol w:w="109"/>
        <w:gridCol w:w="109"/>
        <w:gridCol w:w="196"/>
        <w:gridCol w:w="241"/>
        <w:gridCol w:w="109"/>
        <w:gridCol w:w="109"/>
        <w:gridCol w:w="109"/>
        <w:gridCol w:w="109"/>
        <w:gridCol w:w="226"/>
        <w:gridCol w:w="382"/>
        <w:gridCol w:w="125"/>
        <w:gridCol w:w="125"/>
        <w:gridCol w:w="125"/>
        <w:gridCol w:w="125"/>
        <w:gridCol w:w="226"/>
        <w:gridCol w:w="486"/>
        <w:gridCol w:w="184"/>
      </w:tblGrid>
      <w:tr>
        <w:trPr/>
        <w:tc>
          <w:tcPr>
            <w:tcW w:w="157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3Q24 Estimated</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CMB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E&amp;P, Corporate &amp; Other</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43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color w:val="000000"/>
          <w:sz w:val="16"/>
        </w:rPr>
      </w:pPr>
      <w:r>
        <w:rPr>
          <w:rFonts w:ascii="Arial;sans-serif" w:hAnsi="Arial;sans-serif"/>
          <w:b/>
          <w:color w:val="000000"/>
          <w:sz w:val="16"/>
        </w:rPr>
        <w:t xml:space="preserve">ESTIMATED ADJUSTED EBITDAX RECONCILIATION </w:t>
      </w:r>
    </w:p>
    <w:tbl>
      <w:tblPr>
        <w:tblW w:w="8168" w:type="dxa"/>
        <w:jc w:val="left"/>
        <w:tblInd w:w="0" w:type="dxa"/>
        <w:tblLayout w:type="fixed"/>
        <w:tblCellMar>
          <w:top w:w="28" w:type="dxa"/>
          <w:left w:w="28" w:type="dxa"/>
          <w:bottom w:w="28" w:type="dxa"/>
          <w:right w:w="28" w:type="dxa"/>
        </w:tblCellMar>
      </w:tblPr>
      <w:tblGrid>
        <w:gridCol w:w="1111"/>
        <w:gridCol w:w="980"/>
        <w:gridCol w:w="98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09"/>
        <w:gridCol w:w="109"/>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2H24E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Stock-settled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medical and pension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Working capital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168" w:type="dxa"/>
        <w:jc w:val="left"/>
        <w:tblInd w:w="0" w:type="dxa"/>
        <w:tblLayout w:type="fixed"/>
        <w:tblCellMar>
          <w:top w:w="28" w:type="dxa"/>
          <w:left w:w="28" w:type="dxa"/>
          <w:bottom w:w="28" w:type="dxa"/>
          <w:right w:w="28" w:type="dxa"/>
        </w:tblCellMar>
      </w:tblPr>
      <w:tblGrid>
        <w:gridCol w:w="1111"/>
        <w:gridCol w:w="980"/>
        <w:gridCol w:w="98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09"/>
        <w:gridCol w:w="109"/>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3Q24E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Stock-settled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medical and pension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Working capital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16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7"/>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3</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NON-GAAP FINANCIAL MEASURES AND RECONCILIATIONS</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E&amp;P, Corporate &amp; Other adjusted EBITDAX, CMB adjusted EBITDAX, net cash provided by operating activities before changes in operating assets and liabilities, net, free cash flow, E&amp;P, Corporate &amp; Other free cash flow, CMB free cash flow, adjusted general and administrative expenses, operating costs per BOE, and adjusted total capital among others.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earnings release, including reconciliations to their most directly comparable GAAP measure where applicable. </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3"/>
        <w:gridCol w:w="741"/>
        <w:gridCol w:w="745"/>
        <w:gridCol w:w="158"/>
        <w:gridCol w:w="285"/>
        <w:gridCol w:w="701"/>
        <w:gridCol w:w="158"/>
        <w:gridCol w:w="158"/>
        <w:gridCol w:w="158"/>
        <w:gridCol w:w="158"/>
        <w:gridCol w:w="285"/>
        <w:gridCol w:w="732"/>
        <w:gridCol w:w="158"/>
        <w:gridCol w:w="158"/>
        <w:gridCol w:w="158"/>
        <w:gridCol w:w="158"/>
        <w:gridCol w:w="285"/>
        <w:gridCol w:w="701"/>
        <w:gridCol w:w="158"/>
        <w:gridCol w:w="158"/>
        <w:gridCol w:w="158"/>
        <w:gridCol w:w="158"/>
        <w:gridCol w:w="285"/>
        <w:gridCol w:w="732"/>
        <w:gridCol w:w="158"/>
        <w:gridCol w:w="158"/>
        <w:gridCol w:w="158"/>
        <w:gridCol w:w="158"/>
        <w:gridCol w:w="197"/>
        <w:gridCol w:w="483"/>
        <w:gridCol w:w="109"/>
        <w:gridCol w:w="109"/>
        <w:gridCol w:w="109"/>
        <w:gridCol w:w="177"/>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w:t>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3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Pr>
          <w:p>
            <w:pPr>
              <w:pStyle w:val="TableContents"/>
              <w:bidi w:val="0"/>
              <w:spacing w:before="0" w:after="283"/>
              <w:jc w:val="left"/>
              <w:rPr>
                <w:sz w:val="4"/>
                <w:szCs w:val="4"/>
              </w:rPr>
            </w:pPr>
            <w:r>
              <w:rPr>
                <w:sz w:val="4"/>
                <w:szCs w:val="4"/>
              </w:rPr>
            </w:r>
          </w:p>
        </w:tc>
      </w:tr>
      <w:tr>
        <w:trPr/>
        <w:tc>
          <w:tcPr>
            <w:tcW w:w="9021" w:type="dxa"/>
            <w:gridSpan w:val="28"/>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CRC's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 attributable to common stock per share to the non-GAAP financial measure of adjusted net income and adjusted net income per share.</w:t>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 except per share amounts)</w:t>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vAlign w:val="center"/>
          </w:tcPr>
          <w:p>
            <w:pPr>
              <w:pStyle w:val="TableContents"/>
              <w:bidi w:val="0"/>
              <w:spacing w:before="0" w:after="283"/>
              <w:jc w:val="left"/>
              <w:rPr>
                <w:sz w:val="4"/>
                <w:szCs w:val="4"/>
              </w:rPr>
            </w:pPr>
            <w:r>
              <w:rPr>
                <w:sz w:val="4"/>
                <w:szCs w:val="4"/>
              </w:rPr>
            </w:r>
          </w:p>
        </w:tc>
      </w:tr>
      <w:tr>
        <w:trPr/>
        <w:tc>
          <w:tcPr>
            <w:tcW w:w="23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derivative (gain) loss</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vAlign w:val="center"/>
          </w:tcPr>
          <w:p>
            <w:pPr>
              <w:pStyle w:val="TableContents"/>
              <w:bidi w:val="0"/>
              <w:spacing w:before="0" w:after="283"/>
              <w:jc w:val="left"/>
              <w:rPr>
                <w:sz w:val="4"/>
                <w:szCs w:val="4"/>
              </w:rPr>
            </w:pPr>
            <w:r>
              <w:rPr>
                <w:sz w:val="4"/>
                <w:szCs w:val="4"/>
              </w:rPr>
            </w:r>
          </w:p>
        </w:tc>
      </w:tr>
      <w:tr>
        <w:trPr/>
        <w:tc>
          <w:tcPr>
            <w:tcW w:w="23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termination costs</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Aera merger transaction fees</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Aera merger integration fees</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Increased power and fuel costs due to power plant shutdown</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on asset divestitures</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unusual, infrequent and other items</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 of adjustments at effective tax rate</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 - out of period</w:t>
            </w:r>
          </w:p>
        </w:tc>
        <w:tc>
          <w:tcPr>
            <w:tcW w:w="158"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basic</w:t>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65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30"/>
        <w:gridCol w:w="153"/>
        <w:gridCol w:w="153"/>
        <w:gridCol w:w="153"/>
        <w:gridCol w:w="277"/>
        <w:gridCol w:w="807"/>
        <w:gridCol w:w="153"/>
        <w:gridCol w:w="153"/>
        <w:gridCol w:w="153"/>
        <w:gridCol w:w="153"/>
        <w:gridCol w:w="271"/>
        <w:gridCol w:w="791"/>
        <w:gridCol w:w="151"/>
        <w:gridCol w:w="151"/>
        <w:gridCol w:w="151"/>
        <w:gridCol w:w="151"/>
        <w:gridCol w:w="151"/>
        <w:gridCol w:w="151"/>
        <w:gridCol w:w="151"/>
        <w:gridCol w:w="271"/>
        <w:gridCol w:w="791"/>
        <w:gridCol w:w="151"/>
        <w:gridCol w:w="151"/>
        <w:gridCol w:w="151"/>
        <w:gridCol w:w="151"/>
        <w:gridCol w:w="271"/>
        <w:gridCol w:w="791"/>
        <w:gridCol w:w="151"/>
        <w:gridCol w:w="151"/>
        <w:gridCol w:w="151"/>
        <w:gridCol w:w="151"/>
        <w:gridCol w:w="109"/>
        <w:gridCol w:w="196"/>
        <w:gridCol w:w="571"/>
        <w:gridCol w:w="109"/>
        <w:gridCol w:w="109"/>
        <w:gridCol w:w="109"/>
        <w:gridCol w:w="166"/>
      </w:tblGrid>
      <w:tr>
        <w:trPr/>
        <w:tc>
          <w:tcPr>
            <w:tcW w:w="12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85" w:type="dxa"/>
            <w:gridSpan w:val="10"/>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Pr>
          <w:p>
            <w:pPr>
              <w:pStyle w:val="TableContents"/>
              <w:bidi w:val="0"/>
              <w:spacing w:before="0" w:after="283"/>
              <w:jc w:val="left"/>
              <w:rPr>
                <w:sz w:val="4"/>
                <w:szCs w:val="4"/>
              </w:rPr>
            </w:pPr>
            <w:r>
              <w:rPr>
                <w:sz w:val="4"/>
                <w:szCs w:val="4"/>
              </w:rPr>
            </w:r>
          </w:p>
        </w:tc>
      </w:tr>
      <w:tr>
        <w:trPr/>
        <w:tc>
          <w:tcPr>
            <w:tcW w:w="8945" w:type="dxa"/>
            <w:gridSpan w:val="3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tcPr>
          <w:p>
            <w:pPr>
              <w:pStyle w:val="TableContents"/>
              <w:bidi w:val="0"/>
              <w:spacing w:before="0" w:after="283"/>
              <w:jc w:val="left"/>
              <w:rPr>
                <w:sz w:val="4"/>
                <w:szCs w:val="4"/>
              </w:rPr>
            </w:pPr>
            <w:r>
              <w:rPr>
                <w:sz w:val="4"/>
                <w:szCs w:val="4"/>
              </w:rPr>
            </w:r>
          </w:p>
        </w:tc>
      </w:tr>
      <w:tr>
        <w:trPr/>
        <w:tc>
          <w:tcPr>
            <w:tcW w:w="8836" w:type="dxa"/>
            <w:gridSpan w:val="31"/>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 </w:t>
            </w:r>
          </w:p>
          <w:p>
            <w:pPr>
              <w:pStyle w:val="TableContents"/>
              <w:bidi w:val="0"/>
              <w:spacing w:before="0" w:after="0"/>
              <w:jc w:val="both"/>
              <w:rPr/>
            </w:pPr>
            <w:r>
              <w:rPr/>
            </w:r>
          </w:p>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The following table represents a reconciliation of the GAAP financial measures of net income and net cash provided by operating activities to the non-GAAP financial measure of adjusted EBITDAX. CRC has supplemented its non-GAAP measures of consolidated adjusted EBITDAX with adjusted EBITDAX for its exploration and production and corporate items (Adjusted EBITDAX for E&amp;P, Corporate &amp; Other) which management believes is a useful measure for investors to understand the results of the core oil and gas business. CRC defines adjusted EBITDAX for E&amp;P, Corporate &amp; Other as consolidated adjusted EBITDAX less results attributable to its carbon management business (CMB).</w:t>
            </w:r>
          </w:p>
          <w:p>
            <w:pPr>
              <w:pStyle w:val="TableContents"/>
              <w:bidi w:val="0"/>
              <w:spacing w:before="0" w:after="0"/>
              <w:jc w:val="both"/>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 except per BOE amounts)</w:t>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(benefit)</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Unusual, infrequent and other items </w:t>
            </w:r>
            <w:r>
              <w:rPr>
                <w:rFonts w:ascii="Arial;sans-serif" w:hAnsi="Arial;sans-serif"/>
                <w:b w:val="false"/>
                <w:color w:val="000000"/>
                <w:sz w:val="13"/>
              </w:rPr>
              <w:t>(1)</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items</w:t>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Stock-based compensation</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Post-retirement medical and pension</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payments</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received</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expenditures</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working capital changes</w:t>
            </w:r>
          </w:p>
        </w:tc>
        <w:tc>
          <w:tcPr>
            <w:tcW w:w="153" w:type="dxa"/>
            <w:tcBorders/>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E&amp;P, Corporate &amp; Other Adjusted EBITDAX</w:t>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322</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CMB Adjusted EBITDAX</w:t>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per Boe</w:t>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20.23</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21.47</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17.59</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Adjusted Net Income (Loss) reconciliation.</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39"/>
        <w:gridCol w:w="200"/>
        <w:gridCol w:w="200"/>
        <w:gridCol w:w="181"/>
        <w:gridCol w:w="181"/>
        <w:gridCol w:w="181"/>
        <w:gridCol w:w="326"/>
        <w:gridCol w:w="726"/>
        <w:gridCol w:w="181"/>
        <w:gridCol w:w="181"/>
        <w:gridCol w:w="181"/>
        <w:gridCol w:w="181"/>
        <w:gridCol w:w="326"/>
        <w:gridCol w:w="676"/>
        <w:gridCol w:w="181"/>
        <w:gridCol w:w="181"/>
        <w:gridCol w:w="181"/>
        <w:gridCol w:w="181"/>
        <w:gridCol w:w="378"/>
        <w:gridCol w:w="619"/>
        <w:gridCol w:w="181"/>
        <w:gridCol w:w="181"/>
        <w:gridCol w:w="181"/>
        <w:gridCol w:w="181"/>
        <w:gridCol w:w="326"/>
        <w:gridCol w:w="726"/>
        <w:gridCol w:w="181"/>
        <w:gridCol w:w="181"/>
        <w:gridCol w:w="181"/>
        <w:gridCol w:w="181"/>
        <w:gridCol w:w="326"/>
        <w:gridCol w:w="726"/>
        <w:gridCol w:w="272"/>
      </w:tblGrid>
      <w:tr>
        <w:trPr/>
        <w:tc>
          <w:tcPr>
            <w:tcW w:w="9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FREE CASH FLOW AND SUPPLEMENTAL CASH FLOW MEASURES</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Management uses free cash flow, which is defined by CRC as net cash provided by operating activities less capital investments, as a measure of liquidity. The following table presents a reconciliation of CRC's net cash provided by operating activities to free cash flow. CRC supplemented its non-GAAP measure of free cash flow with (i) net cash provided by operating activities before changes in operating assets and liabilities, net, (ii) adjusted free cash flow, and (iii) adjusted free cash flow of exploration and production, and corporate and other items (Free Cash Flow for E&amp;P, Corporate &amp; Other), which it believes is a useful measure for investors to understand the results of CRC's core oil and gas business. CRC defines Free Cash Flow for E&amp;P, Corporate &amp; Other as consolidated free cash flow less results attributable to its carbon management business (CMB). CRC defines adjusted free cash flow as free cash flow before transaction and integration costs from the Aera Merger.</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 before working capital changes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w:t>
            </w: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Working capital changes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w:t>
            </w:r>
            <w:r>
              <w:rPr>
                <w:color w:val="000000"/>
              </w:rPr>
              <w:t>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w:t>
            </w:r>
            <w:r>
              <w:rPr>
                <w:color w:val="000000"/>
              </w:rPr>
              <w:t>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Aera transaction and integration costs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w:t>
            </w: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w:t>
            </w:r>
            <w:r>
              <w:rPr>
                <w:color w:val="000000"/>
              </w:rPr>
              <w:t>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E&amp;P, Corporate and Other </w:t>
            </w:r>
            <w:r>
              <w:rPr>
                <w:rFonts w:ascii="Arial;sans-serif" w:hAnsi="Arial;sans-serif"/>
                <w:b w:val="false"/>
                <w:color w:val="000000"/>
                <w:sz w:val="10"/>
              </w:rPr>
              <w:t>(1)</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CMB </w:t>
            </w:r>
            <w:r>
              <w:rPr>
                <w:rFonts w:ascii="Arial;sans-serif" w:hAnsi="Arial;sans-serif"/>
                <w:b w:val="false"/>
                <w:color w:val="000000"/>
                <w:sz w:val="10"/>
              </w:rPr>
              <w:t>(1)</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Adjustments to capital investments: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Replacement water facilities</w:t>
            </w:r>
            <w:r>
              <w:rPr>
                <w:rFonts w:ascii="Arial;sans-serif" w:hAnsi="Arial;sans-serif"/>
                <w:b w:val="false"/>
                <w:color w:val="000000"/>
                <w:sz w:val="10"/>
              </w:rPr>
              <w:t>(2)</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capital investments: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E&amp;P, Corporate and Other</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CMB</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free cash flow:</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E&amp;P, Corporate and Other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CMB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CMB free cash flow previously reported for the first three months of 2024 was $(17) million and was corrected to $(7) million to account for noncash add backs related to leases. We define free cash flow for E&amp;P, Corporate &amp; Other as consolidated free cash flow less results attributable to the carbon management business. Accordingly, this change impacted our previously reported E&amp;P, Corporate &amp; Other free cash flow from $63 million to $53 million for the first three months of 2024</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Facilities capital includes $0, $1 million and $1 million in the first quarter of 2024 and fourth and first quarter of 2023,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w:t>
            </w:r>
          </w:p>
          <w:p>
            <w:pPr>
              <w:pStyle w:val="TableContents"/>
              <w:bidi w:val="0"/>
              <w:spacing w:before="0" w:after="0"/>
              <w:jc w:val="left"/>
              <w:rPr/>
            </w:pPr>
            <w:r>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56"/>
        <w:gridCol w:w="173"/>
        <w:gridCol w:w="173"/>
        <w:gridCol w:w="154"/>
        <w:gridCol w:w="154"/>
        <w:gridCol w:w="154"/>
        <w:gridCol w:w="277"/>
        <w:gridCol w:w="809"/>
        <w:gridCol w:w="154"/>
        <w:gridCol w:w="154"/>
        <w:gridCol w:w="154"/>
        <w:gridCol w:w="154"/>
        <w:gridCol w:w="277"/>
        <w:gridCol w:w="809"/>
        <w:gridCol w:w="154"/>
        <w:gridCol w:w="154"/>
        <w:gridCol w:w="154"/>
        <w:gridCol w:w="154"/>
        <w:gridCol w:w="277"/>
        <w:gridCol w:w="809"/>
        <w:gridCol w:w="154"/>
        <w:gridCol w:w="154"/>
        <w:gridCol w:w="154"/>
        <w:gridCol w:w="154"/>
        <w:gridCol w:w="277"/>
        <w:gridCol w:w="809"/>
        <w:gridCol w:w="154"/>
        <w:gridCol w:w="154"/>
        <w:gridCol w:w="154"/>
        <w:gridCol w:w="154"/>
        <w:gridCol w:w="277"/>
        <w:gridCol w:w="809"/>
        <w:gridCol w:w="154"/>
        <w:gridCol w:w="109"/>
        <w:gridCol w:w="109"/>
        <w:gridCol w:w="175"/>
      </w:tblGrid>
      <w:tr>
        <w:trPr/>
        <w:tc>
          <w:tcPr>
            <w:tcW w:w="9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812"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GENERAL &amp; ADMINISTRATIVE EXPENSES</w:t>
            </w:r>
          </w:p>
        </w:tc>
        <w:tc>
          <w:tcPr>
            <w:tcW w:w="3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Management uses a measure called adjusted general and administrative (G&amp;A) expenses to provide useful information to investors interested in comparing CRC's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2nd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Information technology infrastructure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expenses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E&amp;P, Corporate and Other adjusted G&amp;A expenses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CMB adjusted G&amp;A expenses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PER BOE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per BOE)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operating costs </w:t>
            </w:r>
            <w:r>
              <w:rPr>
                <w:rFonts w:ascii="Arial;sans-serif" w:hAnsi="Arial;sans-serif"/>
                <w:b w:val="false"/>
                <w:color w:val="000000"/>
                <w:sz w:val="10"/>
              </w:rPr>
              <w:t>(1)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Gas processing costs </w:t>
            </w:r>
            <w:r>
              <w:rPr>
                <w:rFonts w:ascii="Arial;sans-serif" w:hAnsi="Arial;sans-serif"/>
                <w:b w:val="false"/>
                <w:color w:val="000000"/>
                <w:sz w:val="10"/>
              </w:rPr>
              <w:t>(2)</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Non-energy operating costs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Operating costs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attributable to PSCs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Excess energy operating costs attributable to PSCs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Excess non-energy operating costs attributable to PSCs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Excess costs attributable to PSCs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operating costs, excluding effect of PSCs </w:t>
            </w:r>
            <w:r>
              <w:rPr>
                <w:rFonts w:ascii="Arial;sans-serif" w:hAnsi="Arial;sans-serif"/>
                <w:b w:val="false"/>
                <w:color w:val="000000"/>
                <w:sz w:val="10"/>
              </w:rPr>
              <w:t>(1)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Gas processing costs, excluding effect of PSCs </w:t>
            </w:r>
            <w:r>
              <w:rPr>
                <w:rFonts w:ascii="Arial;sans-serif" w:hAnsi="Arial;sans-serif"/>
                <w:b w:val="false"/>
                <w:color w:val="000000"/>
                <w:sz w:val="10"/>
              </w:rPr>
              <w:t>(2)</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Non-energy operating costs, excluding effect of PSCs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excluding effects of PSCs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Energy operating costs consist of purchased natural gas used to generate electricity for operations and steamfloods, purchased electricity and internal costs to generate electricity used in CRC's operations.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9"/>
              </w:rPr>
              <w:t xml:space="preserve">(2) </w:t>
            </w:r>
            <w:r>
              <w:rPr>
                <w:rFonts w:ascii="Arial;sans-serif" w:hAnsi="Arial;sans-serif"/>
                <w:b w:val="false"/>
                <w:color w:val="000000"/>
                <w:sz w:val="14"/>
              </w:rPr>
              <w:t>Gas processing costs include costs associated with compression, maintenance and other activities needed to run CRC's gas processing facilities at Elk Hills.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42" w:type="dxa"/>
        <w:jc w:val="center"/>
        <w:tblInd w:w="0" w:type="dxa"/>
        <w:tblLayout w:type="fixed"/>
        <w:tblCellMar>
          <w:top w:w="28" w:type="dxa"/>
          <w:left w:w="28" w:type="dxa"/>
          <w:bottom w:w="28" w:type="dxa"/>
          <w:right w:w="28" w:type="dxa"/>
        </w:tblCellMar>
      </w:tblPr>
      <w:tblGrid>
        <w:gridCol w:w="1161"/>
        <w:gridCol w:w="1023"/>
        <w:gridCol w:w="1026"/>
        <w:gridCol w:w="109"/>
        <w:gridCol w:w="109"/>
        <w:gridCol w:w="109"/>
        <w:gridCol w:w="349"/>
        <w:gridCol w:w="349"/>
        <w:gridCol w:w="351"/>
        <w:gridCol w:w="109"/>
        <w:gridCol w:w="109"/>
        <w:gridCol w:w="109"/>
        <w:gridCol w:w="329"/>
        <w:gridCol w:w="329"/>
        <w:gridCol w:w="331"/>
        <w:gridCol w:w="109"/>
        <w:gridCol w:w="109"/>
        <w:gridCol w:w="109"/>
        <w:gridCol w:w="349"/>
        <w:gridCol w:w="349"/>
        <w:gridCol w:w="351"/>
        <w:gridCol w:w="109"/>
        <w:gridCol w:w="109"/>
        <w:gridCol w:w="109"/>
        <w:gridCol w:w="289"/>
        <w:gridCol w:w="289"/>
        <w:gridCol w:w="291"/>
        <w:gridCol w:w="109"/>
        <w:gridCol w:w="109"/>
        <w:gridCol w:w="109"/>
        <w:gridCol w:w="289"/>
        <w:gridCol w:w="289"/>
        <w:gridCol w:w="291"/>
        <w:gridCol w:w="109"/>
        <w:gridCol w:w="109"/>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2" w:type="dxa"/>
            <w:gridSpan w:val="3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4</w:t>
            </w:r>
          </w:p>
        </w:tc>
      </w:tr>
      <w:tr>
        <w:trPr/>
        <w:tc>
          <w:tcPr>
            <w:tcW w:w="321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STATISTICS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Operated and Net Non-Operated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0"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22"/>
        <w:gridCol w:w="810"/>
        <w:gridCol w:w="814"/>
        <w:gridCol w:w="197"/>
        <w:gridCol w:w="574"/>
        <w:gridCol w:w="257"/>
        <w:gridCol w:w="109"/>
        <w:gridCol w:w="109"/>
        <w:gridCol w:w="109"/>
        <w:gridCol w:w="196"/>
        <w:gridCol w:w="571"/>
        <w:gridCol w:w="256"/>
        <w:gridCol w:w="109"/>
        <w:gridCol w:w="109"/>
        <w:gridCol w:w="109"/>
        <w:gridCol w:w="109"/>
        <w:gridCol w:w="109"/>
        <w:gridCol w:w="109"/>
        <w:gridCol w:w="204"/>
        <w:gridCol w:w="596"/>
        <w:gridCol w:w="268"/>
        <w:gridCol w:w="109"/>
        <w:gridCol w:w="109"/>
        <w:gridCol w:w="109"/>
        <w:gridCol w:w="196"/>
        <w:gridCol w:w="571"/>
        <w:gridCol w:w="256"/>
        <w:gridCol w:w="109"/>
        <w:gridCol w:w="109"/>
        <w:gridCol w:w="109"/>
        <w:gridCol w:w="204"/>
        <w:gridCol w:w="596"/>
        <w:gridCol w:w="268"/>
        <w:gridCol w:w="109"/>
        <w:gridCol w:w="109"/>
        <w:gridCol w:w="109"/>
        <w:gridCol w:w="109"/>
        <w:gridCol w:w="109"/>
        <w:gridCol w:w="109"/>
        <w:gridCol w:w="160"/>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PRICE STATISTICS</w:t>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 per Bbl)</w:t>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81.29</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63.66</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63.35</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83.14</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80.16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75.77</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77.25</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($/Bbl)</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46.96</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42.48</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50.88</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($/Mcf)</w:t>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12.44</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12.44</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 Prices</w:t>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Brent oil ($/Bbl)</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85.00</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81.84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78.01</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83.42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80.12</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WTI oil ($/Bbl)</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80.57</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76.96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73.78</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78.77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74.95</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average monthly settled price ($/MMBtu)</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w:t>
            </w: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Prices as Percentage of Index Prices</w:t>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Brent</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Brent</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WTI</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WTI</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Brent</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WTI</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 derivative settlements as a percentage of NYMEX contract month average</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without derivative settlements as a percentage of NYMEX contract month average</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w:t>
            </w:r>
            <w:r>
              <w:rPr>
                <w:color w:val="000000"/>
              </w:rPr>
              <w:t>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1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1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0"/>
        <w:gridCol w:w="1074"/>
        <w:gridCol w:w="1081"/>
        <w:gridCol w:w="119"/>
        <w:gridCol w:w="370"/>
        <w:gridCol w:w="370"/>
        <w:gridCol w:w="372"/>
        <w:gridCol w:w="119"/>
        <w:gridCol w:w="119"/>
        <w:gridCol w:w="119"/>
        <w:gridCol w:w="370"/>
        <w:gridCol w:w="370"/>
        <w:gridCol w:w="372"/>
        <w:gridCol w:w="119"/>
        <w:gridCol w:w="119"/>
        <w:gridCol w:w="119"/>
        <w:gridCol w:w="263"/>
        <w:gridCol w:w="263"/>
        <w:gridCol w:w="264"/>
        <w:gridCol w:w="119"/>
        <w:gridCol w:w="119"/>
        <w:gridCol w:w="119"/>
        <w:gridCol w:w="350"/>
        <w:gridCol w:w="350"/>
        <w:gridCol w:w="351"/>
        <w:gridCol w:w="109"/>
        <w:gridCol w:w="109"/>
        <w:gridCol w:w="109"/>
        <w:gridCol w:w="344"/>
        <w:gridCol w:w="344"/>
        <w:gridCol w:w="500"/>
      </w:tblGrid>
      <w:tr>
        <w:trPr/>
        <w:tc>
          <w:tcPr>
            <w:tcW w:w="128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6</w:t>
            </w:r>
          </w:p>
        </w:tc>
      </w:tr>
      <w:tr>
        <w:trPr/>
        <w:tc>
          <w:tcPr>
            <w:tcW w:w="343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SECOND QUARTER 2024 DRILLING ACTIVITY</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2024 DRILLING ACTIVITY</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22"/>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steam injectors and drilled but uncompleted wells, which are not included in the SEC definition of wells drilled.</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72" w:type="dxa"/>
        <w:jc w:val="left"/>
        <w:tblInd w:w="0" w:type="dxa"/>
        <w:tblLayout w:type="fixed"/>
        <w:tblCellMar>
          <w:top w:w="28" w:type="dxa"/>
          <w:left w:w="28" w:type="dxa"/>
          <w:bottom w:w="28" w:type="dxa"/>
          <w:right w:w="28" w:type="dxa"/>
        </w:tblCellMar>
      </w:tblPr>
      <w:tblGrid>
        <w:gridCol w:w="1104"/>
        <w:gridCol w:w="968"/>
        <w:gridCol w:w="972"/>
        <w:gridCol w:w="109"/>
        <w:gridCol w:w="109"/>
        <w:gridCol w:w="109"/>
        <w:gridCol w:w="109"/>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28"/>
        <w:gridCol w:w="128"/>
        <w:gridCol w:w="128"/>
        <w:gridCol w:w="218"/>
        <w:gridCol w:w="218"/>
        <w:gridCol w:w="328"/>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Attachment 7</w:t>
            </w:r>
          </w:p>
        </w:tc>
      </w:tr>
      <w:tr>
        <w:trPr/>
        <w:tc>
          <w:tcPr>
            <w:tcW w:w="304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HEDGES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2H 2025</w:t>
            </w:r>
          </w:p>
        </w:tc>
      </w:tr>
      <w:tr>
        <w:trPr/>
        <w:tc>
          <w:tcPr>
            <w:tcW w:w="3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Sold Calls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29,500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Brent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$87.08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$87.11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Swaps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3,250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Brent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$72.50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$72.50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Purchased Puts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30,000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29,500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Brent price per barrel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$61.69</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8" w:type="dxa"/>
            <w:gridSpan w:val="3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Franklin Gothic Book">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8243</Words>
  <Characters>41800</Characters>
  <CharactersWithSpaces>48750</CharactersWithSpaces>
  <Paragraphs>2353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