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2)*</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13057Q305*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George Travers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GoldenTree Asset Management LP</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847-3500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18,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319" w:lineRule="exact"/>
        <w:rPr>
          <w:sz w:val="24"/>
          <w:szCs w:val="24"/>
          <w:color w:val="auto"/>
        </w:rPr>
      </w:pPr>
    </w:p>
    <w:p>
      <w:pPr>
        <w:ind w:right="360"/>
        <w:spacing w:after="0" w:line="231"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49"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 w:lineRule="exact"/>
        <w:rPr>
          <w:sz w:val="24"/>
          <w:szCs w:val="24"/>
          <w:color w:val="auto"/>
        </w:rPr>
      </w:pPr>
    </w:p>
    <w:p>
      <w:pPr>
        <w:ind w:left="340" w:right="4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2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18,748,921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18,748,921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18,748,921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22.4%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18,280,152 common shares, $0.01 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468,769 Common Shares that would result from the exercise of 468,769 warrants of the Issuer entitling the holder thereof to purchase one Common Share at an exercise price of $36.00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340" w:right="60" w:hanging="332"/>
        <w:spacing w:after="0" w:line="25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of April 30, 2021,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May 13, 2021 (the “</w:t>
      </w:r>
      <w:r>
        <w:rPr>
          <w:rFonts w:ascii="Arial" w:cs="Arial" w:eastAsia="Arial" w:hAnsi="Arial"/>
          <w:sz w:val="18"/>
          <w:szCs w:val="18"/>
          <w:u w:val="single" w:color="auto"/>
          <w:color w:val="auto"/>
        </w:rPr>
        <w:t>Form 10-Q</w:t>
      </w:r>
      <w:r>
        <w:rPr>
          <w:rFonts w:ascii="Arial" w:cs="Arial" w:eastAsia="Arial" w:hAnsi="Arial"/>
          <w:sz w:val="18"/>
          <w:szCs w:val="18"/>
          <w:color w:val="auto"/>
        </w:rPr>
        <w:t>”)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3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18,748,921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18,748,921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18,748,921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22.4%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18,280,152 Common Shares of the Issuer, and (ii) 468,769 Common Shares that would result from the exercise of 468,769 Warrants.</w:t>
      </w:r>
    </w:p>
    <w:p>
      <w:pPr>
        <w:spacing w:after="0" w:line="46" w:lineRule="exact"/>
        <w:rPr>
          <w:rFonts w:ascii="Arial" w:cs="Arial" w:eastAsia="Arial" w:hAnsi="Arial"/>
          <w:sz w:val="16"/>
          <w:szCs w:val="16"/>
          <w:color w:val="auto"/>
        </w:rPr>
      </w:pPr>
    </w:p>
    <w:p>
      <w:pPr>
        <w:ind w:left="340" w:right="10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4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Steven A. Tananbaum</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18,748,921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18,748,921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18,748,921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22.4%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(i) 18,280,152 Common Shares of the Issuer, and (ii) Common Shares that would result from the exercise of 468,769 Warrants.</w:t>
      </w:r>
    </w:p>
    <w:p>
      <w:pPr>
        <w:spacing w:after="0" w:line="34" w:lineRule="exact"/>
        <w:rPr>
          <w:rFonts w:ascii="Arial" w:cs="Arial" w:eastAsia="Arial" w:hAnsi="Arial"/>
          <w:sz w:val="17"/>
          <w:szCs w:val="17"/>
          <w:color w:val="auto"/>
        </w:rPr>
      </w:pPr>
    </w:p>
    <w:p>
      <w:pPr>
        <w:ind w:left="340" w:right="10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CUSIP No. 13057Q305</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w w:val="86"/>
              </w:rPr>
              <w:t>Page 5 of 8</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Arial" w:cs="Arial" w:eastAsia="Arial" w:hAnsi="Arial"/>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76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Arial" w:cs="Arial" w:eastAsia="Arial" w:hAnsi="Arial"/>
                <w:sz w:val="18"/>
                <w:szCs w:val="18"/>
                <w:color w:val="auto"/>
              </w:rPr>
              <w:t>5,396,114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6"/>
              </w:rPr>
              <w:t>OWNED BY EACH</w:t>
            </w:r>
          </w:p>
        </w:tc>
        <w:tc>
          <w:tcPr>
            <w:tcW w:w="3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760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20" w:type="dxa"/>
            <w:vAlign w:val="bottom"/>
          </w:tcPr>
          <w:p>
            <w:pPr>
              <w:spacing w:after="0"/>
              <w:rPr>
                <w:sz w:val="21"/>
                <w:szCs w:val="21"/>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rPr>
              <w:t>WITH</w:t>
            </w:r>
          </w:p>
        </w:tc>
        <w:tc>
          <w:tcPr>
            <w:tcW w:w="320" w:type="dxa"/>
            <w:vAlign w:val="bottom"/>
            <w:tcBorders>
              <w:bottom w:val="single" w:sz="8" w:color="auto"/>
              <w:right w:val="single" w:sz="8" w:color="auto"/>
            </w:tcBorders>
          </w:tcPr>
          <w:p>
            <w:pPr>
              <w:spacing w:after="0"/>
              <w:rPr>
                <w:sz w:val="21"/>
                <w:szCs w:val="21"/>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76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5,396,114</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7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5,396,114</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Arial" w:cs="Arial" w:eastAsia="Arial" w:hAnsi="Arial"/>
                <w:sz w:val="18"/>
                <w:szCs w:val="18"/>
                <w:color w:val="auto"/>
                <w:w w:val="79"/>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 (2)</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ind w:left="40"/>
              <w:spacing w:after="0"/>
              <w:rPr>
                <w:sz w:val="20"/>
                <w:szCs w:val="20"/>
                <w:color w:val="auto"/>
              </w:rPr>
            </w:pPr>
            <w:r>
              <w:rPr>
                <w:rFonts w:ascii="Arial" w:cs="Arial" w:eastAsia="Arial" w:hAnsi="Arial"/>
                <w:sz w:val="18"/>
                <w:szCs w:val="18"/>
                <w:color w:val="auto"/>
                <w:w w:val="79"/>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5,236,867 Common Shares of the Issuer, and (ii) 159,247 Common Shares that would result from the exercise of 159,247 Warrants.</w:t>
      </w:r>
    </w:p>
    <w:p>
      <w:pPr>
        <w:spacing w:after="0" w:line="46" w:lineRule="exact"/>
        <w:rPr>
          <w:rFonts w:ascii="Arial" w:cs="Arial" w:eastAsia="Arial" w:hAnsi="Arial"/>
          <w:sz w:val="16"/>
          <w:szCs w:val="16"/>
          <w:color w:val="auto"/>
        </w:rPr>
      </w:pPr>
    </w:p>
    <w:p>
      <w:pPr>
        <w:ind w:left="340" w:right="10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No. 2 to Schedule 13D (as so amended, the “</w:t>
      </w:r>
      <w:r>
        <w:rPr>
          <w:rFonts w:ascii="Arial" w:cs="Arial" w:eastAsia="Arial" w:hAnsi="Arial"/>
          <w:sz w:val="16"/>
          <w:szCs w:val="16"/>
          <w:u w:val="single" w:color="auto"/>
          <w:color w:val="auto"/>
        </w:rPr>
        <w:t>Schedule 13D</w:t>
      </w:r>
      <w:r>
        <w:rPr>
          <w:rFonts w:ascii="Arial" w:cs="Arial" w:eastAsia="Arial" w:hAnsi="Arial"/>
          <w:sz w:val="16"/>
          <w:szCs w:val="16"/>
          <w:color w:val="auto"/>
        </w:rPr>
        <w:t>”) is being filed to amend the Schedule 13D originally filed with the SEC 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November 6, 2020, as amended by Amendment No. 1 dated November 10, 2020, and relates to the common shares, $0.01 par value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Shares</w:t>
      </w:r>
      <w:r>
        <w:rPr>
          <w:rFonts w:ascii="Arial" w:cs="Arial" w:eastAsia="Arial" w:hAnsi="Arial"/>
          <w:sz w:val="16"/>
          <w:szCs w:val="16"/>
          <w:color w:val="auto"/>
        </w:rPr>
        <w:t>”), of California Resources Corporation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offices of the Issuer is 27200 Tourney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Suite 200, Santa Clarita, California.</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32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6" w:name="page7"/>
    <w:bookmarkEnd w:id="6"/>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is amended and restated as follows:</w:t>
      </w:r>
    </w:p>
    <w:p>
      <w:pPr>
        <w:spacing w:after="0" w:line="225" w:lineRule="exact"/>
        <w:rPr>
          <w:sz w:val="20"/>
          <w:szCs w:val="20"/>
          <w:color w:val="auto"/>
        </w:rPr>
      </w:pPr>
    </w:p>
    <w:p>
      <w:pPr>
        <w:ind w:right="60" w:firstLine="8"/>
        <w:spacing w:after="0" w:line="259"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and Item 3 are incorporated herein by reference. Such information is calculated using a denominator of 83,788,429, the sum of (i) 83,319,660 Common Shares outstanding, as reported on the Form 10-Q and (ii) 468,769 Common Shares that would result in the event all of the Warrants beneficially owned by the Reporting Persons were exercised and no other outstanding Warrants were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 The information in Item 3 and Item 4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24, 2021, certain Funds and Managed Accounts sold 320 Warrants at a price of $25.43 per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200,000 Common Shares at a price of $28.3988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13,159 Common Shares at a price of $28.4672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60,118 Common Shares at a price of $28.591 per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128,625 Common Shares at a price of $28.7148 per Common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8,935 Common Shares at a price of $29.0063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185,457 Common Shares at a price of $29.0332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18, 2021, certain Funds and Managed Accounts sold 125 Common Shares at a price of $29.07 per Common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19, 2021, certain Funds and Managed Accounts sold 208,581 Common Shares at a price of $28.755 per Common Share.</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Except as set forth in this Schedule 13D, there have been no transactions in the Common Shares of the Issuer effected during the past 60 days by any person named in Item 2 hereof.</w:t>
      </w:r>
    </w:p>
    <w:p>
      <w:pPr>
        <w:spacing w:after="0" w:line="17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disclosure in Item 2(c) of this Schedule 13D is incorporated by reference herein.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CUSIP No. 13057Q305</w:t>
            </w:r>
          </w:p>
        </w:tc>
        <w:tc>
          <w:tcPr>
            <w:tcW w:w="1900" w:type="dxa"/>
            <w:vAlign w:val="bottom"/>
          </w:tcPr>
          <w:p>
            <w:pPr>
              <w:spacing w:after="0"/>
              <w:rPr>
                <w:sz w:val="21"/>
                <w:szCs w:val="21"/>
                <w:color w:val="auto"/>
              </w:rPr>
            </w:pPr>
          </w:p>
        </w:tc>
        <w:tc>
          <w:tcPr>
            <w:tcW w:w="4820" w:type="dxa"/>
            <w:vAlign w:val="bottom"/>
            <w:tcBorders>
              <w:right w:val="single" w:sz="8" w:color="auto"/>
            </w:tcBorders>
          </w:tcPr>
          <w:p>
            <w:pPr>
              <w:ind w:left="780"/>
              <w:spacing w:after="0"/>
              <w:rPr>
                <w:sz w:val="20"/>
                <w:szCs w:val="20"/>
                <w:color w:val="auto"/>
              </w:rPr>
            </w:pPr>
            <w:r>
              <w:rPr>
                <w:rFonts w:ascii="Arial" w:cs="Arial" w:eastAsia="Arial" w:hAnsi="Arial"/>
                <w:sz w:val="18"/>
                <w:szCs w:val="18"/>
                <w:b w:val="1"/>
                <w:bCs w:val="1"/>
                <w:color w:val="auto"/>
              </w:rPr>
              <w:t>SCHEDULE 13D</w:t>
            </w:r>
          </w:p>
        </w:tc>
        <w:tc>
          <w:tcPr>
            <w:tcW w:w="8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6"/>
              </w:rPr>
              <w:t>Page 7 of 8</w:t>
            </w: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300" w:type="dxa"/>
            <w:vAlign w:val="bottom"/>
            <w:gridSpan w:val="4"/>
          </w:tcPr>
          <w:p>
            <w:pPr>
              <w:ind w:left="40"/>
              <w:spacing w:after="0"/>
              <w:rPr>
                <w:sz w:val="20"/>
                <w:szCs w:val="20"/>
                <w:color w:val="auto"/>
              </w:rPr>
            </w:pPr>
            <w:r>
              <w:rPr>
                <w:rFonts w:ascii="Arial" w:cs="Arial" w:eastAsia="Arial" w:hAnsi="Arial"/>
                <w:sz w:val="18"/>
                <w:szCs w:val="18"/>
                <w:b w:val="1"/>
                <w:bCs w:val="1"/>
                <w:color w:val="auto"/>
              </w:rPr>
              <w:t>Material to Be Filed as Exhibits.</w:t>
            </w:r>
          </w:p>
        </w:tc>
        <w:tc>
          <w:tcPr>
            <w:tcW w:w="4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Description</w:t>
            </w:r>
          </w:p>
        </w:tc>
        <w:tc>
          <w:tcPr>
            <w:tcW w:w="1400" w:type="dxa"/>
            <w:vAlign w:val="bottom"/>
            <w:tcBorders>
              <w:bottom w:val="single" w:sz="8" w:color="auto"/>
            </w:tcBorders>
          </w:tcPr>
          <w:p>
            <w:pPr>
              <w:spacing w:after="0"/>
              <w:rPr>
                <w:sz w:val="24"/>
                <w:szCs w:val="24"/>
                <w:color w:val="auto"/>
              </w:rPr>
            </w:pPr>
          </w:p>
        </w:tc>
      </w:tr>
      <w:tr>
        <w:trPr>
          <w:trHeight w:val="411"/>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0" w:type="dxa"/>
            <w:vAlign w:val="bottom"/>
            <w:gridSpan w:val="4"/>
          </w:tcPr>
          <w:p>
            <w:pPr>
              <w:ind w:left="20"/>
              <w:spacing w:after="0"/>
              <w:rPr>
                <w:sz w:val="20"/>
                <w:szCs w:val="20"/>
                <w:color w:val="auto"/>
              </w:rPr>
            </w:pPr>
            <w:r>
              <w:rPr>
                <w:rFonts w:ascii="Arial" w:cs="Arial" w:eastAsia="Arial" w:hAnsi="Arial"/>
                <w:sz w:val="18"/>
                <w:szCs w:val="18"/>
                <w:color w:val="auto"/>
                <w:w w:val="97"/>
              </w:rPr>
              <w:t>Agreement Regarding the Joint Filing of Schedule 13D by and among the Reporting Persons (previously filed).</w:t>
            </w:r>
          </w:p>
        </w:tc>
        <w:tc>
          <w:tcPr>
            <w:tcW w:w="1400" w:type="dxa"/>
            <w:vAlign w:val="bottom"/>
          </w:tcPr>
          <w:p>
            <w:pPr>
              <w:spacing w:after="0"/>
              <w:rPr>
                <w:sz w:val="24"/>
                <w:szCs w:val="24"/>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w w:val="95"/>
              </w:rPr>
              <w:t>Form of Registration Rights Agreement between the Issuer, the Reporting Persons and certain other shareholders identified therein</w:t>
            </w:r>
          </w:p>
        </w:tc>
      </w:tr>
      <w:tr>
        <w:trPr>
          <w:trHeight w:val="230"/>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gridSpan w:val="4"/>
          </w:tcPr>
          <w:p>
            <w:pPr>
              <w:ind w:left="20"/>
              <w:spacing w:after="0"/>
              <w:rPr>
                <w:sz w:val="20"/>
                <w:szCs w:val="20"/>
                <w:color w:val="auto"/>
              </w:rPr>
            </w:pPr>
            <w:r>
              <w:rPr>
                <w:rFonts w:ascii="Arial" w:cs="Arial" w:eastAsia="Arial" w:hAnsi="Arial"/>
                <w:sz w:val="18"/>
                <w:szCs w:val="18"/>
                <w:color w:val="auto"/>
              </w:rPr>
              <w:t>(incorporated by reference to Exhibit 10.1 of the Form 8-A12B)</w:t>
            </w:r>
          </w:p>
        </w:tc>
        <w:tc>
          <w:tcPr>
            <w:tcW w:w="1400" w:type="dxa"/>
            <w:vAlign w:val="bottom"/>
          </w:tcPr>
          <w:p>
            <w:pPr>
              <w:spacing w:after="0"/>
              <w:rPr>
                <w:sz w:val="20"/>
                <w:szCs w:val="20"/>
                <w:color w:val="auto"/>
              </w:rPr>
            </w:pPr>
          </w:p>
        </w:tc>
      </w:tr>
      <w:tr>
        <w:trPr>
          <w:trHeight w:val="790"/>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4" w:right="339" w:bottom="1440" w:gutter="0" w:footer="0" w:header="0"/>
        </w:sectPr>
      </w:pPr>
    </w:p>
    <w:bookmarkStart w:id="8" w:name="page9"/>
    <w:bookmarkEnd w:id="8"/>
    <w:p>
      <w:pPr>
        <w:ind w:left="40"/>
        <w:spacing w:after="0"/>
        <w:tabs>
          <w:tab w:leader="none" w:pos="4940" w:val="left"/>
          <w:tab w:leader="none" w:pos="10380" w:val="left"/>
        </w:tabs>
        <w:rPr>
          <w:sz w:val="20"/>
          <w:szCs w:val="20"/>
          <w:color w:val="auto"/>
        </w:rPr>
      </w:pPr>
      <w:r>
        <w:rPr>
          <w:rFonts w:ascii="Arial" w:cs="Arial" w:eastAsia="Arial" w:hAnsi="Arial"/>
          <w:sz w:val="18"/>
          <w:szCs w:val="18"/>
          <w:b w:val="1"/>
          <w:bCs w:val="1"/>
          <w:color w:val="auto"/>
        </w:rPr>
        <w:t>CUSIP No. 13057Q305</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6"/>
          <w:szCs w:val="16"/>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-127635</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14401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May 20,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2021-05-21T05:27:42Z</dcterms:created>
  <dcterms:modified xsi:type="dcterms:W3CDTF">2021-05-21T05:27:42Z</dcterms:modified>
</cp:coreProperties>
</file>