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June 30,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pPr>
      <w:r>
        <w:rPr>
          <w:rFonts w:ascii="Arial;sans-serif" w:hAnsi="Arial;sans-serif"/>
          <w:b w:val="false"/>
          <w:color w:val="000000"/>
          <w:sz w:val="19"/>
        </w:rPr>
        <w:t>The number of shares of common stock outstanding as of June 30, 2026</w:t>
      </w:r>
      <w:r>
        <w:rPr>
          <w:color w:val="000000"/>
          <w:shd w:fill="FFFFFF" w:val="clear"/>
        </w:rPr>
        <w:t xml:space="preserve"> </w:t>
      </w:r>
      <w:r>
        <w:rPr>
          <w:rFonts w:ascii="Arial;sans-serif" w:hAnsi="Arial;sans-serif"/>
          <w:b w:val="false"/>
          <w:color w:val="000000"/>
          <w:sz w:val="19"/>
          <w:shd w:fill="FFFFFF" w:val="clear"/>
        </w:rPr>
        <w:t>was 88,819,893.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Statements of Comprehensive Income (Loss)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28">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34">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37">
              <w:r>
                <w:rPr>
                  <w:rStyle w:val="InternetLink"/>
                  <w:rFonts w:ascii="Arial;sans-serif" w:hAnsi="Arial;sans-serif"/>
                  <w:b/>
                  <w:strike w:val="false"/>
                  <w:dstrike w:val="false"/>
                  <w:color w:val="000000"/>
                  <w:sz w:val="20"/>
                  <w:u w:val="none"/>
                  <w:effect w:val="none"/>
                </w:rPr>
                <w:t>10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15">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18">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24">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27">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30">
              <w:r>
                <w:rPr>
                  <w:rStyle w:val="InternetLink"/>
                  <w:rFonts w:ascii="Arial;sans-serif" w:hAnsi="Arial;sans-serif"/>
                  <w:b/>
                  <w:strike w:val="false"/>
                  <w:dstrike w:val="false"/>
                  <w:color w:val="000000"/>
                  <w:sz w:val="20"/>
                  <w:u w:val="none"/>
                  <w:effect w:val="none"/>
                </w:rPr>
                <w:t>38</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Results of Our Oil and Natural Gas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42">
              <w:r>
                <w:rPr>
                  <w:rStyle w:val="InternetLink"/>
                  <w:rFonts w:ascii="Arial;sans-serif" w:hAnsi="Arial;sans-serif"/>
                  <w:b/>
                  <w:strike w:val="false"/>
                  <w:dstrike w:val="false"/>
                  <w:color w:val="000000"/>
                  <w:sz w:val="20"/>
                  <w:u w:val="none"/>
                  <w:effect w:val="none"/>
                </w:rPr>
                <w:t>46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Our Carbon Management Segment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54">
              <w:r>
                <w:rPr>
                  <w:rStyle w:val="InternetLink"/>
                  <w:rFonts w:ascii="Arial;sans-serif" w:hAnsi="Arial;sans-serif"/>
                  <w:b/>
                  <w:strike w:val="false"/>
                  <w:dstrike w:val="false"/>
                  <w:color w:val="000000"/>
                  <w:sz w:val="20"/>
                  <w:u w:val="none"/>
                  <w:effect w:val="none"/>
                </w:rPr>
                <w:t>50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57">
              <w:r>
                <w:rPr>
                  <w:rStyle w:val="InternetLink"/>
                  <w:rFonts w:ascii="Arial;sans-serif" w:hAnsi="Arial;sans-serif"/>
                  <w:b/>
                  <w:strike w:val="false"/>
                  <w:dstrike w:val="false"/>
                  <w:color w:val="000000"/>
                  <w:sz w:val="20"/>
                  <w:u w:val="none"/>
                  <w:effect w:val="none"/>
                </w:rPr>
                <w:t>50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Acquisitions and Divestitures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63">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66">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69">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72">
              <w:r>
                <w:rPr>
                  <w:rStyle w:val="InternetLink"/>
                  <w:rFonts w:ascii="Arial;sans-serif" w:hAnsi="Arial;sans-serif"/>
                  <w:b/>
                  <w:strike w:val="false"/>
                  <w:dstrike w:val="false"/>
                  <w:color w:val="000000"/>
                  <w:sz w:val="20"/>
                  <w:u w:val="none"/>
                  <w:effect w:val="none"/>
                </w:rPr>
                <w:t>54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75">
              <w:r>
                <w:rPr>
                  <w:rStyle w:val="InternetLink"/>
                  <w:rFonts w:ascii="Arial;sans-serif" w:hAnsi="Arial;sans-serif"/>
                  <w:b/>
                  <w:strike w:val="false"/>
                  <w:dstrike w:val="false"/>
                  <w:color w:val="000000"/>
                  <w:sz w:val="20"/>
                  <w:u w:val="none"/>
                  <w:effect w:val="none"/>
                </w:rPr>
                <w:t>55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78">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84">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87">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90">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93">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2f84796e5440efa7f079899ac743e2_199">
              <w:r>
                <w:rPr>
                  <w:rStyle w:val="InternetLink"/>
                  <w:rFonts w:ascii="Arial;sans-serif" w:hAnsi="Arial;sans-serif"/>
                  <w:b/>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w:t>
      </w:r>
      <w:r>
        <w:rPr>
          <w:color w:val="000000"/>
        </w:rPr>
        <w:t xml:space="preserve"> </w:t>
      </w:r>
      <w:r>
        <w:rPr>
          <w:rFonts w:ascii="Arial;sans-serif" w:hAnsi="Arial;sans-serif"/>
          <w:b w:val="false"/>
          <w:color w:val="000000"/>
          <w:sz w:val="20"/>
        </w:rPr>
        <w:t>- Assembly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w:t>
      </w:r>
      <w:r>
        <w:rPr>
          <w:color w:val="000000"/>
        </w:rPr>
        <w:t xml:space="preserve"> </w:t>
      </w:r>
      <w:r>
        <w:rPr>
          <w:rFonts w:ascii="Arial;sans-serif" w:hAnsi="Arial;sans-serif"/>
          <w:b w:val="false"/>
          <w:color w:val="000000"/>
          <w:sz w:val="20"/>
        </w:rPr>
        <w:t>- Aera Energy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 Merger</w:t>
      </w:r>
      <w:r>
        <w:rPr>
          <w:color w:val="000000"/>
        </w:rPr>
        <w:t xml:space="preserve"> </w:t>
      </w:r>
      <w:r>
        <w:rPr>
          <w:rFonts w:ascii="Arial;sans-serif" w:hAnsi="Arial;sans-serif"/>
          <w:b w:val="false"/>
          <w:color w:val="000000"/>
          <w:sz w:val="20"/>
        </w:rPr>
        <w:t>- The transactions contemplated by the definitive agreement and plan of merger entered into on February 7, 2024 to obtain all the ownership interests in Aera in an all-stock transaction. The effective date of the transaction was July 1, 2024.</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Berry</w:t>
      </w:r>
      <w:r>
        <w:rPr>
          <w:color w:val="000000"/>
        </w:rPr>
        <w:t xml:space="preserve"> </w:t>
      </w:r>
      <w:r>
        <w:rPr>
          <w:rFonts w:ascii="Arial;sans-serif" w:hAnsi="Arial;sans-serif"/>
          <w:b w:val="false"/>
          <w:color w:val="000000"/>
          <w:sz w:val="20"/>
        </w:rPr>
        <w:t>- Berry Corporation (bry).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Berry Merger</w:t>
      </w:r>
      <w:r>
        <w:rPr>
          <w:color w:val="000000"/>
        </w:rPr>
        <w:t xml:space="preserve"> </w:t>
      </w:r>
      <w:r>
        <w:rPr>
          <w:rFonts w:ascii="Arial;sans-serif" w:hAnsi="Arial;sans-serif"/>
          <w:b w:val="false"/>
          <w:color w:val="000000"/>
          <w:sz w:val="20"/>
        </w:rPr>
        <w:t>- The transactions contemplated by the definitive agreement and plan of merger entered into on September 14, 2025 to combine with Berry in an all-stock transaction. The effective date of the transaction was December 18, 2025.</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Brookfield</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BGTF Sierra Aggregator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CAISO</w:t>
      </w:r>
      <w:r>
        <w:rPr>
          <w:color w:val="000000"/>
        </w:rPr>
        <w:t xml:space="preserve"> </w:t>
      </w:r>
      <w:r>
        <w:rPr>
          <w:rFonts w:ascii="Arial;sans-serif" w:hAnsi="Arial;sans-serif"/>
          <w:b w:val="false"/>
          <w:color w:val="000000"/>
          <w:sz w:val="20"/>
        </w:rPr>
        <w:t>- California Independent System Operator.</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Carbon TerraVault JV</w:t>
      </w:r>
      <w:r>
        <w:rPr>
          <w:color w:val="000000"/>
        </w:rPr>
        <w:t xml:space="preserve"> </w:t>
      </w:r>
      <w:r>
        <w:rPr>
          <w:rFonts w:ascii="Arial;sans-serif" w:hAnsi="Arial;sans-serif"/>
          <w:b w:val="false"/>
          <w:color w:val="000000"/>
          <w:sz w:val="20"/>
        </w:rPr>
        <w:t>- A</w:t>
      </w:r>
      <w:r>
        <w:rPr>
          <w:color w:val="000000"/>
          <w:shd w:fill="FFFFFF" w:val="clear"/>
        </w:rPr>
        <w:t xml:space="preserve"> </w:t>
      </w:r>
      <w:r>
        <w:rPr>
          <w:rFonts w:ascii="Arial;sans-serif" w:hAnsi="Arial;sans-serif"/>
          <w:b w:val="false"/>
          <w:color w:val="000000"/>
          <w:sz w:val="20"/>
          <w:shd w:fill="FFFFFF" w:val="clear"/>
        </w:rPr>
        <w:t xml:space="preserve">joint venture between our wholly-owned subsidiary Carbon TerraVault I, LLC with Brookfield for the further development of a carbon management business in California.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KMTPA</w:t>
      </w:r>
      <w:r>
        <w:rPr>
          <w:color w:val="000000"/>
        </w:rPr>
        <w:t xml:space="preserve"> </w:t>
      </w:r>
      <w:r>
        <w:rPr>
          <w:rFonts w:ascii="Arial;sans-serif" w:hAnsi="Arial;sans-serif"/>
          <w:b w:val="false"/>
          <w:color w:val="000000"/>
          <w:sz w:val="20"/>
        </w:rPr>
        <w:t>- Thousand metric tons per annum.</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MHp</w:t>
      </w:r>
      <w:r>
        <w:rPr>
          <w:color w:val="000000"/>
        </w:rPr>
        <w:t xml:space="preserve">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Responsible Net Zero</w:t>
      </w:r>
      <w:r>
        <w:rPr>
          <w:color w:val="000000"/>
        </w:rPr>
        <w:t xml:space="preserve"> </w:t>
      </w:r>
      <w:r>
        <w:rPr>
          <w:rFonts w:ascii="Arial;sans-serif" w:hAnsi="Arial;sans-serif"/>
          <w:b w:val="false"/>
          <w:color w:val="000000"/>
          <w:sz w:val="20"/>
        </w:rPr>
        <w:t xml:space="preserve">- Refers to our net zero emissions goal adopted by our Board of Directors in May 2025 consisting of achieving at least an 80% reduction of absolute Scope 1 and 2 GHG emissions and neutralizing the remaining Scope 1 and 2 emissions to achieve Net Zero by 2045.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SB</w:t>
      </w:r>
      <w:r>
        <w:rPr>
          <w:color w:val="000000"/>
        </w:rPr>
        <w:t xml:space="preserve"> </w:t>
      </w:r>
      <w:r>
        <w:rPr>
          <w:rFonts w:ascii="Arial;sans-serif" w:hAnsi="Arial;sans-serif"/>
          <w:b w:val="false"/>
          <w:color w:val="000000"/>
          <w:sz w:val="20"/>
        </w:rPr>
        <w:t>- Senate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June 30, 2026 and December 31, 2025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781" w:type="dxa"/>
        <w:jc w:val="center"/>
        <w:tblInd w:w="0" w:type="dxa"/>
        <w:tblLayout w:type="fixed"/>
        <w:tblCellMar>
          <w:top w:w="28" w:type="dxa"/>
          <w:left w:w="28" w:type="dxa"/>
          <w:bottom w:w="28" w:type="dxa"/>
          <w:right w:w="28" w:type="dxa"/>
        </w:tblCellMar>
      </w:tblPr>
      <w:tblGrid>
        <w:gridCol w:w="1805"/>
        <w:gridCol w:w="1583"/>
        <w:gridCol w:w="1592"/>
        <w:gridCol w:w="232"/>
        <w:gridCol w:w="712"/>
        <w:gridCol w:w="121"/>
        <w:gridCol w:w="109"/>
        <w:gridCol w:w="109"/>
        <w:gridCol w:w="109"/>
        <w:gridCol w:w="293"/>
        <w:gridCol w:w="900"/>
        <w:gridCol w:w="216"/>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(audited)</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IN UNCONSOLIDATED SUBSIDIARIES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TAX ASSETS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070"/>
        <w:gridCol w:w="2408"/>
        <w:gridCol w:w="2421"/>
        <w:gridCol w:w="211"/>
        <w:gridCol w:w="646"/>
        <w:gridCol w:w="109"/>
        <w:gridCol w:w="109"/>
        <w:gridCol w:w="109"/>
        <w:gridCol w:w="109"/>
        <w:gridCol w:w="211"/>
        <w:gridCol w:w="646"/>
        <w:gridCol w:w="156"/>
      </w:tblGrid>
      <w:tr>
        <w:trPr/>
        <w:tc>
          <w:tcPr>
            <w:tcW w:w="3070"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June 30, 2026 and December 31,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(110,930,138 and 110,645,691 shares issued; 88,819,893 and 88,754,165 shares outstanding at June 30, 2026 and December 31,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(22,110,245 shares held at cost at June 30, 2026 and 21,891,526 shares held at cost at December 31,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June 30, 2026 and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9664" w:type="dxa"/>
        <w:jc w:val="center"/>
        <w:tblInd w:w="0" w:type="dxa"/>
        <w:tblLayout w:type="fixed"/>
        <w:tblCellMar>
          <w:top w:w="28" w:type="dxa"/>
          <w:left w:w="28" w:type="dxa"/>
          <w:bottom w:w="28" w:type="dxa"/>
          <w:right w:w="28" w:type="dxa"/>
        </w:tblCellMar>
      </w:tblPr>
      <w:tblGrid>
        <w:gridCol w:w="1728"/>
        <w:gridCol w:w="1517"/>
        <w:gridCol w:w="1525"/>
        <w:gridCol w:w="109"/>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sales derivatives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natural gas purchase derivatives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loss from unconsolidated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2026 and 2025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47"/>
        <w:gridCol w:w="1846"/>
        <w:gridCol w:w="1765"/>
        <w:gridCol w:w="217"/>
        <w:gridCol w:w="497"/>
        <w:gridCol w:w="112"/>
        <w:gridCol w:w="112"/>
        <w:gridCol w:w="112"/>
        <w:gridCol w:w="112"/>
        <w:gridCol w:w="217"/>
        <w:gridCol w:w="497"/>
        <w:gridCol w:w="112"/>
        <w:gridCol w:w="109"/>
        <w:gridCol w:w="109"/>
        <w:gridCol w:w="109"/>
        <w:gridCol w:w="211"/>
        <w:gridCol w:w="522"/>
        <w:gridCol w:w="109"/>
        <w:gridCol w:w="109"/>
        <w:gridCol w:w="109"/>
        <w:gridCol w:w="109"/>
        <w:gridCol w:w="211"/>
        <w:gridCol w:w="481"/>
        <w:gridCol w:w="109"/>
        <w:gridCol w:w="162"/>
      </w:tblGrid>
      <w:tr>
        <w:trPr/>
        <w:tc>
          <w:tcPr>
            <w:tcW w:w="214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comprehensive income (loss)</w:t>
            </w:r>
            <w:r>
              <w:rPr>
                <w:rFonts w:ascii="Arial;sans-serif" w:hAnsi="Arial;sans-serif"/>
                <w:b w:val="false"/>
                <w:color w:val="000000"/>
                <w:sz w:val="13"/>
              </w:rPr>
              <w:t>(a)</w:t>
            </w:r>
            <w:r>
              <w:rPr>
                <w:rFonts w:ascii="Arial;sans-serif" w:hAnsi="Arial;sans-serif"/>
                <w:b w:val="false"/>
                <w:color w:val="000000"/>
                <w:sz w:val="20"/>
              </w:rPr>
              <w:t xml:space="preserve">: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gain associated with pension and postretirement plans, net of tax</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included in net periodic benefit cost, net of tax</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Tax effects of the amortization of prior service cost credit were insignificant for the three and six months ended June 30, 2026 and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(unaudited) </w:t>
      </w:r>
    </w:p>
    <w:p>
      <w:pPr>
        <w:pStyle w:val="TextBody"/>
        <w:bidi w:val="0"/>
        <w:spacing w:lineRule="auto" w:line="288" w:before="0" w:after="0"/>
        <w:jc w:val="center"/>
        <w:rPr/>
      </w:pPr>
      <w:r>
        <w:rPr>
          <w:rFonts w:ascii="Arial;sans-serif" w:hAnsi="Arial;sans-serif"/>
          <w:b/>
          <w:color w:val="000000"/>
          <w:sz w:val="20"/>
        </w:rPr>
        <w:t>For the three and six</w:t>
      </w:r>
      <w:r>
        <w:rPr>
          <w:color w:val="000000"/>
        </w:rPr>
        <w:t xml:space="preserve"> </w:t>
      </w:r>
      <w:r>
        <w:rPr>
          <w:rFonts w:ascii="Arial;sans-serif" w:hAnsi="Arial;sans-serif"/>
          <w:b/>
          <w:color w:val="000000"/>
          <w:sz w:val="20"/>
        </w:rPr>
        <w:t>months ended June 30, 2026 and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1241" w:type="dxa"/>
            <w:gridSpan w:val="6"/>
            <w:tcBorders/>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2026</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Cash dividend </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1459" w:type="dxa"/>
            <w:gridSpan w:val="8"/>
            <w:tcBorders/>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1241" w:type="dxa"/>
            <w:gridSpan w:val="6"/>
            <w:tcBorders/>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rP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1241" w:type="dxa"/>
            <w:gridSpan w:val="6"/>
            <w:tcBorders/>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2026 and 2025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178"/>
        <w:gridCol w:w="1889"/>
        <w:gridCol w:w="1898"/>
        <w:gridCol w:w="211"/>
        <w:gridCol w:w="466"/>
        <w:gridCol w:w="109"/>
        <w:gridCol w:w="109"/>
        <w:gridCol w:w="109"/>
        <w:gridCol w:w="109"/>
        <w:gridCol w:w="211"/>
        <w:gridCol w:w="466"/>
        <w:gridCol w:w="109"/>
        <w:gridCol w:w="109"/>
        <w:gridCol w:w="109"/>
        <w:gridCol w:w="109"/>
        <w:gridCol w:w="211"/>
        <w:gridCol w:w="533"/>
        <w:gridCol w:w="109"/>
        <w:gridCol w:w="109"/>
        <w:gridCol w:w="109"/>
        <w:gridCol w:w="109"/>
        <w:gridCol w:w="211"/>
        <w:gridCol w:w="466"/>
        <w:gridCol w:w="157"/>
      </w:tblGrid>
      <w:tr>
        <w:trPr/>
        <w:tc>
          <w:tcPr>
            <w:tcW w:w="217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OPERATING ACTIVITIES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provided by operating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(benefit) 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loss from commodity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settlements from commodity derivatives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early extinguishment of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to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changes in operating assets and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investments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capital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asset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Distribution from unconsolidated subsidiary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FINANCING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2034 Senior Notes,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2035 Senior Notes,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2026 Senior Notes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2029 Senior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dividends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equivalents on equity-settled awards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cancelled for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issuance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cash used in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Increase (decrease) in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June 30,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December 18, 2025, pursuant to the Agreement and Plan of Merger, dated as of September 14, 2025 (the Berry Merger Agreement), we obtained all of the ownership interests in Berry Corporation (bry) (Berry) in an all-stock transaction (Berry Merger). Our consolidated results of operations for the three and six months ended June 30, 2026 include the full-period results of Berry, while the comparable prior-year periods do not include any results of Berry. Accordingly, the Berry Merger significantly impacts the comparability of our financial results for the three and six months ended June 30, 2026 as compared to the same periods in 2025. See </w:t>
      </w:r>
      <w:r>
        <w:rPr>
          <w:rFonts w:ascii="Arial;sans-serif" w:hAnsi="Arial;sans-serif"/>
          <w:b w:val="false"/>
          <w:i/>
          <w:color w:val="000000"/>
          <w:sz w:val="20"/>
        </w:rPr>
        <w:t>Note 2 Business Combination</w:t>
      </w:r>
      <w:r>
        <w:rPr>
          <w:rFonts w:ascii="Arial;sans-serif" w:hAnsi="Arial;sans-serif"/>
          <w:b w:val="false"/>
          <w:color w:val="000000"/>
          <w:sz w:val="20"/>
        </w:rPr>
        <w:t>, for additional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subsidiaries as of the date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initially recognized either at cost, as is the case with </w:t>
      </w:r>
      <w:r>
        <w:rPr>
          <w:rFonts w:ascii="Arial;sans-serif" w:hAnsi="Arial;sans-serif"/>
          <w:b w:val="false"/>
          <w:color w:val="000000"/>
          <w:sz w:val="20"/>
          <w:shd w:fill="FFFFFF" w:val="clear"/>
        </w:rPr>
        <w:t>Carbon TerraVault JV HoldCo, LLC, or at fair value if acquired in a business combination, as was the case for Midway Sunset Cogeneration Company. These investments are then</w:t>
      </w:r>
      <w:r>
        <w:rPr>
          <w:color w:val="000000"/>
        </w:rPr>
        <w:t xml:space="preserve"> </w:t>
      </w:r>
      <w:r>
        <w:rPr>
          <w:rFonts w:ascii="Arial;sans-serif" w:hAnsi="Arial;sans-serif"/>
          <w:b w:val="false"/>
          <w:color w:val="000000"/>
          <w:sz w:val="20"/>
        </w:rPr>
        <w:t xml:space="preserve">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2025 (2025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Issued but not Adopted Accounting and Disclosure Changes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new disclosure requirements to enhance disclosure of certain costs and expenses. The rules are effective for fiscal years beginning after December 15, 2026 and interim periods beginning after December 15, 2027, and early adoption is permitted. We expect that the adoption of these rules will impact our disclosures but have no impact to our results of operations, cash flows and financial condition.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May 2026, the FASB issued new guidance for the recognition, measurement, presentation, and disclosure of environmental credits and environmental credit obligations. The amendments are effective for annual reporting periods beginning after December 15, 2027, and interim reporting periods within those annual reporting periods. Early adoption is permitted. The Company is currently evaluating the impact that adopting this standard will have on its consolidated financial statements and related disclosures.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BUSINESS COMBINATION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Crimson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June 2026, we entered into an agreement to acquire Crimson Midstream Holdings, LLC (Crimson) from CorEnergy Infrastructure Trust Inc. Crimson owns various onshore midstream assets in California, including the San Pablo Bay Pipeline and SoCal Pipeline System. The aggregate cash purchase price for the transaction is approximately $63 million, subject to certain adjustments. Closing of the transaction is contingent on satisfaction of customary closing conditions, including receipt of required government approvals, and is expected later this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Berry Merger</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14, 2025, we entered into an agreement to combine with Berry in the Berry Merger. Berry was an independent upstream energy company that explored for and produced oil and natural gas in California, primarily in the San Joaquin basin, and in the Uinta basin in Utah. Berry also provided well servicing and abandonment services, which is included in our oil and natural gas segment. The Berry Merger added high quality, oil-weighted, mostly conventional proved developed reserves and sustainable cash flows to our operations.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Pursuant to the Berry Merger Agreement, on the effective date of the merger, December 18, 2025, we issued 5,572,115 shares of our common stock, which was calculated as 0.0718 shares of our common stock for each outstanding share of Berry stock as of December 17, 2025. As of December 18, 2025, and immediately following the closing of the Berry Merger, the former Berry stockholders owned 6% of CRC. We paid cash or issued replacement equity awards in settlement of certain Berry restricted and performance units. Upon closing of the Berry Merger, Berry's outstanding debt was repaid and the underlying credit agreements were terminated. We repaid a significant portion of this indebtedness with proceeds from our 2034 Senior Notes. For more information on the 2034 Senior Notes, refer to </w:t>
      </w:r>
      <w:r>
        <w:rPr>
          <w:rFonts w:ascii="Arial;sans-serif" w:hAnsi="Arial;sans-serif"/>
          <w:b w:val="false"/>
          <w:i/>
          <w:color w:val="000000"/>
          <w:sz w:val="20"/>
        </w:rPr>
        <w:t>Note</w:t>
      </w:r>
      <w:r>
        <w:rPr>
          <w:color w:val="000000"/>
        </w:rPr>
        <w:t xml:space="preserve"> </w:t>
      </w:r>
      <w:r>
        <w:rPr>
          <w:rFonts w:ascii="Arial;sans-serif" w:hAnsi="Arial;sans-serif"/>
          <w:b w:val="false"/>
          <w:color w:val="000000"/>
          <w:sz w:val="20"/>
        </w:rPr>
        <w:t xml:space="preserve">4 </w:t>
      </w:r>
      <w:r>
        <w:rPr>
          <w:rFonts w:ascii="Arial;sans-serif" w:hAnsi="Arial;sans-serif"/>
          <w:b w:val="false"/>
          <w:i/>
          <w:color w:val="000000"/>
          <w:sz w:val="20"/>
        </w:rPr>
        <w:t>Debt</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the date of this filing, our assessment of the fair values of assets acquired and liabilities assumed remains preliminary. The valuation of certain property, plant and equipment (PP&amp;E) as well as the preparation of tax returns that will provide the underlying tax basis of the assets acquired and liabilities assumed has not been completed. We expect the PP&amp;E valuation will be completed and the tax returns will be filed in the third quarter of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we recognized measurement period adjustments that increased asset retirement obligations by $15 million, increased accounts payable by $4 million, decreased inventories by $3 million, and increased property, plant and equipment, net by $20 million. We recognized $2 million of measurement period adjustments in total operating expenses on our condensed consolidated statement of operations for the three and six months ended June 30, 2026. These adjustments related to additional accretion expense and depreciation, depletion and amortization expense resulting from changes to the purchase price allocation.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expect to complete the purchase price allocation during the 12-month period subsequent to the Berry Merger closing date and adjustments may be made to the provisional amounts recorded as of June 30, 2026.</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measured assets and liabilities at acquisition date fair value on a nonrecurring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consideration transferred: </w:t>
      </w:r>
    </w:p>
    <w:tbl>
      <w:tblPr>
        <w:tblW w:w="8625" w:type="dxa"/>
        <w:jc w:val="left"/>
        <w:tblInd w:w="0" w:type="dxa"/>
        <w:tblLayout w:type="fixed"/>
        <w:tblCellMar>
          <w:top w:w="28" w:type="dxa"/>
          <w:left w:w="28" w:type="dxa"/>
          <w:bottom w:w="28" w:type="dxa"/>
          <w:right w:w="28" w:type="dxa"/>
        </w:tblCellMar>
      </w:tblPr>
      <w:tblGrid>
        <w:gridCol w:w="1877"/>
        <w:gridCol w:w="1650"/>
        <w:gridCol w:w="1663"/>
        <w:gridCol w:w="714"/>
        <w:gridCol w:w="2196"/>
        <w:gridCol w:w="525"/>
      </w:tblGrid>
      <w:tr>
        <w:trPr/>
        <w:tc>
          <w:tcPr>
            <w:tcW w:w="187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Merger Consideration</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 except share and per share data)</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of common stock</w:t>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5,572,115 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per share fair value on December 17, 2025</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Fair value of share consideration</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 of Berry debt</w:t>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consideration</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preliminary purchase price allocation to the identifiable assets acquired and the liabilities assumed based on their estimated fair values as of the closing date of the Berry Merger:</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91"/>
        <w:gridCol w:w="645"/>
        <w:gridCol w:w="649"/>
        <w:gridCol w:w="841"/>
        <w:gridCol w:w="1920"/>
        <w:gridCol w:w="436"/>
        <w:gridCol w:w="109"/>
        <w:gridCol w:w="109"/>
        <w:gridCol w:w="109"/>
        <w:gridCol w:w="370"/>
        <w:gridCol w:w="713"/>
        <w:gridCol w:w="193"/>
        <w:gridCol w:w="109"/>
        <w:gridCol w:w="109"/>
        <w:gridCol w:w="109"/>
        <w:gridCol w:w="744"/>
        <w:gridCol w:w="1696"/>
        <w:gridCol w:w="553"/>
      </w:tblGrid>
      <w:tr>
        <w:trPr/>
        <w:tc>
          <w:tcPr>
            <w:tcW w:w="79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Preliminary Purchase Price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Preliminary Purchase Price as of June 30,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Acquired</w:t>
            </w:r>
          </w:p>
        </w:tc>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w:t>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 Acquired</w:t>
            </w:r>
          </w:p>
        </w:tc>
        <w:tc>
          <w:tcPr>
            <w:tcW w:w="2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Assumed</w:t>
            </w:r>
          </w:p>
        </w:tc>
        <w:tc>
          <w:tcPr>
            <w:tcW w:w="3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2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Assets Acquired</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Supplemental Unaudited Pro Forma Financial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supplemental unaudited pro forma financial information presents the total operating revenue, net income and earnings per share for the three and six months ended June 30, 2025 as if the Berry Merger had occurred on January 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7707" w:type="dxa"/>
        <w:jc w:val="left"/>
        <w:tblInd w:w="0" w:type="dxa"/>
        <w:tblLayout w:type="fixed"/>
        <w:tblCellMar>
          <w:top w:w="28" w:type="dxa"/>
          <w:left w:w="28" w:type="dxa"/>
          <w:bottom w:w="28" w:type="dxa"/>
          <w:right w:w="28" w:type="dxa"/>
        </w:tblCellMar>
      </w:tblPr>
      <w:tblGrid>
        <w:gridCol w:w="783"/>
        <w:gridCol w:w="686"/>
        <w:gridCol w:w="691"/>
        <w:gridCol w:w="467"/>
        <w:gridCol w:w="1431"/>
        <w:gridCol w:w="241"/>
        <w:gridCol w:w="241"/>
        <w:gridCol w:w="241"/>
        <w:gridCol w:w="241"/>
        <w:gridCol w:w="560"/>
        <w:gridCol w:w="1716"/>
        <w:gridCol w:w="409"/>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2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pro forma information is presented for illustration purposes only and is not necessarily indicative of the operating results that would have occurred had the Berry Merger been completed on January 1, 2025, nor is it necessarily indicative of future operating results of the combined entity. The pro forma financial information for the three and six months ended June 30, 2025 is a result of combining our three and six months statements of operations with Berry's pre-merger results for the three and six months ended June 30, 2025 and the pro forma adjustments include estimates and assumptions based on currently available information. The pro forma results do not reflect any cost savings anticipated as a result of the Berry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Berry Merger. Management believes the estimates and assumptions are reasonable, and the relative effects of the Berry Merger are properly reflected. Future results may vary significantly from the results reflected in the pro forma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 IN UNCONSOLIDATED SUBSIDIARIES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June 30, 2026 and December 31, 2025, our investments in unconsolidated subsidiaries were </w:t>
      </w:r>
      <w:r>
        <w:rPr>
          <w:rFonts w:ascii="Arial;sans-serif" w:hAnsi="Arial;sans-serif"/>
          <w:b w:val="false"/>
          <w:color w:val="000000"/>
          <w:sz w:val="20"/>
          <w:shd w:fill="FFFFFF" w:val="clear"/>
        </w:rPr>
        <w:t>$98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$111 million, respectively.</w:t>
      </w:r>
      <w:r>
        <w:rPr>
          <w:color w:val="000000"/>
        </w:rPr>
        <w:t xml:space="preserve"> </w:t>
      </w:r>
      <w:r>
        <w:rPr>
          <w:rFonts w:ascii="Arial;sans-serif" w:hAnsi="Arial;sans-serif"/>
          <w:b w:val="false"/>
          <w:color w:val="000000"/>
          <w:sz w:val="20"/>
        </w:rPr>
        <w:t xml:space="preserve">The following tables present changes to our investment in unconsolidated subsidiaries for the periods presented: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4"/>
        <w:gridCol w:w="1402"/>
        <w:gridCol w:w="1410"/>
        <w:gridCol w:w="595"/>
        <w:gridCol w:w="1060"/>
        <w:gridCol w:w="309"/>
        <w:gridCol w:w="109"/>
        <w:gridCol w:w="109"/>
        <w:gridCol w:w="109"/>
        <w:gridCol w:w="993"/>
        <w:gridCol w:w="1772"/>
        <w:gridCol w:w="733"/>
      </w:tblGrid>
      <w:tr>
        <w:trPr/>
        <w:tc>
          <w:tcPr>
            <w:tcW w:w="160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Carbon TerraVault JV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Midway Sunset Cogeneration Company</w:t>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2025</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(distributions)</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June 30, 2026</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 to the preliminary purchase price allocation</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June 30, 2025</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Carbon TerraVault JV</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August 2022, we entered into a joint venture with BGTF Sierra Aggregator LLC (Brookfield) for the further development of a carbon management business in California (Carbon TerraVault JV). We hold a </w:t>
      </w:r>
      <w:r>
        <w:rPr>
          <w:rFonts w:ascii="Arial;sans-serif" w:hAnsi="Arial;sans-serif"/>
          <w:b w:val="false"/>
          <w:color w:val="000000"/>
          <w:sz w:val="20"/>
        </w:rPr>
        <w:t>51%</w:t>
      </w:r>
      <w:r>
        <w:rPr>
          <w:color w:val="000000"/>
          <w:shd w:fill="FFFFFF" w:val="clear"/>
        </w:rPr>
        <w:t xml:space="preserve"> </w:t>
      </w:r>
      <w:r>
        <w:rPr>
          <w:rFonts w:ascii="Arial;sans-serif" w:hAnsi="Arial;sans-serif"/>
          <w:b w:val="false"/>
          <w:color w:val="000000"/>
          <w:sz w:val="20"/>
          <w:shd w:fill="FFFFFF" w:val="clear"/>
        </w:rPr>
        <w:t xml:space="preserve">interest in the Carbon TerraVault JV and Brookfield holds a </w:t>
      </w:r>
      <w:r>
        <w:rPr>
          <w:rFonts w:ascii="Arial;sans-serif" w:hAnsi="Arial;sans-serif"/>
          <w:b w:val="false"/>
          <w:color w:val="000000"/>
          <w:sz w:val="20"/>
        </w:rPr>
        <w:t>49%</w:t>
      </w:r>
      <w:r>
        <w:rPr>
          <w:color w:val="000000"/>
          <w:shd w:fill="FFFFFF" w:val="clear"/>
        </w:rPr>
        <w:t xml:space="preserve"> </w:t>
      </w:r>
      <w:r>
        <w:rPr>
          <w:rFonts w:ascii="Arial;sans-serif" w:hAnsi="Arial;sans-serif"/>
          <w:b w:val="false"/>
          <w:color w:val="000000"/>
          <w:sz w:val="20"/>
          <w:shd w:fill="FFFFFF" w:val="clear"/>
        </w:rPr>
        <w:t>interest. The Carbon TerraVault JV holds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Brookfield has contributed $92 million to date. The remaining amount of Brookfield's initial investment is based on the permitted storage capacity, </w:t>
      </w:r>
      <w:r>
        <w:rPr>
          <w:rFonts w:ascii="Arial;sans-serif" w:hAnsi="Arial;sans-serif"/>
          <w:b w:val="false"/>
          <w:color w:val="000000"/>
          <w:sz w:val="20"/>
        </w:rPr>
        <w:t>subject to certain contractual adjustments</w:t>
      </w:r>
      <w:r>
        <w:rPr>
          <w:rFonts w:ascii="Arial;sans-serif" w:hAnsi="Arial;sans-serif"/>
          <w:b w:val="false"/>
          <w:color w:val="000000"/>
          <w:sz w:val="20"/>
          <w:shd w:fill="FFFFFF" w:val="clear"/>
        </w:rPr>
        <w:t>. This remaining amount will be contributed to the joint venture upon entering into contracts for the injection of specified volumes with respect to the 26R reservoir.</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Although we determined that the Carbon TerraVault JV is a variable interest entity (VIE),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w:t>
      </w:r>
      <w:r>
        <w:rPr>
          <w:rFonts w:ascii="Arial;sans-serif" w:hAnsi="Arial;sans-serif"/>
          <w:b w:val="false"/>
          <w:color w:val="000000"/>
          <w:sz w:val="20"/>
        </w:rPr>
        <w:t>$123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$117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condensed consolidated balance sheet relates solely to the initial investment by Brookfield and does not include capital contributions made for ongoing development activities of the 26R reservoir.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 </w:t>
      </w:r>
    </w:p>
    <w:p>
      <w:pPr>
        <w:pStyle w:val="TextBody"/>
        <w:bidi w:val="0"/>
        <w:spacing w:before="0" w:after="0"/>
        <w:jc w:val="left"/>
        <w:rPr/>
      </w:pPr>
      <w:r>
        <w:rPr/>
      </w:r>
    </w:p>
    <w:tbl>
      <w:tblPr>
        <w:tblW w:w="5067" w:type="dxa"/>
        <w:jc w:val="left"/>
        <w:tblInd w:w="0" w:type="dxa"/>
        <w:tblLayout w:type="fixed"/>
        <w:tblCellMar>
          <w:top w:w="28" w:type="dxa"/>
          <w:left w:w="28" w:type="dxa"/>
          <w:bottom w:w="28" w:type="dxa"/>
          <w:right w:w="28" w:type="dxa"/>
        </w:tblCellMar>
      </w:tblPr>
      <w:tblGrid>
        <w:gridCol w:w="885"/>
        <w:gridCol w:w="778"/>
        <w:gridCol w:w="782"/>
        <w:gridCol w:w="233"/>
        <w:gridCol w:w="532"/>
        <w:gridCol w:w="120"/>
        <w:gridCol w:w="109"/>
        <w:gridCol w:w="109"/>
        <w:gridCol w:w="109"/>
        <w:gridCol w:w="351"/>
        <w:gridCol w:w="801"/>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Payable to affiliate</w:t>
            </w:r>
            <w:r>
              <w:rPr>
                <w:rFonts w:ascii="Arial;sans-serif" w:hAnsi="Arial;sans-serif"/>
                <w:b w:val="false"/>
                <w:color w:val="000000"/>
                <w:sz w:val="13"/>
              </w:rPr>
              <w:t>(b)</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liabilities</w:t>
            </w:r>
            <w:r>
              <w:rPr>
                <w:rFonts w:ascii="Arial;sans-serif" w:hAnsi="Arial;sans-serif"/>
                <w:b w:val="false"/>
                <w:color w:val="000000"/>
                <w:sz w:val="13"/>
              </w:rPr>
              <w:t>(c)</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At June 30, 2026, the amount of $9 million includes approximately $4 million related to our share of collateral for a letter of credit, the remaining $2 million of Brookfield's first and second installments of their initial investment which is available to us, $3 million related to the Master Service Agreement (MSA) and vendor reimbursements. At December 31, 2025, the amount of $14 million includes $8 million remaining of Brookfield's first and second installment of their initial investment which is available to us and $6 million related to the MSA and vendor reimbursements.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(b)Payable to affiliate is the amount owed to the Carbon TerraVault JV for sequestration services.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(c)Other long-term liabilities include the contingent liability related to the Carbon TerraVault JV put and call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completed construction of our first carbon capture project at our cryogenic gas processing facility and began first injection in May 2026. We pay an injection fee to the Carbon TerraVault JV to inject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into the 26R reservoir. The Carbon TerraVault JV recognizes revenue for the injection as services are rendered under the sequestration agreement. During the three and six months ended June 30, 2026, the Carbon TerraVault JV recorded approximately $1 million of revenue. We recognize our share of the Carbon TerraVault JV income and loss under the equity method of accounting on our condensed consolidated statement of operations. We recognized a loss of $2 million and $3 million for the three and six months ended June 30, 2026, respectively, and a loss of $1 million and $2 million for the three and six months ended June 30, 2025, respectively, related to our investment in the Carbon TerraVault JV.</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performed well abandonment work at our Elk Hills field to prepare our 26R reservoir for injection of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During the three and six months ended June 30, 2026, we performed abandonment work and sought reimbursement for insignificant amounts from the Carbon TerraVault JV. During the three and six months ended June 30, 2025, we performed abandonment work and sought reimbursement in the amounts of $6 million and $8 million, respectively, from the Carbon TerraVault JV. We recorded these reimbursements as a reduction to property, plant and equipment, net on our condensed consolidated balance sheets.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Midway Sunset Cogeneration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Aera Merger led to our partial ownership of Midway Sunset Cogeneration Company, which is a partnership designed to own, manage, and operate a cogeneration facility in Kern County, California. We hold a 50% interest in Midway Sunset Cogeneration Company and an affiliate of Middle River Power, LLC, holds a 50% interest. We determined that Midway Sunset Cogeneration Company is a voting interest entity, where we share decision-making power with Middle River Power, LLC on all matters that most significantly impact the economic performance of Midway Sunset Cogeneration Company. Therefore, we account for our investment in Midway Sunset Cogeneration Company under the equity method of accounting. There are no significant transactions between us and Midway Sunset Cogeneration Company.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six months ended June 30, 2026, we received a distribution of $10 million from Midway Sunset Cogeneration Company.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and December 31, 2025, our long-term debt consisted of the following:</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302"/>
        <w:gridCol w:w="1097"/>
        <w:gridCol w:w="1101"/>
        <w:gridCol w:w="211"/>
        <w:gridCol w:w="646"/>
        <w:gridCol w:w="109"/>
        <w:gridCol w:w="109"/>
        <w:gridCol w:w="109"/>
        <w:gridCol w:w="109"/>
        <w:gridCol w:w="280"/>
        <w:gridCol w:w="860"/>
        <w:gridCol w:w="146"/>
        <w:gridCol w:w="109"/>
        <w:gridCol w:w="109"/>
        <w:gridCol w:w="109"/>
        <w:gridCol w:w="654"/>
        <w:gridCol w:w="654"/>
        <w:gridCol w:w="657"/>
        <w:gridCol w:w="109"/>
        <w:gridCol w:w="109"/>
        <w:gridCol w:w="109"/>
        <w:gridCol w:w="439"/>
        <w:gridCol w:w="439"/>
        <w:gridCol w:w="629"/>
      </w:tblGrid>
      <w:tr>
        <w:trPr/>
        <w:tc>
          <w:tcPr>
            <w:tcW w:w="130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834" w:type="dxa"/>
            <w:gridSpan w:val="6"/>
            <w:tcBorders/>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plus 2.25%-3.25%</w:t>
            </w:r>
          </w:p>
          <w:p>
            <w:pPr>
              <w:pStyle w:val="TableContents"/>
              <w:bidi w:val="0"/>
              <w:spacing w:lineRule="auto" w:line="240" w:before="0" w:after="0"/>
              <w:jc w:val="center"/>
              <w:rPr/>
            </w:pPr>
            <w:r>
              <w:rPr>
                <w:rFonts w:ascii="Arial;sans-serif" w:hAnsi="Arial;sans-serif"/>
                <w:b w:val="false"/>
                <w:color w:val="000000"/>
                <w:sz w:val="20"/>
              </w:rPr>
              <w:t>ABR plus 1.25%-2.25%</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March 16, 2029</w:t>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2034 Senior Notes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15, 2034</w:t>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2035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15, 2035</w:t>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Principal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debt discount and issuance costs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premium</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 April 2026, we entered into the ninth amendment to our Revolving Credit Facility that reduced our interest rate pricing as described below.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Amended and Restated Credit Agreement, dated April 26, 2023 (Revolving Credit Facility), consists of a senior revolving loan facility with an aggregate commitment of $1.46 billion. The amount we are able to borrow under our Revolving Credit Facility is limited to the amount of these commitments. Our Revolving Credit Facility also includes a sub-limit of $300 million for the issuance of letters of credit. As of June 30, 2026, $181 million of letters of credit were issued to support ordinary course marketing, insurance, regulatory and other matters. As of June 30, 2026, we had $1,279 million of availability on our Revolving Credit Facility after taking into account $181 million in letters of credit outstanding.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April 2026, we entered into the ninth amendment to our Revolving Credit Facility to, among other things,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amend the pricing grid to reduce interest margin by 0.25%, remove the 0.10% Term SOFR adjustment, and make other technical amendments. Our borrowing base is redetermined semi-annually and was re-affirmed at $1.5 billion in April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2035 Senior Notes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June 2026, we completed a private offering of $550 million in aggregate principal amount of 7.250% senior notes due 2035 (2035 Senior Notes). The 2035 Senior Notes are governed by the indenture, dated as of June 26, 2026, by and among us, the guarantors and Wilmington Trust, National Association, as trustee (2035 Senior Notes Indenture). The net proceeds of $543 million, after $7 million of debt issuance costs, together with cash on hand were used to redeem all of the remaining outstanding 2029 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Security</w:t>
      </w:r>
      <w:r>
        <w:rPr>
          <w:color w:val="000000"/>
        </w:rPr>
        <w:t xml:space="preserve"> – </w:t>
      </w:r>
      <w:r>
        <w:rPr>
          <w:rFonts w:ascii="Arial;sans-serif" w:hAnsi="Arial;sans-serif"/>
          <w:b w:val="false"/>
          <w:color w:val="000000"/>
          <w:sz w:val="20"/>
        </w:rPr>
        <w:t>Our 2035 Senior Notes are general unsecured obligations which are guaranteed on a senior unsecured basis by all of our existing subsidiaries that guarantee our obligations under the Revolving Credit Facility and certain other indebtedness.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Redemption</w:t>
      </w:r>
      <w:r>
        <w:rPr>
          <w:color w:val="000000"/>
        </w:rPr>
        <w:t xml:space="preserve"> – </w:t>
      </w:r>
      <w:r>
        <w:rPr>
          <w:rFonts w:ascii="Arial;sans-serif" w:hAnsi="Arial;sans-serif"/>
          <w:b w:val="false"/>
          <w:color w:val="000000"/>
          <w:sz w:val="20"/>
        </w:rPr>
        <w:t xml:space="preserve">We may redeem the 2035 Senior Notes at any time prior to July 15, 2029 at a redemption price equal to 100% of the aggregate principal amount thereof plus the applicable premium as defined in the 2035 Senior Notes Indenture and accrued and unpaid interest. Prior to July 15, 2029, we may also redeem up to 40% of the aggregate principal amount of the 2035 Senior Notes with the net cash proceeds from certain equity offerings at a redemption price of 107.250% of the aggregate principal amount thereof, plus accrued and unpaid interest. On or after July 15, 2029, we may redeem the 2035 Senior Notes at the redemption prices of (i) 103.625% during the twelve-month period beginning on July 15, 2029, (ii) 101.813% during the twelve-month period beginning on July 15, 2030 and (iii) 100% on or after July 15, 2031, in each case plus accrued and unpaid interest to, but excluding, the redemption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Covenants</w:t>
      </w:r>
      <w:r>
        <w:rPr>
          <w:color w:val="000000"/>
        </w:rPr>
        <w:t xml:space="preserve"> – </w:t>
      </w:r>
      <w:r>
        <w:rPr>
          <w:rFonts w:ascii="Arial;sans-serif" w:hAnsi="Arial;sans-serif"/>
          <w:b w:val="false"/>
          <w:color w:val="000000"/>
          <w:sz w:val="20"/>
        </w:rPr>
        <w:t xml:space="preserve">Our 2035 Senior Notes include covenants that, among other things, restrict our ability to incur additional indebtedness, incur liens, make restricted payments and investments, consummate asset sales, enter into transactions with affiliates and enter into transactions that would result in fundamental changes.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Events of Default and Change of Control</w:t>
      </w:r>
      <w:r>
        <w:rPr>
          <w:color w:val="000000"/>
        </w:rPr>
        <w:t xml:space="preserve"> – </w:t>
      </w:r>
      <w:r>
        <w:rPr>
          <w:rFonts w:ascii="Arial;sans-serif" w:hAnsi="Arial;sans-serif"/>
          <w:b w:val="false"/>
          <w:color w:val="000000"/>
          <w:sz w:val="20"/>
        </w:rPr>
        <w:t xml:space="preserve">Our 2035 Senior Notes provide for certain triggering events, including upon a change of control triggering event, as defined in the 2035 Senior Notes Indenture, that would require us to repurchase all or any part of the 2035 Senior Notes at a price equal to 101% of the aggregate principal amount plus accrued and unpaid interest.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2034 Senior Notes and Follow-On Offering</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October 8, 2025, we completed a private offering of $400 million in an aggregate principal amount of 7.000% senior notes due 2034 (2034 Senior Notes). The net proceeds of $393 million, after deducting $7 million of issuance costs, were used along with available cash to repay $449 million of Berry's outstanding debt at closing of the Berry Merger. See </w:t>
      </w:r>
      <w:r>
        <w:rPr>
          <w:rFonts w:ascii="Arial;sans-serif" w:hAnsi="Arial;sans-serif"/>
          <w:b w:val="false"/>
          <w:i/>
          <w:color w:val="000000"/>
          <w:sz w:val="20"/>
        </w:rPr>
        <w:t>Note 2 Business Combination</w:t>
      </w:r>
      <w:r>
        <w:rPr>
          <w:color w:val="000000"/>
        </w:rPr>
        <w:t xml:space="preserve"> </w:t>
      </w:r>
      <w:r>
        <w:rPr>
          <w:rFonts w:ascii="Arial;sans-serif" w:hAnsi="Arial;sans-serif"/>
          <w:b w:val="false"/>
          <w:color w:val="000000"/>
          <w:sz w:val="20"/>
        </w:rPr>
        <w:t>for more information on the Berry Merger. The terms of the 2034 Senior Notes are governed by the Indenture, dated as of October 8, 2025, by and among us, the guarantors and Wilmington Trust, National Association, as trustee, as amended and supplemented by the First Supplemental Indenture, dated as of January 16, 2026 (2034 Senior Notes Indenture).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23, 2026, we completed a follow-on offering of an additional $350 million in aggregate principal of 2034 Senior Notes. The net proceeds from this offering of $347 million, after $2 million of debt premium and $5 million of debt issuance costs, were used to redeem a portion of our 2029 Senior Notes. The 2034 Senior Notes issued on March 23, 2026 are governed under the 2034 Senior Notes Indenture.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2029 Senior Notes Redemption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2026, we redeemed $350 million in principal amount of our 8.250% senior unsecured notes due 2029 (2029 Senior Notes) for $367 million, resulting in a loss on extinguishment of debt in the amount of $21 million, which includes a $17 million premium paid and $4 million write-off of unamortized debt issuance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June 2026, we redeemed the remaining outstanding $550 million in principal amount of our 2029 Senior Notes for $573 million, resulting in a loss on extinguishment of debt in the amount of $28 million, which includes a $23 million premium paid and $5 million write-off of unamortized debt issuance costs net of unamortized premium.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these redemptions, none of our 2029 Senior Notes remained outstanding.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shown in the table below, we estimate the fair value of our fixed rate 2029 Senior Notes, 2034 Senior Notes and 2035 Senior Notes based on known prices from market transactions (using Level 1 inputs on the fair value hierarchy). </w:t>
      </w:r>
    </w:p>
    <w:p>
      <w:pPr>
        <w:pStyle w:val="TextBody"/>
        <w:bidi w:val="0"/>
        <w:spacing w:before="0" w:after="0"/>
        <w:ind w:left="0" w:right="0" w:firstLine="360"/>
        <w:jc w:val="left"/>
        <w:rPr/>
      </w:pPr>
      <w:r>
        <w:rPr/>
      </w:r>
    </w:p>
    <w:tbl>
      <w:tblPr>
        <w:tblW w:w="5567" w:type="dxa"/>
        <w:jc w:val="left"/>
        <w:tblInd w:w="0" w:type="dxa"/>
        <w:tblLayout w:type="fixed"/>
        <w:tblCellMar>
          <w:top w:w="28" w:type="dxa"/>
          <w:left w:w="28" w:type="dxa"/>
          <w:bottom w:w="28" w:type="dxa"/>
          <w:right w:w="28" w:type="dxa"/>
        </w:tblCellMar>
      </w:tblPr>
      <w:tblGrid>
        <w:gridCol w:w="1035"/>
        <w:gridCol w:w="912"/>
        <w:gridCol w:w="918"/>
        <w:gridCol w:w="211"/>
        <w:gridCol w:w="646"/>
        <w:gridCol w:w="109"/>
        <w:gridCol w:w="109"/>
        <w:gridCol w:w="109"/>
        <w:gridCol w:w="109"/>
        <w:gridCol w:w="293"/>
        <w:gridCol w:w="900"/>
        <w:gridCol w:w="216"/>
      </w:tblGrid>
      <w:tr>
        <w:trPr/>
        <w:tc>
          <w:tcPr>
            <w:tcW w:w="10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rate debt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2034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2035 Senior Notes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Fair Value of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we were in compliance with all financial and other debt covenants under our Revolving Credit Facility, 2034 Senior Notes and 2035 Senior Notes.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party to various legal and/or regulatory proceedings from time to time arising in the ordinary course of business. We accrue reserves for currently outstanding lawsuits, claims and proceedings when we determine it is probable that a liability has been incurred and the liability can be reasonably estimated. Reserve balances for these items at June 30, 2026 and December 31, 2025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June 30, 2026, we had a liability of approximately $23 million included in accrued liabilities in our condensed consolidated balance sheet related to this abandonment work. For the three and six months ended June 30, 2026, other operating expenses, net on our condensed consolidated statement of operations includes $10 million and $20 million, respectively, for our ongoing share of maintenance costs and well abandonment work. We continue to challenge the BSEE order.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and 2024, the California Geologic Energy Management Division (CalGEM) plugged and abandoned approximately 120 "orphaned" oil and gas wells located in Cat Canyon, Santa Barbara County, at an aggregate cost of approximately $25 million. A subsidiary of our predecessor entity sold these wells to the defunct operator prior to CRC's formation and the wells are therefore in our chain of title. CalGEM is seeking to recover these costs from us due to our prior operatorship of the wells, and we are disputing these claims. In connection with this dispute, we were required to remit approximately $25 million to CalGEM under protest pending the outcome of this matter. We have filed a complaint against CalGEM to reclaim the $25 million that we paid in June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 into commodity derivative contracts to help protect our cash flows, margins and capital program from the volatility of commodity prices. We primarily hedge a portion of our forecasted oil production and a portion of our purchased natural gas used in our steamflood operations. We did not have any derivative instruments designated as accounting hedges as of and for the three and six months ended June 30, 2026 and 2025.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for our forecasted oil production as of June 30, 2026:</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04"/>
        <w:gridCol w:w="603"/>
        <w:gridCol w:w="584"/>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56"/>
      </w:tblGrid>
      <w:tr>
        <w:trPr/>
        <w:tc>
          <w:tcPr>
            <w:tcW w:w="110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2H</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2026, we also held the following swaps to hedge purchased natural gas used in our operations as shown in the table below.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05"/>
        <w:gridCol w:w="855"/>
        <w:gridCol w:w="862"/>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55"/>
      </w:tblGrid>
      <w:tr>
        <w:trPr/>
        <w:tc>
          <w:tcPr>
            <w:tcW w:w="120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Q1 </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2H</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SoCal Border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NWPL 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2026, we also had a limited number of derivative contracts related to our natural gas marketing activities that were intended to lock in locational price spreads. These derivative contracts were not significant to our results of operations or financial statements taken as a whole.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shown in the tables above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9288" w:type="dxa"/>
        <w:jc w:val="left"/>
        <w:tblInd w:w="0" w:type="dxa"/>
        <w:tblLayout w:type="fixed"/>
        <w:tblCellMar>
          <w:top w:w="28" w:type="dxa"/>
          <w:left w:w="28" w:type="dxa"/>
          <w:bottom w:w="28" w:type="dxa"/>
          <w:right w:w="28" w:type="dxa"/>
        </w:tblCellMar>
      </w:tblPr>
      <w:tblGrid>
        <w:gridCol w:w="1774"/>
        <w:gridCol w:w="1561"/>
        <w:gridCol w:w="1570"/>
        <w:gridCol w:w="221"/>
        <w:gridCol w:w="505"/>
        <w:gridCol w:w="114"/>
        <w:gridCol w:w="114"/>
        <w:gridCol w:w="114"/>
        <w:gridCol w:w="114"/>
        <w:gridCol w:w="221"/>
        <w:gridCol w:w="505"/>
        <w:gridCol w:w="114"/>
        <w:gridCol w:w="109"/>
        <w:gridCol w:w="109"/>
        <w:gridCol w:w="109"/>
        <w:gridCol w:w="211"/>
        <w:gridCol w:w="541"/>
        <w:gridCol w:w="109"/>
        <w:gridCol w:w="109"/>
        <w:gridCol w:w="109"/>
        <w:gridCol w:w="109"/>
        <w:gridCol w:w="211"/>
        <w:gridCol w:w="481"/>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gain (loss) from commodity sales derivatives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sales derivatives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report gains and losses on our commodity derivative c</w:t>
      </w:r>
      <w:r>
        <w:rPr>
          <w:rFonts w:ascii="Arial;sans-serif" w:hAnsi="Arial;sans-serif"/>
          <w:b w:val="false"/>
          <w:color w:val="000000"/>
          <w:sz w:val="20"/>
          <w:shd w:fill="FFFFFF" w:val="clear"/>
        </w:rPr>
        <w:t>ontracts related to purchases of natural gas in operating expenses on our condensed consolidated statement</w:t>
      </w:r>
      <w:r>
        <w:rPr>
          <w:rFonts w:ascii="Arial;sans-serif" w:hAnsi="Arial;sans-serif"/>
          <w:b w:val="false"/>
          <w:color w:val="000000"/>
          <w:sz w:val="20"/>
        </w:rPr>
        <w:t xml:space="preserve">s of operations as shown in the table below: </w:t>
      </w:r>
    </w:p>
    <w:p>
      <w:pPr>
        <w:pStyle w:val="TextBody"/>
        <w:bidi w:val="0"/>
        <w:spacing w:before="0" w:after="0"/>
        <w:jc w:val="left"/>
        <w:rPr/>
      </w:pPr>
      <w:r>
        <w:rPr/>
      </w:r>
    </w:p>
    <w:tbl>
      <w:tblPr>
        <w:tblW w:w="9425" w:type="dxa"/>
        <w:jc w:val="left"/>
        <w:tblInd w:w="0" w:type="dxa"/>
        <w:tblLayout w:type="fixed"/>
        <w:tblCellMar>
          <w:top w:w="28" w:type="dxa"/>
          <w:left w:w="28" w:type="dxa"/>
          <w:bottom w:w="28" w:type="dxa"/>
          <w:right w:w="28" w:type="dxa"/>
        </w:tblCellMar>
      </w:tblPr>
      <w:tblGrid>
        <w:gridCol w:w="1895"/>
        <w:gridCol w:w="1665"/>
        <w:gridCol w:w="1674"/>
        <w:gridCol w:w="246"/>
        <w:gridCol w:w="509"/>
        <w:gridCol w:w="127"/>
        <w:gridCol w:w="127"/>
        <w:gridCol w:w="127"/>
        <w:gridCol w:w="127"/>
        <w:gridCol w:w="246"/>
        <w:gridCol w:w="386"/>
        <w:gridCol w:w="127"/>
        <w:gridCol w:w="109"/>
        <w:gridCol w:w="109"/>
        <w:gridCol w:w="109"/>
        <w:gridCol w:w="213"/>
        <w:gridCol w:w="380"/>
        <w:gridCol w:w="110"/>
        <w:gridCol w:w="110"/>
        <w:gridCol w:w="110"/>
        <w:gridCol w:w="110"/>
        <w:gridCol w:w="213"/>
        <w:gridCol w:w="441"/>
        <w:gridCol w:w="155"/>
      </w:tblGrid>
      <w:tr>
        <w:trPr/>
        <w:tc>
          <w:tcPr>
            <w:tcW w:w="189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(gain) loss from natural gas purchase derivatives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natural gas purchase derivatives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June 30, 2026 and December 31, 2025. </w:t>
      </w:r>
    </w:p>
    <w:p>
      <w:pPr>
        <w:pStyle w:val="TextBody"/>
        <w:bidi w:val="0"/>
        <w:spacing w:before="0" w:after="0"/>
        <w:ind w:left="0" w:right="0" w:firstLine="360"/>
        <w:jc w:val="left"/>
        <w:rPr/>
      </w:pPr>
      <w:r>
        <w:rPr/>
      </w:r>
    </w:p>
    <w:tbl>
      <w:tblPr>
        <w:tblW w:w="8346"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734"/>
        <w:gridCol w:w="1675"/>
        <w:gridCol w:w="380"/>
        <w:gridCol w:w="109"/>
        <w:gridCol w:w="109"/>
        <w:gridCol w:w="109"/>
        <w:gridCol w:w="222"/>
        <w:gridCol w:w="428"/>
        <w:gridCol w:w="116"/>
        <w:gridCol w:w="109"/>
        <w:gridCol w:w="109"/>
        <w:gridCol w:w="109"/>
        <w:gridCol w:w="353"/>
        <w:gridCol w:w="905"/>
        <w:gridCol w:w="257"/>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3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8345"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734"/>
        <w:gridCol w:w="1675"/>
        <w:gridCol w:w="380"/>
        <w:gridCol w:w="109"/>
        <w:gridCol w:w="109"/>
        <w:gridCol w:w="109"/>
        <w:gridCol w:w="222"/>
        <w:gridCol w:w="428"/>
        <w:gridCol w:w="116"/>
        <w:gridCol w:w="109"/>
        <w:gridCol w:w="109"/>
        <w:gridCol w:w="109"/>
        <w:gridCol w:w="378"/>
        <w:gridCol w:w="861"/>
        <w:gridCol w:w="27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income tax (benefit) provision and effective tax rate:</w:t>
      </w:r>
    </w:p>
    <w:p>
      <w:pPr>
        <w:pStyle w:val="TextBody"/>
        <w:bidi w:val="0"/>
        <w:spacing w:before="0" w:after="0"/>
        <w:ind w:left="0" w:right="0" w:firstLine="360"/>
        <w:jc w:val="left"/>
        <w:rPr/>
      </w:pPr>
      <w:r>
        <w:rPr/>
      </w:r>
    </w:p>
    <w:tbl>
      <w:tblPr>
        <w:tblW w:w="8298" w:type="dxa"/>
        <w:jc w:val="left"/>
        <w:tblInd w:w="0" w:type="dxa"/>
        <w:tblLayout w:type="fixed"/>
        <w:tblCellMar>
          <w:top w:w="28" w:type="dxa"/>
          <w:left w:w="28" w:type="dxa"/>
          <w:bottom w:w="28" w:type="dxa"/>
          <w:right w:w="28" w:type="dxa"/>
        </w:tblCellMar>
      </w:tblPr>
      <w:tblGrid>
        <w:gridCol w:w="1258"/>
        <w:gridCol w:w="1107"/>
        <w:gridCol w:w="1114"/>
        <w:gridCol w:w="221"/>
        <w:gridCol w:w="505"/>
        <w:gridCol w:w="114"/>
        <w:gridCol w:w="114"/>
        <w:gridCol w:w="114"/>
        <w:gridCol w:w="114"/>
        <w:gridCol w:w="221"/>
        <w:gridCol w:w="505"/>
        <w:gridCol w:w="114"/>
        <w:gridCol w:w="109"/>
        <w:gridCol w:w="109"/>
        <w:gridCol w:w="109"/>
        <w:gridCol w:w="211"/>
        <w:gridCol w:w="541"/>
        <w:gridCol w:w="109"/>
        <w:gridCol w:w="109"/>
        <w:gridCol w:w="109"/>
        <w:gridCol w:w="109"/>
        <w:gridCol w:w="211"/>
        <w:gridCol w:w="481"/>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income tax (benefit) provision </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(benefit) provision</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income tax (benefit) provision for interim periods is determined by applying an estimated annual effective tax rate to year to date (loss) income before income taxes with the result adjusted for discrete items, if any, in the relevant period. Our effective tax rate of 35% in the six months ended June 30, 2026, differed from the U.S. statutory rate of 21% primarily due to state taxes and income tax credits. Our effective tax rate of 29% for the six months ended June 30, 2025, differed from the U.S. statutory rate of 21% primarily due to state taxes.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SEGMENT INFORMATION</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primarily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 equipment, transportation assets and storage facilities. Our oil and natural gas segment operates assets located in California and Utah. Our carbon management segment operates exclusively in California.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related to sales of produced natural gas to our Elk Hills power plant are included in oil, natural gas and natural gas liquids sales in the table below. Direct labor-related costs are allocated to our reportable segments based on job function and activity. General and administrative expenses are allocated to a segment if they directly support a segment's activities. We do not allocate income taxes to our segments. We use proportionate consolidation to account for our share of oil and natural gas producing activities.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provide segment profit or loss and reconciliations of segment profit or loss to total operating revenues and consolidated income before income taxes for the three months ended June 30, 2026 and 2025.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448"/>
        <w:gridCol w:w="990"/>
        <w:gridCol w:w="232"/>
        <w:gridCol w:w="109"/>
        <w:gridCol w:w="109"/>
        <w:gridCol w:w="109"/>
        <w:gridCol w:w="109"/>
        <w:gridCol w:w="109"/>
        <w:gridCol w:w="211"/>
        <w:gridCol w:w="616"/>
        <w:gridCol w:w="160"/>
      </w:tblGrid>
      <w:tr>
        <w:trP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sales and unallocated interest and other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6"/>
        <w:gridCol w:w="526"/>
        <w:gridCol w:w="528"/>
        <w:gridCol w:w="250"/>
        <w:gridCol w:w="730"/>
        <w:gridCol w:w="129"/>
        <w:gridCol w:w="109"/>
        <w:gridCol w:w="109"/>
        <w:gridCol w:w="109"/>
        <w:gridCol w:w="411"/>
        <w:gridCol w:w="733"/>
        <w:gridCol w:w="214"/>
        <w:gridCol w:w="109"/>
        <w:gridCol w:w="109"/>
        <w:gridCol w:w="109"/>
        <w:gridCol w:w="301"/>
        <w:gridCol w:w="883"/>
        <w:gridCol w:w="158"/>
        <w:gridCol w:w="109"/>
        <w:gridCol w:w="109"/>
        <w:gridCol w:w="109"/>
        <w:gridCol w:w="401"/>
        <w:gridCol w:w="887"/>
        <w:gridCol w:w="208"/>
        <w:gridCol w:w="109"/>
        <w:gridCol w:w="109"/>
        <w:gridCol w:w="109"/>
        <w:gridCol w:w="109"/>
        <w:gridCol w:w="109"/>
        <w:gridCol w:w="211"/>
        <w:gridCol w:w="616"/>
        <w:gridCol w:w="109"/>
        <w:gridCol w:w="408"/>
      </w:tblGrid>
      <w:tr>
        <w:trPr/>
        <w:tc>
          <w:tcPr>
            <w:tcW w:w="97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344" w:type="dxa"/>
            <w:gridSpan w:val="4"/>
            <w:tcBorders/>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344" w:type="dxa"/>
            <w:gridSpan w:val="4"/>
            <w:tcBorders/>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costs: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 and compensation-related expenses. Other segment expenses for Corporate/Eliminations/Other includes transportation costs from marketing activities and other operating expenses, net that are not allocated to a segment.</w:t>
      </w: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1"/>
        <w:gridCol w:w="580"/>
        <w:gridCol w:w="582"/>
        <w:gridCol w:w="307"/>
        <w:gridCol w:w="679"/>
        <w:gridCol w:w="158"/>
        <w:gridCol w:w="109"/>
        <w:gridCol w:w="109"/>
        <w:gridCol w:w="109"/>
        <w:gridCol w:w="425"/>
        <w:gridCol w:w="820"/>
        <w:gridCol w:w="220"/>
        <w:gridCol w:w="109"/>
        <w:gridCol w:w="109"/>
        <w:gridCol w:w="109"/>
        <w:gridCol w:w="419"/>
        <w:gridCol w:w="926"/>
        <w:gridCol w:w="216"/>
        <w:gridCol w:w="109"/>
        <w:gridCol w:w="109"/>
        <w:gridCol w:w="109"/>
        <w:gridCol w:w="460"/>
        <w:gridCol w:w="1019"/>
        <w:gridCol w:w="238"/>
        <w:gridCol w:w="109"/>
        <w:gridCol w:w="109"/>
        <w:gridCol w:w="109"/>
        <w:gridCol w:w="109"/>
        <w:gridCol w:w="109"/>
        <w:gridCol w:w="211"/>
        <w:gridCol w:w="466"/>
        <w:gridCol w:w="162"/>
      </w:tblGrid>
      <w:tr>
        <w:trPr/>
        <w:tc>
          <w:tcPr>
            <w:tcW w:w="7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948" w:type="dxa"/>
            <w:gridSpan w:val="4"/>
            <w:tcBorders/>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948" w:type="dxa"/>
            <w:gridSpan w:val="4"/>
            <w:tcBorders/>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and unallocated interest and other revenue.</w:t>
      </w:r>
    </w:p>
    <w:tbl>
      <w:tblPr>
        <w:tblW w:w="10205" w:type="dxa"/>
        <w:jc w:val="left"/>
        <w:tblInd w:w="0" w:type="dxa"/>
        <w:tblLayout w:type="fixed"/>
        <w:tblCellMar>
          <w:top w:w="28" w:type="dxa"/>
          <w:left w:w="28" w:type="dxa"/>
          <w:bottom w:w="28" w:type="dxa"/>
          <w:right w:w="28" w:type="dxa"/>
        </w:tblCellMar>
      </w:tblPr>
      <w:tblGrid>
        <w:gridCol w:w="1053"/>
        <w:gridCol w:w="618"/>
        <w:gridCol w:w="620"/>
        <w:gridCol w:w="281"/>
        <w:gridCol w:w="621"/>
        <w:gridCol w:w="145"/>
        <w:gridCol w:w="109"/>
        <w:gridCol w:w="109"/>
        <w:gridCol w:w="109"/>
        <w:gridCol w:w="405"/>
        <w:gridCol w:w="781"/>
        <w:gridCol w:w="210"/>
        <w:gridCol w:w="109"/>
        <w:gridCol w:w="109"/>
        <w:gridCol w:w="109"/>
        <w:gridCol w:w="381"/>
        <w:gridCol w:w="843"/>
        <w:gridCol w:w="197"/>
        <w:gridCol w:w="109"/>
        <w:gridCol w:w="109"/>
        <w:gridCol w:w="109"/>
        <w:gridCol w:w="423"/>
        <w:gridCol w:w="935"/>
        <w:gridCol w:w="219"/>
        <w:gridCol w:w="109"/>
        <w:gridCol w:w="109"/>
        <w:gridCol w:w="109"/>
        <w:gridCol w:w="109"/>
        <w:gridCol w:w="109"/>
        <w:gridCol w:w="211"/>
        <w:gridCol w:w="466"/>
        <w:gridCol w:w="109"/>
        <w:gridCol w:w="161"/>
      </w:tblGrid>
      <w:tr>
        <w:trPr/>
        <w:tc>
          <w:tcPr>
            <w:tcW w:w="105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4"/>
            <w:tcBorders/>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4"/>
            <w:tcBorders/>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from investment in unconsolidated subsidiary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(a)Other segment expenses for our oil and natural gas segment includes transportation costs, accretion expense, and other operating expenses, net. Other segment expenses for our carbon management segment primarily includes operating lease costs. Other segment expenses for Corporate/Eliminations/Other includes transportation costs from marketing activities and other operating expenses, net that are not allocated to a segment. </w:t>
      </w: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4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439"/>
        <w:gridCol w:w="1003"/>
        <w:gridCol w:w="228"/>
        <w:gridCol w:w="109"/>
        <w:gridCol w:w="109"/>
        <w:gridCol w:w="109"/>
        <w:gridCol w:w="109"/>
        <w:gridCol w:w="109"/>
        <w:gridCol w:w="211"/>
        <w:gridCol w:w="616"/>
        <w:gridCol w:w="160"/>
      </w:tblGrid>
      <w:tr>
        <w:trP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for Corporate/Eliminations/Other includes net loss from commodity derivatives, revenue from marketing of purchased commodities, electricity revenue, interest income and unallocated other revenue.</w:t>
      </w:r>
    </w:p>
    <w:tbl>
      <w:tblPr>
        <w:tblW w:w="10205" w:type="dxa"/>
        <w:jc w:val="left"/>
        <w:tblInd w:w="0" w:type="dxa"/>
        <w:tblLayout w:type="fixed"/>
        <w:tblCellMar>
          <w:top w:w="28" w:type="dxa"/>
          <w:left w:w="28" w:type="dxa"/>
          <w:bottom w:w="28" w:type="dxa"/>
          <w:right w:w="28" w:type="dxa"/>
        </w:tblCellMar>
      </w:tblPr>
      <w:tblGrid>
        <w:gridCol w:w="1003"/>
        <w:gridCol w:w="564"/>
        <w:gridCol w:w="566"/>
        <w:gridCol w:w="256"/>
        <w:gridCol w:w="748"/>
        <w:gridCol w:w="132"/>
        <w:gridCol w:w="109"/>
        <w:gridCol w:w="109"/>
        <w:gridCol w:w="109"/>
        <w:gridCol w:w="418"/>
        <w:gridCol w:w="745"/>
        <w:gridCol w:w="218"/>
        <w:gridCol w:w="109"/>
        <w:gridCol w:w="109"/>
        <w:gridCol w:w="109"/>
        <w:gridCol w:w="312"/>
        <w:gridCol w:w="914"/>
        <w:gridCol w:w="163"/>
        <w:gridCol w:w="109"/>
        <w:gridCol w:w="109"/>
        <w:gridCol w:w="109"/>
        <w:gridCol w:w="406"/>
        <w:gridCol w:w="927"/>
        <w:gridCol w:w="210"/>
        <w:gridCol w:w="109"/>
        <w:gridCol w:w="109"/>
        <w:gridCol w:w="109"/>
        <w:gridCol w:w="109"/>
        <w:gridCol w:w="109"/>
        <w:gridCol w:w="211"/>
        <w:gridCol w:w="616"/>
        <w:gridCol w:w="109"/>
        <w:gridCol w:w="161"/>
      </w:tblGrid>
      <w:tr>
        <w:trPr/>
        <w:tc>
          <w:tcPr>
            <w:tcW w:w="10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Segment operating revenues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 and compensation-related expenses. Other segment expenses for Corporate/Eliminations/Other includes transportation costs from marketing activities and other operating expenses, net that are not allocated to a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448"/>
        <w:gridCol w:w="990"/>
        <w:gridCol w:w="232"/>
        <w:gridCol w:w="109"/>
        <w:gridCol w:w="109"/>
        <w:gridCol w:w="109"/>
        <w:gridCol w:w="109"/>
        <w:gridCol w:w="109"/>
        <w:gridCol w:w="211"/>
        <w:gridCol w:w="616"/>
        <w:gridCol w:w="160"/>
      </w:tblGrid>
      <w:tr>
        <w:trP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6" w:type="dxa"/>
            <w:gridSpan w:val="4"/>
            <w:tcBorders/>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interest income and unallocated other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2"/>
        <w:gridCol w:w="576"/>
        <w:gridCol w:w="579"/>
        <w:gridCol w:w="254"/>
        <w:gridCol w:w="743"/>
        <w:gridCol w:w="131"/>
        <w:gridCol w:w="109"/>
        <w:gridCol w:w="109"/>
        <w:gridCol w:w="109"/>
        <w:gridCol w:w="399"/>
        <w:gridCol w:w="769"/>
        <w:gridCol w:w="206"/>
        <w:gridCol w:w="109"/>
        <w:gridCol w:w="109"/>
        <w:gridCol w:w="109"/>
        <w:gridCol w:w="308"/>
        <w:gridCol w:w="905"/>
        <w:gridCol w:w="162"/>
        <w:gridCol w:w="109"/>
        <w:gridCol w:w="109"/>
        <w:gridCol w:w="109"/>
        <w:gridCol w:w="410"/>
        <w:gridCol w:w="907"/>
        <w:gridCol w:w="212"/>
        <w:gridCol w:w="109"/>
        <w:gridCol w:w="109"/>
        <w:gridCol w:w="109"/>
        <w:gridCol w:w="109"/>
        <w:gridCol w:w="109"/>
        <w:gridCol w:w="211"/>
        <w:gridCol w:w="616"/>
        <w:gridCol w:w="109"/>
        <w:gridCol w:w="160"/>
      </w:tblGrid>
      <w:tr>
        <w:trPr/>
        <w:tc>
          <w:tcPr>
            <w:tcW w:w="10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4"/>
            <w:tcBorders/>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4"/>
            <w:tcBorders/>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from investment in unconsolidated subsidiary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natural gas purchase derivatives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 transportation costs, accretion expense, and other operating expenses, net. Other segment expenses for our carbon management segment primarily includes operating lease costs. Other segment expenses for Corporate/Eliminations/Other includes transportation costs from marketing activities and other operating expenses, net that are not allocated to a segment.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table provides capital investment by segment and a reconciliation to our consolidated capital investment for the three and six months ended June 30, 2026 and 2025. We do not provide total assets by segment because it is not used by our Chief Operating Decision Maker. See </w:t>
      </w:r>
      <w:r>
        <w:rPr>
          <w:rFonts w:ascii="Arial;sans-serif" w:hAnsi="Arial;sans-serif"/>
          <w:b w:val="false"/>
          <w:i/>
          <w:color w:val="000000"/>
          <w:sz w:val="20"/>
        </w:rPr>
        <w:t>Note 3 Investment in Unconsolidated Subsidiaries and Related Party Transactions</w:t>
      </w:r>
      <w:r>
        <w:rPr>
          <w:color w:val="000000"/>
        </w:rPr>
        <w:t xml:space="preserve"> </w:t>
      </w:r>
      <w:r>
        <w:rPr>
          <w:rFonts w:ascii="Arial;sans-serif" w:hAnsi="Arial;sans-serif"/>
          <w:b w:val="false"/>
          <w:color w:val="000000"/>
          <w:sz w:val="20"/>
        </w:rPr>
        <w:t xml:space="preserve">for information on our investment in the Carbon TerraVault JV, which is part of our carbon management segment.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28"/>
        <w:gridCol w:w="906"/>
        <w:gridCol w:w="910"/>
        <w:gridCol w:w="463"/>
        <w:gridCol w:w="1056"/>
        <w:gridCol w:w="239"/>
        <w:gridCol w:w="109"/>
        <w:gridCol w:w="109"/>
        <w:gridCol w:w="109"/>
        <w:gridCol w:w="683"/>
        <w:gridCol w:w="878"/>
        <w:gridCol w:w="356"/>
        <w:gridCol w:w="109"/>
        <w:gridCol w:w="109"/>
        <w:gridCol w:w="109"/>
        <w:gridCol w:w="537"/>
        <w:gridCol w:w="1035"/>
        <w:gridCol w:w="281"/>
        <w:gridCol w:w="109"/>
        <w:gridCol w:w="109"/>
        <w:gridCol w:w="109"/>
        <w:gridCol w:w="211"/>
        <w:gridCol w:w="481"/>
        <w:gridCol w:w="160"/>
      </w:tblGrid>
      <w:tr>
        <w:trPr/>
        <w:tc>
          <w:tcPr>
            <w:tcW w:w="102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2"/>
        <w:gridCol w:w="874"/>
        <w:gridCol w:w="878"/>
        <w:gridCol w:w="474"/>
        <w:gridCol w:w="1080"/>
        <w:gridCol w:w="244"/>
        <w:gridCol w:w="109"/>
        <w:gridCol w:w="109"/>
        <w:gridCol w:w="109"/>
        <w:gridCol w:w="588"/>
        <w:gridCol w:w="1050"/>
        <w:gridCol w:w="305"/>
        <w:gridCol w:w="109"/>
        <w:gridCol w:w="109"/>
        <w:gridCol w:w="109"/>
        <w:gridCol w:w="572"/>
        <w:gridCol w:w="1020"/>
        <w:gridCol w:w="297"/>
        <w:gridCol w:w="109"/>
        <w:gridCol w:w="109"/>
        <w:gridCol w:w="109"/>
        <w:gridCol w:w="211"/>
        <w:gridCol w:w="481"/>
        <w:gridCol w:w="158"/>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STOCKHOLDERS' EQUITY</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authorized a Share Repurchase Program to acquire up to $1.78 billion of our common stock through December 31, 2027. The total value of shares that may yet be purchased under the Share Repurchase Program was $600 million as of June 30, 2026.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share repurchases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35"/>
        <w:gridCol w:w="735"/>
        <w:gridCol w:w="738"/>
        <w:gridCol w:w="950"/>
        <w:gridCol w:w="844"/>
        <w:gridCol w:w="846"/>
        <w:gridCol w:w="109"/>
        <w:gridCol w:w="109"/>
        <w:gridCol w:w="109"/>
        <w:gridCol w:w="631"/>
        <w:gridCol w:w="1441"/>
        <w:gridCol w:w="328"/>
        <w:gridCol w:w="109"/>
        <w:gridCol w:w="109"/>
        <w:gridCol w:w="109"/>
        <w:gridCol w:w="458"/>
        <w:gridCol w:w="1404"/>
        <w:gridCol w:w="341"/>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5,516,050 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218,719 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7,787,969 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accrued excise taxes, which are generally paid in the year following the share repurchase. Commissions paid on share repurchases were not significant in all periods presented.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6626" w:type="dxa"/>
        <w:jc w:val="left"/>
        <w:tblInd w:w="0" w:type="dxa"/>
        <w:tblLayout w:type="fixed"/>
        <w:tblCellMar>
          <w:top w:w="28" w:type="dxa"/>
          <w:left w:w="28" w:type="dxa"/>
          <w:bottom w:w="28" w:type="dxa"/>
          <w:right w:w="28" w:type="dxa"/>
        </w:tblCellMar>
      </w:tblPr>
      <w:tblGrid>
        <w:gridCol w:w="1199"/>
        <w:gridCol w:w="1051"/>
        <w:gridCol w:w="1064"/>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Per Share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2026</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2025</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2025</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on our common stock shown in the table above, we paid </w:t>
      </w:r>
      <w:r>
        <w:rPr>
          <w:rFonts w:ascii="Arial;sans-serif" w:hAnsi="Arial;sans-serif"/>
          <w:b w:val="false"/>
          <w:color w:val="000000"/>
          <w:sz w:val="20"/>
        </w:rPr>
        <w:t>$2 million</w:t>
      </w:r>
      <w:r>
        <w:rPr>
          <w:color w:val="000000"/>
          <w:shd w:fill="FFFFFF" w:val="clear"/>
        </w:rPr>
        <w:t xml:space="preserve"> </w:t>
      </w:r>
      <w:r>
        <w:rPr>
          <w:rFonts w:ascii="Arial;sans-serif" w:hAnsi="Arial;sans-serif"/>
          <w:b w:val="false"/>
          <w:color w:val="000000"/>
          <w:sz w:val="20"/>
          <w:shd w:fill="FFFFFF" w:val="clear"/>
        </w:rPr>
        <w:t xml:space="preserve">of dividend equivalents on equity-settled stock-based compensation awards in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 million</w:t>
      </w:r>
      <w:r>
        <w:rPr>
          <w:color w:val="000000"/>
          <w:shd w:fill="FFFFFF" w:val="clear"/>
        </w:rPr>
        <w:t xml:space="preserve"> </w:t>
      </w:r>
      <w:r>
        <w:rPr>
          <w:rFonts w:ascii="Arial;sans-serif" w:hAnsi="Arial;sans-serif"/>
          <w:b w:val="false"/>
          <w:color w:val="000000"/>
          <w:sz w:val="20"/>
          <w:shd w:fill="FFFFFF" w:val="clear"/>
        </w:rPr>
        <w:t xml:space="preserve">of dividend equivalents in the six months ended </w:t>
      </w:r>
      <w:r>
        <w:rPr>
          <w:rFonts w:ascii="Arial;sans-serif" w:hAnsi="Arial;sans-serif"/>
          <w:b w:val="false"/>
          <w:color w:val="000000"/>
          <w:sz w:val="20"/>
        </w:rPr>
        <w:t>June 30, 2025</w:t>
      </w:r>
      <w:r>
        <w:rPr>
          <w:rFonts w:ascii="Arial;sans-serif" w:hAnsi="Arial;sans-serif"/>
          <w:b w:val="false"/>
          <w:color w:val="000000"/>
          <w:sz w:val="20"/>
          <w:shd w:fill="FFFFFF" w:val="clear"/>
        </w:rPr>
        <w:t xml:space="preserve">.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15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six months ended June 30, 2026 and 2025.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six months ended June 30, 2026 and 2025:</w:t>
      </w:r>
    </w:p>
    <w:p>
      <w:pPr>
        <w:pStyle w:val="TextBody"/>
        <w:bidi w:val="0"/>
        <w:spacing w:before="0" w:after="0"/>
        <w:jc w:val="left"/>
        <w:rPr/>
      </w:pPr>
      <w:r>
        <w:rPr/>
      </w:r>
    </w:p>
    <w:tbl>
      <w:tblPr>
        <w:tblW w:w="8536" w:type="dxa"/>
        <w:jc w:val="left"/>
        <w:tblInd w:w="0" w:type="dxa"/>
        <w:tblLayout w:type="fixed"/>
        <w:tblCellMar>
          <w:top w:w="28" w:type="dxa"/>
          <w:left w:w="28" w:type="dxa"/>
          <w:bottom w:w="28" w:type="dxa"/>
          <w:right w:w="28" w:type="dxa"/>
        </w:tblCellMar>
      </w:tblPr>
      <w:tblGrid>
        <w:gridCol w:w="1293"/>
        <w:gridCol w:w="1137"/>
        <w:gridCol w:w="1140"/>
        <w:gridCol w:w="211"/>
        <w:gridCol w:w="541"/>
        <w:gridCol w:w="109"/>
        <w:gridCol w:w="109"/>
        <w:gridCol w:w="109"/>
        <w:gridCol w:w="109"/>
        <w:gridCol w:w="211"/>
        <w:gridCol w:w="541"/>
        <w:gridCol w:w="109"/>
        <w:gridCol w:w="109"/>
        <w:gridCol w:w="109"/>
        <w:gridCol w:w="109"/>
        <w:gridCol w:w="211"/>
        <w:gridCol w:w="601"/>
        <w:gridCol w:w="109"/>
        <w:gridCol w:w="109"/>
        <w:gridCol w:w="109"/>
        <w:gridCol w:w="109"/>
        <w:gridCol w:w="211"/>
        <w:gridCol w:w="541"/>
        <w:gridCol w:w="109"/>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potentially dilutive weighted-average common shares which were excluded from the denominator for EPS in periods of losses: </w:t>
      </w:r>
    </w:p>
    <w:p>
      <w:pPr>
        <w:pStyle w:val="TextBody"/>
        <w:bidi w:val="0"/>
        <w:spacing w:before="0" w:after="0"/>
        <w:ind w:left="0" w:right="0" w:firstLine="360"/>
        <w:jc w:val="left"/>
        <w:rPr/>
      </w:pPr>
      <w:r>
        <w:rPr/>
      </w:r>
    </w:p>
    <w:tbl>
      <w:tblPr>
        <w:tblW w:w="8020" w:type="dxa"/>
        <w:jc w:val="left"/>
        <w:tblInd w:w="0" w:type="dxa"/>
        <w:tblLayout w:type="fixed"/>
        <w:tblCellMar>
          <w:top w:w="28" w:type="dxa"/>
          <w:left w:w="28" w:type="dxa"/>
          <w:bottom w:w="28" w:type="dxa"/>
          <w:right w:w="28" w:type="dxa"/>
        </w:tblCellMar>
      </w:tblPr>
      <w:tblGrid>
        <w:gridCol w:w="1363"/>
        <w:gridCol w:w="1199"/>
        <w:gridCol w:w="1203"/>
        <w:gridCol w:w="225"/>
        <w:gridCol w:w="225"/>
        <w:gridCol w:w="225"/>
        <w:gridCol w:w="225"/>
        <w:gridCol w:w="225"/>
        <w:gridCol w:w="225"/>
        <w:gridCol w:w="225"/>
        <w:gridCol w:w="225"/>
        <w:gridCol w:w="225"/>
        <w:gridCol w:w="109"/>
        <w:gridCol w:w="109"/>
        <w:gridCol w:w="109"/>
        <w:gridCol w:w="218"/>
        <w:gridCol w:w="218"/>
        <w:gridCol w:w="196"/>
        <w:gridCol w:w="196"/>
        <w:gridCol w:w="196"/>
        <w:gridCol w:w="196"/>
        <w:gridCol w:w="203"/>
        <w:gridCol w:w="203"/>
        <w:gridCol w:w="277"/>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issuable upon settlement of RSUs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issuable upon settlement of PSUs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antidilutive shares</w:t>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PENSION AND 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components of the net periodic benefit costs for our defined benefit pension and postretirement benefit plans for the three and six months ended June 30, 2026 and 2025:</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79"/>
        <w:gridCol w:w="1170"/>
        <w:gridCol w:w="1177"/>
        <w:gridCol w:w="354"/>
        <w:gridCol w:w="531"/>
        <w:gridCol w:w="170"/>
        <w:gridCol w:w="170"/>
        <w:gridCol w:w="170"/>
        <w:gridCol w:w="170"/>
        <w:gridCol w:w="427"/>
        <w:gridCol w:w="822"/>
        <w:gridCol w:w="222"/>
        <w:gridCol w:w="109"/>
        <w:gridCol w:w="109"/>
        <w:gridCol w:w="109"/>
        <w:gridCol w:w="336"/>
        <w:gridCol w:w="610"/>
        <w:gridCol w:w="162"/>
        <w:gridCol w:w="162"/>
        <w:gridCol w:w="162"/>
        <w:gridCol w:w="162"/>
        <w:gridCol w:w="414"/>
        <w:gridCol w:w="798"/>
        <w:gridCol w:w="310"/>
      </w:tblGrid>
      <w:tr>
        <w:trPr/>
        <w:tc>
          <w:tcPr>
            <w:tcW w:w="137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424" w:type="dxa"/>
            <w:gridSpan w:val="18"/>
            <w:tcBorders/>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3"/>
        <w:gridCol w:w="1197"/>
        <w:gridCol w:w="1205"/>
        <w:gridCol w:w="342"/>
        <w:gridCol w:w="519"/>
        <w:gridCol w:w="166"/>
        <w:gridCol w:w="166"/>
        <w:gridCol w:w="166"/>
        <w:gridCol w:w="166"/>
        <w:gridCol w:w="525"/>
        <w:gridCol w:w="674"/>
        <w:gridCol w:w="272"/>
        <w:gridCol w:w="109"/>
        <w:gridCol w:w="109"/>
        <w:gridCol w:w="109"/>
        <w:gridCol w:w="324"/>
        <w:gridCol w:w="597"/>
        <w:gridCol w:w="158"/>
        <w:gridCol w:w="158"/>
        <w:gridCol w:w="158"/>
        <w:gridCol w:w="158"/>
        <w:gridCol w:w="502"/>
        <w:gridCol w:w="645"/>
        <w:gridCol w:w="377"/>
      </w:tblGrid>
      <w:tr>
        <w:trPr/>
        <w:tc>
          <w:tcPr>
            <w:tcW w:w="14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373" w:type="dxa"/>
            <w:gridSpan w:val="18"/>
            <w:tcBorders/>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Contributions to our pension benefit plans were insignificant during the </w:t>
      </w:r>
      <w:r>
        <w:rPr>
          <w:rFonts w:ascii="Arial;sans-serif" w:hAnsi="Arial;sans-serif"/>
          <w:b w:val="false"/>
          <w:color w:val="000000"/>
          <w:sz w:val="20"/>
        </w:rPr>
        <w:t xml:space="preserve">three months and six months ended June 30, 2026 and 2025. </w:t>
      </w:r>
      <w:r>
        <w:rPr>
          <w:rFonts w:ascii="Arial;sans-serif" w:hAnsi="Arial;sans-serif"/>
          <w:b w:val="false"/>
          <w:color w:val="000000"/>
          <w:sz w:val="20"/>
          <w:shd w:fill="FFFFFF" w:val="clear"/>
        </w:rPr>
        <w:t xml:space="preserve">We do not expect to need to make any contributions to our qualified pension plans to satisfy minimum funding requirements during the remainder of </w:t>
      </w:r>
      <w:r>
        <w:rPr>
          <w:rFonts w:ascii="Arial;sans-serif" w:hAnsi="Arial;sans-serif"/>
          <w:b w:val="false"/>
          <w:color w:val="000000"/>
          <w:sz w:val="20"/>
        </w:rPr>
        <w:t>2026</w:t>
      </w:r>
      <w:r>
        <w:rPr>
          <w:rFonts w:ascii="Arial;sans-serif" w:hAnsi="Arial;sans-serif"/>
          <w:b w:val="false"/>
          <w:color w:val="000000"/>
          <w:sz w:val="20"/>
          <w:shd w:fill="FFFFFF" w:val="clear"/>
        </w:rPr>
        <w:t xml:space="preserve">. We expect to contribute an insignificant amount to fund our non-qualified pension benefit distributions during the remainder of </w:t>
      </w:r>
      <w:r>
        <w:rPr>
          <w:rFonts w:ascii="Arial;sans-serif" w:hAnsi="Arial;sans-serif"/>
          <w:b w:val="false"/>
          <w:color w:val="000000"/>
          <w:sz w:val="20"/>
        </w:rPr>
        <w:t>2026</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12 SUPPLEMENTAL ACCOUNT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Restricted cash</w:t>
      </w:r>
      <w:r>
        <w:rPr>
          <w:color w:val="000000"/>
        </w:rPr>
        <w:t xml:space="preserve"> — </w:t>
      </w:r>
      <w:r>
        <w:rPr>
          <w:rFonts w:ascii="Arial;sans-serif" w:hAnsi="Arial;sans-serif"/>
          <w:b w:val="false"/>
          <w:color w:val="000000"/>
          <w:sz w:val="20"/>
        </w:rPr>
        <w:t>Cash and cash equivalents includes restricted cash of $13 million and $15 million at June 30, 2026 and December 31, 2025, respectively. Restricted cash primarily includes funds held in an escrow account established to secure oil field well and infrastructure abandonment and habitat restoration at an oil and gas field previously owned by Aera. The Aera Merger agreement provides that 50% of the amount of released funds exceeding the cumulative abandonment and habitat restoration expenditures from January 1, 2024 onward is payable to the prior owners of Aera. We do not expect this return of excess cash to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Our remaining revenue is primarily generated from the sale of electricity and resource adequacy contracts, and to a lesser extent from marketing activities related to storage and managing excess pipeline capacity. The following table provides disaggregated revenue for sales of produced oil, natural gas and natural gas liquids to customers: </w:t>
      </w:r>
    </w:p>
    <w:p>
      <w:pPr>
        <w:pStyle w:val="TextBody"/>
        <w:bidi w:val="0"/>
        <w:spacing w:before="0" w:after="0"/>
        <w:ind w:left="0" w:right="0" w:firstLine="360"/>
        <w:jc w:val="left"/>
        <w:rPr/>
      </w:pPr>
      <w:r>
        <w:rPr/>
      </w:r>
    </w:p>
    <w:tbl>
      <w:tblPr>
        <w:tblW w:w="9135" w:type="dxa"/>
        <w:jc w:val="left"/>
        <w:tblInd w:w="0" w:type="dxa"/>
        <w:tblLayout w:type="fixed"/>
        <w:tblCellMar>
          <w:top w:w="28" w:type="dxa"/>
          <w:left w:w="28" w:type="dxa"/>
          <w:bottom w:w="28" w:type="dxa"/>
          <w:right w:w="28" w:type="dxa"/>
        </w:tblCellMar>
      </w:tblPr>
      <w:tblGrid>
        <w:gridCol w:w="1432"/>
        <w:gridCol w:w="1263"/>
        <w:gridCol w:w="127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Natural gas liquids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with respect to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pStyle w:val="TextBody"/>
        <w:bidi w:val="0"/>
        <w:spacing w:before="0" w:after="0"/>
        <w:jc w:val="left"/>
        <w:rPr/>
      </w:pPr>
      <w:r>
        <w:rPr/>
      </w:r>
    </w:p>
    <w:tbl>
      <w:tblPr>
        <w:tblW w:w="9293" w:type="dxa"/>
        <w:jc w:val="left"/>
        <w:tblInd w:w="0" w:type="dxa"/>
        <w:tblLayout w:type="fixed"/>
        <w:tblCellMar>
          <w:top w:w="28" w:type="dxa"/>
          <w:left w:w="28" w:type="dxa"/>
          <w:bottom w:w="28" w:type="dxa"/>
          <w:right w:w="28" w:type="dxa"/>
        </w:tblCellMar>
      </w:tblPr>
      <w:tblGrid>
        <w:gridCol w:w="1659"/>
        <w:gridCol w:w="1464"/>
        <w:gridCol w:w="1482"/>
        <w:gridCol w:w="248"/>
        <w:gridCol w:w="443"/>
        <w:gridCol w:w="128"/>
        <w:gridCol w:w="128"/>
        <w:gridCol w:w="128"/>
        <w:gridCol w:w="128"/>
        <w:gridCol w:w="248"/>
        <w:gridCol w:w="443"/>
        <w:gridCol w:w="128"/>
        <w:gridCol w:w="109"/>
        <w:gridCol w:w="109"/>
        <w:gridCol w:w="109"/>
        <w:gridCol w:w="215"/>
        <w:gridCol w:w="383"/>
        <w:gridCol w:w="111"/>
        <w:gridCol w:w="111"/>
        <w:gridCol w:w="111"/>
        <w:gridCol w:w="111"/>
        <w:gridCol w:w="215"/>
        <w:gridCol w:w="490"/>
        <w:gridCol w:w="111"/>
        <w:gridCol w:w="109"/>
        <w:gridCol w:w="109"/>
        <w:gridCol w:w="109"/>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liquids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May 2026, we began capturing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at our cryogenic gas processing facility and sequestering it at the 26R reservoir. As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is captured, we accrue revenue for the 45Q credit that we earn under this process in accordance with the requirements of Section 45Q of the Internal Revenue Code of 1986, as amended. Revenue for our carbon management business was insignificant for the three and six months ended June 30, 2026.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Inventory</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Inventory, by category, is as follows:</w:t>
      </w:r>
    </w:p>
    <w:p>
      <w:pPr>
        <w:pStyle w:val="TextBody"/>
        <w:bidi w:val="0"/>
        <w:spacing w:before="0" w:after="0"/>
        <w:ind w:left="0" w:right="0" w:firstLine="360"/>
        <w:jc w:val="left"/>
        <w:rPr/>
      </w:pPr>
      <w:r>
        <w:rPr/>
      </w:r>
    </w:p>
    <w:tbl>
      <w:tblPr>
        <w:tblW w:w="4691" w:type="dxa"/>
        <w:jc w:val="left"/>
        <w:tblInd w:w="0" w:type="dxa"/>
        <w:tblLayout w:type="fixed"/>
        <w:tblCellMar>
          <w:top w:w="28" w:type="dxa"/>
          <w:left w:w="28" w:type="dxa"/>
          <w:bottom w:w="28" w:type="dxa"/>
          <w:right w:w="28" w:type="dxa"/>
        </w:tblCellMar>
      </w:tblPr>
      <w:tblGrid>
        <w:gridCol w:w="750"/>
        <w:gridCol w:w="657"/>
        <w:gridCol w:w="662"/>
        <w:gridCol w:w="233"/>
        <w:gridCol w:w="532"/>
        <w:gridCol w:w="120"/>
        <w:gridCol w:w="109"/>
        <w:gridCol w:w="109"/>
        <w:gridCol w:w="109"/>
        <w:gridCol w:w="351"/>
        <w:gridCol w:w="801"/>
        <w:gridCol w:w="258"/>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6731" w:type="dxa"/>
        <w:jc w:val="left"/>
        <w:tblInd w:w="0" w:type="dxa"/>
        <w:tblLayout w:type="fixed"/>
        <w:tblCellMar>
          <w:top w:w="28" w:type="dxa"/>
          <w:left w:w="28" w:type="dxa"/>
          <w:bottom w:w="28" w:type="dxa"/>
          <w:right w:w="28" w:type="dxa"/>
        </w:tblCellMar>
      </w:tblPr>
      <w:tblGrid>
        <w:gridCol w:w="1486"/>
        <w:gridCol w:w="1307"/>
        <w:gridCol w:w="1316"/>
        <w:gridCol w:w="233"/>
        <w:gridCol w:w="532"/>
        <w:gridCol w:w="120"/>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(a)The amounts due from joint interest partners include $2 million of allowances for credit losses as of June 30, 2026 and December 31, 2025, respectively.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152" w:type="dxa"/>
        <w:jc w:val="left"/>
        <w:tblInd w:w="0" w:type="dxa"/>
        <w:tblLayout w:type="fixed"/>
        <w:tblCellMar>
          <w:top w:w="28" w:type="dxa"/>
          <w:left w:w="28" w:type="dxa"/>
          <w:bottom w:w="28" w:type="dxa"/>
          <w:right w:w="28" w:type="dxa"/>
        </w:tblCellMar>
      </w:tblPr>
      <w:tblGrid>
        <w:gridCol w:w="1640"/>
        <w:gridCol w:w="1443"/>
        <w:gridCol w:w="1447"/>
        <w:gridCol w:w="233"/>
        <w:gridCol w:w="532"/>
        <w:gridCol w:w="120"/>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Funded pension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Postretirement plan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8517" w:type="dxa"/>
        <w:jc w:val="left"/>
        <w:tblInd w:w="0" w:type="dxa"/>
        <w:tblLayout w:type="fixed"/>
        <w:tblCellMar>
          <w:top w:w="28" w:type="dxa"/>
          <w:left w:w="28" w:type="dxa"/>
          <w:bottom w:w="28" w:type="dxa"/>
          <w:right w:w="28" w:type="dxa"/>
        </w:tblCellMar>
      </w:tblPr>
      <w:tblGrid>
        <w:gridCol w:w="2137"/>
        <w:gridCol w:w="1876"/>
        <w:gridCol w:w="1882"/>
        <w:gridCol w:w="233"/>
        <w:gridCol w:w="532"/>
        <w:gridCol w:w="120"/>
        <w:gridCol w:w="109"/>
        <w:gridCol w:w="109"/>
        <w:gridCol w:w="109"/>
        <w:gridCol w:w="351"/>
        <w:gridCol w:w="801"/>
        <w:gridCol w:w="258"/>
      </w:tblGrid>
      <w:tr>
        <w:trPr/>
        <w:tc>
          <w:tcPr>
            <w:tcW w:w="213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 - current portion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 and premiums due on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Advanced payments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Greenhouse gas liability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Signal Hill offshore platform expense accrual</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 the following: </w:t>
      </w:r>
    </w:p>
    <w:p>
      <w:pPr>
        <w:pStyle w:val="TextBody"/>
        <w:bidi w:val="0"/>
        <w:spacing w:before="0" w:after="0"/>
        <w:ind w:left="0" w:right="0" w:firstLine="360"/>
        <w:jc w:val="left"/>
        <w:rPr/>
      </w:pPr>
      <w:r>
        <w:rPr/>
      </w:r>
    </w:p>
    <w:tbl>
      <w:tblPr>
        <w:tblW w:w="6296" w:type="dxa"/>
        <w:jc w:val="left"/>
        <w:tblInd w:w="0" w:type="dxa"/>
        <w:tblLayout w:type="fixed"/>
        <w:tblCellMar>
          <w:top w:w="28" w:type="dxa"/>
          <w:left w:w="28" w:type="dxa"/>
          <w:bottom w:w="28" w:type="dxa"/>
          <w:right w:w="28" w:type="dxa"/>
        </w:tblCellMar>
      </w:tblPr>
      <w:tblGrid>
        <w:gridCol w:w="1332"/>
        <w:gridCol w:w="1169"/>
        <w:gridCol w:w="1173"/>
        <w:gridCol w:w="233"/>
        <w:gridCol w:w="532"/>
        <w:gridCol w:w="120"/>
        <w:gridCol w:w="109"/>
        <w:gridCol w:w="109"/>
        <w:gridCol w:w="109"/>
        <w:gridCol w:w="351"/>
        <w:gridCol w:w="801"/>
        <w:gridCol w:w="258"/>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pension benefit plans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liability</w:t>
            </w:r>
            <w:r>
              <w:rPr>
                <w:rFonts w:ascii="Arial;sans-serif" w:hAnsi="Arial;sans-serif"/>
                <w:b w:val="false"/>
                <w:color w:val="000000"/>
                <w:sz w:val="13"/>
              </w:rPr>
              <w:t>(a)</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    See </w:t>
      </w:r>
      <w:r>
        <w:rPr>
          <w:rFonts w:ascii="Arial;sans-serif" w:hAnsi="Arial;sans-serif"/>
          <w:b w:val="false"/>
          <w:i/>
          <w:color w:val="000000"/>
          <w:sz w:val="16"/>
        </w:rPr>
        <w:t>Note 3 Investment in Unconsolidated Subsidiaries and Related Party Transactions</w:t>
      </w:r>
      <w:r>
        <w:rPr>
          <w:color w:val="000000"/>
        </w:rPr>
        <w:t xml:space="preserve"> </w:t>
      </w:r>
      <w:r>
        <w:rPr>
          <w:rFonts w:ascii="Arial;sans-serif" w:hAnsi="Arial;sans-serif"/>
          <w:b w:val="false"/>
          <w:color w:val="000000"/>
          <w:sz w:val="16"/>
        </w:rPr>
        <w:t>for information on the contingent liability related to the Carbon TerraVault JV.</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include the following: </w:t>
      </w:r>
    </w:p>
    <w:p>
      <w:pPr>
        <w:pStyle w:val="TextBody"/>
        <w:bidi w:val="0"/>
        <w:spacing w:before="0" w:after="0"/>
        <w:jc w:val="left"/>
        <w:rPr/>
      </w:pPr>
      <w:r>
        <w:rPr/>
      </w:r>
    </w:p>
    <w:tbl>
      <w:tblPr>
        <w:tblW w:w="9743" w:type="dxa"/>
        <w:jc w:val="left"/>
        <w:tblInd w:w="0" w:type="dxa"/>
        <w:tblLayout w:type="fixed"/>
        <w:tblCellMar>
          <w:top w:w="28" w:type="dxa"/>
          <w:left w:w="28" w:type="dxa"/>
          <w:bottom w:w="28" w:type="dxa"/>
          <w:right w:w="28" w:type="dxa"/>
        </w:tblCellMar>
      </w:tblPr>
      <w:tblGrid>
        <w:gridCol w:w="1830"/>
        <w:gridCol w:w="1610"/>
        <w:gridCol w:w="1615"/>
        <w:gridCol w:w="248"/>
        <w:gridCol w:w="443"/>
        <w:gridCol w:w="128"/>
        <w:gridCol w:w="128"/>
        <w:gridCol w:w="128"/>
        <w:gridCol w:w="128"/>
        <w:gridCol w:w="248"/>
        <w:gridCol w:w="443"/>
        <w:gridCol w:w="128"/>
        <w:gridCol w:w="109"/>
        <w:gridCol w:w="109"/>
        <w:gridCol w:w="109"/>
        <w:gridCol w:w="215"/>
        <w:gridCol w:w="490"/>
        <w:gridCol w:w="111"/>
        <w:gridCol w:w="111"/>
        <w:gridCol w:w="111"/>
        <w:gridCol w:w="111"/>
        <w:gridCol w:w="215"/>
        <w:gridCol w:w="383"/>
        <w:gridCol w:w="111"/>
        <w:gridCol w:w="109"/>
        <w:gridCol w:w="109"/>
        <w:gridCol w:w="109"/>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Six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expense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condensed consolidated statements of cash flows are presented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89"/>
        <w:gridCol w:w="1484"/>
        <w:gridCol w:w="1490"/>
        <w:gridCol w:w="289"/>
        <w:gridCol w:w="557"/>
        <w:gridCol w:w="149"/>
        <w:gridCol w:w="149"/>
        <w:gridCol w:w="149"/>
        <w:gridCol w:w="149"/>
        <w:gridCol w:w="289"/>
        <w:gridCol w:w="557"/>
        <w:gridCol w:w="149"/>
        <w:gridCol w:w="109"/>
        <w:gridCol w:w="109"/>
        <w:gridCol w:w="109"/>
        <w:gridCol w:w="276"/>
        <w:gridCol w:w="532"/>
        <w:gridCol w:w="142"/>
        <w:gridCol w:w="142"/>
        <w:gridCol w:w="142"/>
        <w:gridCol w:w="142"/>
        <w:gridCol w:w="276"/>
        <w:gridCol w:w="492"/>
        <w:gridCol w:w="142"/>
        <w:gridCol w:w="109"/>
        <w:gridCol w:w="109"/>
        <w:gridCol w:w="109"/>
        <w:gridCol w:w="165"/>
      </w:tblGrid>
      <w:tr>
        <w:trPr/>
        <w:tc>
          <w:tcPr>
            <w:tcW w:w="168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cash flow information</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the Carbon TerraVault JV</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Issuance of shares for stock-based compensation awards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for stock-based compensation awards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Excise tax on share repurchases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Withholding tax on the Stock Repurchase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designated certain of our subsidiaries as Unrestricted Subsidiaries under the 2034 Senior Notes Indenture and the 2035 Senior Notes Indenture. Unrestricted Subsidiaries (as defined in the 2034 Senior Notes Indenture and the 2035 Senior Notes Indenture) are subject to fewer restrictions under the indentures. We are required under the 2034 Senior Notes Indenture and the 2035 Senior Notes Indenture to present the financial condition and results of operations of CRC and its Restricted Subsidiaries (as defined in the 2034 Senior Notes Indenture and the 2035 Senior Notes Indenture) separate from the financial condition and results of operations of its Unrestricted Subsidiaries. The following condensed consolidating balance sheets as of June 30, 2026 and December 31, 2025 and the condensed consolidating statements of operations for the three and six months ended June 30, 2026 and 2025,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 In 2026, we adjusted the Unrestricted Subsidiaries under the 2034 Senior Notes Indenture. The Unrestricted Subsidiaries and Restricted Subsidiaries for prior periods have not been conformed to the current presentation.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June 30, 2026 and December 31,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4"/>
        <w:gridCol w:w="396"/>
        <w:gridCol w:w="400"/>
        <w:gridCol w:w="211"/>
        <w:gridCol w:w="646"/>
        <w:gridCol w:w="109"/>
        <w:gridCol w:w="109"/>
        <w:gridCol w:w="109"/>
        <w:gridCol w:w="109"/>
        <w:gridCol w:w="408"/>
        <w:gridCol w:w="931"/>
        <w:gridCol w:w="211"/>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June 30, 2026</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in unconsolidated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2"/>
        <w:gridCol w:w="398"/>
        <w:gridCol w:w="400"/>
        <w:gridCol w:w="211"/>
        <w:gridCol w:w="646"/>
        <w:gridCol w:w="109"/>
        <w:gridCol w:w="109"/>
        <w:gridCol w:w="109"/>
        <w:gridCol w:w="109"/>
        <w:gridCol w:w="469"/>
        <w:gridCol w:w="837"/>
        <w:gridCol w:w="244"/>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2025</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June 30, 2026 and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7"/>
        <w:gridCol w:w="523"/>
        <w:gridCol w:w="526"/>
        <w:gridCol w:w="211"/>
        <w:gridCol w:w="412"/>
        <w:gridCol w:w="109"/>
        <w:gridCol w:w="109"/>
        <w:gridCol w:w="109"/>
        <w:gridCol w:w="109"/>
        <w:gridCol w:w="541"/>
        <w:gridCol w:w="966"/>
        <w:gridCol w:w="281"/>
        <w:gridCol w:w="109"/>
        <w:gridCol w:w="109"/>
        <w:gridCol w:w="109"/>
        <w:gridCol w:w="379"/>
        <w:gridCol w:w="1166"/>
        <w:gridCol w:w="198"/>
        <w:gridCol w:w="109"/>
        <w:gridCol w:w="109"/>
        <w:gridCol w:w="109"/>
        <w:gridCol w:w="391"/>
        <w:gridCol w:w="697"/>
        <w:gridCol w:w="203"/>
        <w:gridCol w:w="109"/>
        <w:gridCol w:w="109"/>
        <w:gridCol w:w="109"/>
        <w:gridCol w:w="288"/>
        <w:gridCol w:w="882"/>
        <w:gridCol w:w="217"/>
      </w:tblGrid>
      <w:tr>
        <w:trPr/>
        <w:tc>
          <w:tcPr>
            <w:tcW w:w="90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33"/>
        <w:gridCol w:w="952"/>
        <w:gridCol w:w="277"/>
        <w:gridCol w:w="109"/>
        <w:gridCol w:w="109"/>
        <w:gridCol w:w="109"/>
        <w:gridCol w:w="374"/>
        <w:gridCol w:w="1150"/>
        <w:gridCol w:w="195"/>
        <w:gridCol w:w="109"/>
        <w:gridCol w:w="109"/>
        <w:gridCol w:w="109"/>
        <w:gridCol w:w="391"/>
        <w:gridCol w:w="697"/>
        <w:gridCol w:w="203"/>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15    SUBSEQUENT EVENTS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August 10, 2026</w:t>
      </w:r>
      <w:r>
        <w:rPr>
          <w:rFonts w:ascii="Arial;sans-serif" w:hAnsi="Arial;sans-serif"/>
          <w:b w:val="false"/>
          <w:color w:val="000000"/>
          <w:sz w:val="20"/>
          <w:shd w:fill="FFFFFF" w:val="clear"/>
        </w:rPr>
        <w:t xml:space="preserve">, our Board of Directors declared a quarterly cash dividend of $0.4050 per share of common stock. The dividend is payable to shareholders of record at the close of business on </w:t>
      </w:r>
      <w:r>
        <w:rPr>
          <w:rFonts w:ascii="Arial;sans-serif" w:hAnsi="Arial;sans-serif"/>
          <w:b w:val="false"/>
          <w:color w:val="000000"/>
          <w:sz w:val="20"/>
        </w:rPr>
        <w:t>September 4, 2026</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September 18, 2026</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as of the date presented.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results, and those of the oil and natural gas industry, are heavily influenced by commodity prices. Oil and natural gas prices and differentials can fluctuate significantly due to various market-related factors, making it challenging to predict realized prices reliably. We may respond to changing economic conditions by adjusting the amount and allocation of our capital program or by pursuing additional cost reductions. Significant changes in oil and natural gas prices may also affect the quantities of reserves that we can economically produce over the longer term.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Global oil prices were volatile during the first half of 2026 and continuing into the third quarter of 2026. During the second quarter of 2026, oil prices generally remained elevated due to the ongoing conflict in Iran and neighboring countries, disruptions to shipping through the Strait of Hormuz and concerns regarding the impact of supply disruptions on global energy markets. Oil prices declined sharply during the second half of June 2026 as tensions in the Middle East eased following an agreement to reopen the Strait of Hormuz. Prices were further impacted by continued tepid demand from Chinese refiners and the release of strategic petroleum reserves. In July 2026, oil prices increased as tensions in the Middle East re-escalated. We expect oil prices to remain volatile as these geopolitical circumstances continue to evolve. Refer to </w:t>
      </w:r>
      <w:r>
        <w:rPr>
          <w:rFonts w:ascii="Arial;sans-serif" w:hAnsi="Arial;sans-serif"/>
          <w:b w:val="false"/>
          <w:i/>
          <w:color w:val="000000"/>
          <w:sz w:val="20"/>
        </w:rPr>
        <w:t xml:space="preserve">Results of Our Oil and Natural Gas Operations, Production, Prices and Realizations </w:t>
      </w:r>
      <w:r>
        <w:rPr>
          <w:rFonts w:ascii="Arial;sans-serif" w:hAnsi="Arial;sans-serif"/>
          <w:b w:val="false"/>
          <w:color w:val="000000"/>
          <w:sz w:val="20"/>
        </w:rPr>
        <w:t>below for information on our realized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8199" w:type="dxa"/>
        <w:jc w:val="left"/>
        <w:tblInd w:w="0" w:type="dxa"/>
        <w:tblLayout w:type="fixed"/>
        <w:tblCellMar>
          <w:top w:w="28" w:type="dxa"/>
          <w:left w:w="28" w:type="dxa"/>
          <w:bottom w:w="28" w:type="dxa"/>
          <w:right w:w="28" w:type="dxa"/>
        </w:tblCellMar>
      </w:tblPr>
      <w:tblGrid>
        <w:gridCol w:w="1025"/>
        <w:gridCol w:w="903"/>
        <w:gridCol w:w="907"/>
        <w:gridCol w:w="211"/>
        <w:gridCol w:w="646"/>
        <w:gridCol w:w="109"/>
        <w:gridCol w:w="109"/>
        <w:gridCol w:w="109"/>
        <w:gridCol w:w="109"/>
        <w:gridCol w:w="219"/>
        <w:gridCol w:w="672"/>
        <w:gridCol w:w="113"/>
        <w:gridCol w:w="109"/>
        <w:gridCol w:w="109"/>
        <w:gridCol w:w="109"/>
        <w:gridCol w:w="211"/>
        <w:gridCol w:w="646"/>
        <w:gridCol w:w="109"/>
        <w:gridCol w:w="109"/>
        <w:gridCol w:w="109"/>
        <w:gridCol w:w="109"/>
        <w:gridCol w:w="211"/>
        <w:gridCol w:w="646"/>
        <w:gridCol w:w="109"/>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NYMEX Henry Hub ($/MMBtu)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Supply Chain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continued to experience relatively flat pricing from our suppliers during the first six months of 2026 compared to the prior year. However, high fuel costs are adversely impacting transportation and equipment prices, and high oil prices are impacting oil-based products such as chemicals and lubricants. We expect these prices to impact our full year 2026 costs by approximately $9 million.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months ended June 30, 2026, we were informed by a pipeline operator that it had received nominations in excess of available capacity on a segment of its pipeline and the volume of crude oil we were allowed to transport was pro-rated along with other shippers. This led to both lower realizations, higher transportation costs and the incurrence of capital expenditures related to additional storage capacity as we sought alternative routes to market. We also experienced a temporary crude oil inventory build of approximately 137,000 barrels that negatively impacted our net production sold for the period. A substantial majority of this inventory was sold in July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our realized prices were negatively impacted during the period due to force majeure claims made by certain counterparties that affected pricing and offtake commitments.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negative impact of these disputes to our pre-tax income for the three months ended June 30, 2026 was approximately $25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disputing the pipeline operator's ability to pro-rate our nominations under the applicable tariff as well as the validity of the force majeure claims. We expect to prevail in these disputes, however, the timing and outcome of such disputes are inherently uncertain. If we are not able to resolve these disputes on favorable terms or in a timely manner, we could experience an adverse effect on our realizations, our ability to market our crude oil and our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Well Permitting</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currently hold sufficient permits to support our 2026 capital program and we continue to build our permit inventory in anticipation of our expected operations in 2027. Refer to </w:t>
      </w:r>
      <w:r>
        <w:rPr>
          <w:rFonts w:ascii="Arial;sans-serif" w:hAnsi="Arial;sans-serif"/>
          <w:b w:val="false"/>
          <w:i/>
          <w:color w:val="000000"/>
          <w:sz w:val="20"/>
        </w:rPr>
        <w:t>Liquidity and Capital Resources, Capital Program</w:t>
      </w:r>
      <w:r>
        <w:rPr>
          <w:color w:val="000000"/>
        </w:rPr>
        <w:t xml:space="preserve"> </w:t>
      </w:r>
      <w:r>
        <w:rPr>
          <w:rFonts w:ascii="Arial;sans-serif" w:hAnsi="Arial;sans-serif"/>
          <w:b w:val="false"/>
          <w:color w:val="000000"/>
          <w:sz w:val="20"/>
        </w:rPr>
        <w:t xml:space="preserve">for additional information on our 2026 capital program.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California Cap-and-Invest (AB 1207 and SB 840)</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May 2026, CARB adopted amendments updating the existing cap-and-invest program. The amendments include the inclusion of carbon capture and sequestration projects as activities that could qualify for reducing a reporting entity’s cap-and-invest reporting requirements. Before this credit mechanism can take effect, however, CARB must adopt additional rules under SB 905 defining a "quantification methodology" for how such reductions resulting from the projects will be measured and verified. The amendments also create a new “Manufacturing Decarbonization Incentive” under which an entity may be eligible for incentive allowances for carbon capture and sequestration projects. The amendments also revise the cap-and-invest program’s allowance budgets between 2027 and 2030. However, these changes to the allowance budgets are not expected to materially affect CRC’s compliance with the program or its operations thereunder. In July 2026, Communities for a Better Environment filed a lawsuit challenging the regulatory amendments alleging violations of the California Environmental Quality Act. We cannot predict whether or not this challenge will ultimately be successful or how CARB may revise the amendments if the challenge is successful.</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consolidated results of operations include the results of Berry beginning on December 18, 2025, the closing date of the Berry Merger. For more information on the Berry Merger, see </w:t>
      </w:r>
      <w:r>
        <w:rPr>
          <w:rFonts w:ascii="Arial;sans-serif" w:hAnsi="Arial;sans-serif"/>
          <w:b w:val="false"/>
          <w:i/>
          <w:color w:val="000000"/>
          <w:sz w:val="20"/>
        </w:rPr>
        <w:t>Part I, Item 1 – Financial Statements, Note 2 Business Combination</w:t>
      </w:r>
      <w:r>
        <w:rPr>
          <w:rFonts w:ascii="Arial;sans-serif" w:hAnsi="Arial;sans-serif"/>
          <w:b w:val="false"/>
          <w:color w:val="000000"/>
          <w:sz w:val="20"/>
        </w:rPr>
        <w:t xml:space="preserve">. The Berry Merger affected the comparability of our financial results for the three and six months ended June 30, 2026 as compared to the prior-year comparative periods.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June 30, 2026 compared to March 31, 2026</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372" w:type="dxa"/>
        <w:jc w:val="left"/>
        <w:tblInd w:w="0" w:type="dxa"/>
        <w:tblLayout w:type="fixed"/>
        <w:tblCellMar>
          <w:top w:w="28" w:type="dxa"/>
          <w:left w:w="28" w:type="dxa"/>
          <w:bottom w:w="28" w:type="dxa"/>
          <w:right w:w="28" w:type="dxa"/>
        </w:tblCellMar>
      </w:tblPr>
      <w:tblGrid>
        <w:gridCol w:w="1664"/>
        <w:gridCol w:w="1468"/>
        <w:gridCol w:w="1473"/>
        <w:gridCol w:w="298"/>
        <w:gridCol w:w="913"/>
        <w:gridCol w:w="154"/>
        <w:gridCol w:w="109"/>
        <w:gridCol w:w="109"/>
        <w:gridCol w:w="109"/>
        <w:gridCol w:w="391"/>
        <w:gridCol w:w="892"/>
        <w:gridCol w:w="202"/>
        <w:gridCol w:w="109"/>
        <w:gridCol w:w="109"/>
        <w:gridCol w:w="109"/>
        <w:gridCol w:w="109"/>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sales derivatives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 xml:space="preserve">Oil, natural gas and natural gas liquids sales, excluding the effects of cash settlements on our commodity derivative contracts, were $1,056 million for the three months ended June 30, 2026, which was an increase of $151 million compared to $905 million for the three months ended March 31,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shows changes in oil, natural gas and natural gas liquids sales for the three months ended June 30, 2026 compared to the three months ended March 31, 2026: </w:t>
      </w:r>
    </w:p>
    <w:p>
      <w:pPr>
        <w:pStyle w:val="TextBody"/>
        <w:bidi w:val="0"/>
        <w:spacing w:before="0" w:after="0"/>
        <w:ind w:left="0" w:right="0" w:firstLine="360"/>
        <w:jc w:val="left"/>
        <w:rPr/>
      </w:pPr>
      <w:r>
        <w:rPr/>
      </w:r>
    </w:p>
    <w:tbl>
      <w:tblPr>
        <w:tblW w:w="8673" w:type="dxa"/>
        <w:jc w:val="left"/>
        <w:tblInd w:w="0" w:type="dxa"/>
        <w:tblLayout w:type="fixed"/>
        <w:tblCellMar>
          <w:top w:w="28" w:type="dxa"/>
          <w:left w:w="28" w:type="dxa"/>
          <w:bottom w:w="28" w:type="dxa"/>
          <w:right w:w="28" w:type="dxa"/>
        </w:tblCellMar>
      </w:tblPr>
      <w:tblGrid>
        <w:gridCol w:w="1199"/>
        <w:gridCol w:w="1056"/>
        <w:gridCol w:w="1060"/>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353"/>
        <w:gridCol w:w="1083"/>
        <w:gridCol w:w="259"/>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production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(loss) from commodity sales derivatives</w:t>
      </w:r>
      <w:r>
        <w:rPr>
          <w:color w:val="000000"/>
        </w:rPr>
        <w:t xml:space="preserve"> — </w:t>
      </w:r>
      <w:r>
        <w:rPr>
          <w:rFonts w:ascii="Arial;sans-serif" w:hAnsi="Arial;sans-serif"/>
          <w:b w:val="false"/>
          <w:color w:val="000000"/>
          <w:sz w:val="20"/>
        </w:rPr>
        <w:t>We report gains and losses on our derivative contracts related to sales of our oil and marketing activities in operating revenues. Net gain from commodity sales derivatives was $205 million for the three months ended June 30, 2026 compared to a net loss of $848 million for the three months ended March 31, 2026. The change primarily resulted from the non-cash changes in the fair value of our outstanding commodity derivatives from the positions held at the end of each measurement period.</w:t>
      </w:r>
    </w:p>
    <w:p>
      <w:pPr>
        <w:pStyle w:val="TextBody"/>
        <w:bidi w:val="0"/>
        <w:spacing w:before="0" w:after="0"/>
        <w:ind w:left="0" w:right="0" w:firstLine="360"/>
        <w:jc w:val="left"/>
        <w:rPr/>
      </w:pPr>
      <w:r>
        <w:rPr/>
      </w:r>
    </w:p>
    <w:tbl>
      <w:tblPr>
        <w:tblW w:w="8129" w:type="dxa"/>
        <w:jc w:val="left"/>
        <w:tblInd w:w="0" w:type="dxa"/>
        <w:tblLayout w:type="fixed"/>
        <w:tblCellMar>
          <w:top w:w="28" w:type="dxa"/>
          <w:left w:w="28" w:type="dxa"/>
          <w:bottom w:w="28" w:type="dxa"/>
          <w:right w:w="28" w:type="dxa"/>
        </w:tblCellMar>
      </w:tblPr>
      <w:tblGrid>
        <w:gridCol w:w="1774"/>
        <w:gridCol w:w="1561"/>
        <w:gridCol w:w="1570"/>
        <w:gridCol w:w="359"/>
        <w:gridCol w:w="821"/>
        <w:gridCol w:w="184"/>
        <w:gridCol w:w="110"/>
        <w:gridCol w:w="110"/>
        <w:gridCol w:w="110"/>
        <w:gridCol w:w="356"/>
        <w:gridCol w:w="915"/>
        <w:gridCol w:w="259"/>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gain (loss) from commodity sales derivatives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sales derivatives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Revenue from marketing of purchased commodities </w:t>
      </w:r>
      <w:r>
        <w:rPr>
          <w:color w:val="000000"/>
        </w:rPr>
        <w:t xml:space="preserve">— </w:t>
      </w:r>
      <w:r>
        <w:rPr>
          <w:rFonts w:ascii="Arial;sans-serif" w:hAnsi="Arial;sans-serif"/>
          <w:b w:val="false"/>
          <w:color w:val="000000"/>
          <w:sz w:val="20"/>
        </w:rPr>
        <w:t>Revenue from marketing of purchased commodities was $26 million for the three months ended June 30, 2026 compared to $41 million for the three months ended March 31, 2026. The decrease was mainly related to lower crude oil volumes purchased and used in blending in the three months ended June 30, 2026 compared to the three months ended March 31,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June 30, 2026 and March 31, 2026. </w:t>
      </w:r>
    </w:p>
    <w:p>
      <w:pPr>
        <w:pStyle w:val="TextBody"/>
        <w:bidi w:val="0"/>
        <w:spacing w:before="0" w:after="0"/>
        <w:ind w:left="0" w:right="0" w:firstLine="360"/>
        <w:jc w:val="left"/>
        <w:rPr/>
      </w:pPr>
      <w:r>
        <w:rPr/>
      </w:r>
    </w:p>
    <w:tbl>
      <w:tblPr>
        <w:tblW w:w="8542" w:type="dxa"/>
        <w:jc w:val="left"/>
        <w:tblInd w:w="0" w:type="dxa"/>
        <w:tblLayout w:type="fixed"/>
        <w:tblCellMar>
          <w:top w:w="28" w:type="dxa"/>
          <w:left w:w="28" w:type="dxa"/>
          <w:bottom w:w="28" w:type="dxa"/>
          <w:right w:w="28" w:type="dxa"/>
        </w:tblCellMar>
      </w:tblPr>
      <w:tblGrid>
        <w:gridCol w:w="1725"/>
        <w:gridCol w:w="1519"/>
        <w:gridCol w:w="1525"/>
        <w:gridCol w:w="359"/>
        <w:gridCol w:w="820"/>
        <w:gridCol w:w="186"/>
        <w:gridCol w:w="111"/>
        <w:gridCol w:w="111"/>
        <w:gridCol w:w="111"/>
        <w:gridCol w:w="363"/>
        <w:gridCol w:w="934"/>
        <w:gridCol w:w="188"/>
        <w:gridCol w:w="109"/>
        <w:gridCol w:w="109"/>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from natural gas purchase derivatives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Non-operating income (expenses) </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loss from unconsolidated subsidiaries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Operating costs </w:t>
      </w:r>
      <w:r>
        <w:rPr>
          <w:color w:val="000000"/>
        </w:rPr>
        <w:t xml:space="preserve">— </w:t>
      </w:r>
      <w:r>
        <w:rPr>
          <w:rFonts w:ascii="Arial;sans-serif" w:hAnsi="Arial;sans-serif"/>
          <w:b w:val="false"/>
          <w:color w:val="000000"/>
          <w:sz w:val="20"/>
        </w:rPr>
        <w:t xml:space="preserve">The following table presents our operating costs for the three months ended June 30, 2026 and March 31, 2026: </w:t>
      </w:r>
    </w:p>
    <w:tbl>
      <w:tblPr>
        <w:tblW w:w="5739" w:type="dxa"/>
        <w:jc w:val="left"/>
        <w:tblInd w:w="0" w:type="dxa"/>
        <w:tblLayout w:type="fixed"/>
        <w:tblCellMar>
          <w:top w:w="28" w:type="dxa"/>
          <w:left w:w="28" w:type="dxa"/>
          <w:bottom w:w="28" w:type="dxa"/>
          <w:right w:w="28" w:type="dxa"/>
        </w:tblCellMar>
      </w:tblPr>
      <w:tblGrid>
        <w:gridCol w:w="908"/>
        <w:gridCol w:w="795"/>
        <w:gridCol w:w="801"/>
        <w:gridCol w:w="359"/>
        <w:gridCol w:w="820"/>
        <w:gridCol w:w="185"/>
        <w:gridCol w:w="114"/>
        <w:gridCol w:w="114"/>
        <w:gridCol w:w="114"/>
        <w:gridCol w:w="381"/>
        <w:gridCol w:w="870"/>
        <w:gridCol w:w="278"/>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Energy operating costs</w:t>
      </w:r>
      <w:r>
        <w:rPr>
          <w:color w:val="000000"/>
        </w:rPr>
        <w:t xml:space="preserve"> — </w:t>
      </w:r>
      <w:r>
        <w:rPr>
          <w:rFonts w:ascii="Arial;sans-serif" w:hAnsi="Arial;sans-serif"/>
          <w:b w:val="false"/>
          <w:color w:val="000000"/>
          <w:sz w:val="20"/>
        </w:rPr>
        <w:t>Energy operating costs for the three months ended June 30, 2026 were $87 million, which was a decrease of $23 million from $110 million for the three months ended March 31, 2026. This decrease was primarily due to</w:t>
      </w:r>
      <w:r>
        <w:rPr>
          <w:color w:val="000000"/>
          <w:shd w:fill="FFFFFF" w:val="clear"/>
        </w:rPr>
        <w:t xml:space="preserve"> </w:t>
      </w:r>
      <w:r>
        <w:rPr>
          <w:rFonts w:ascii="Arial;sans-serif" w:hAnsi="Arial;sans-serif"/>
          <w:b w:val="false"/>
          <w:color w:val="000000"/>
          <w:sz w:val="20"/>
          <w:shd w:fill="FFFFFF" w:val="clear"/>
        </w:rPr>
        <w:t>lower prices for natural gas purchased and used in our steamflood operations</w:t>
      </w:r>
      <w:r>
        <w:rPr>
          <w:rFonts w:ascii="Arial;sans-serif" w:hAnsi="Arial;sans-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Non-energy operating costs</w:t>
      </w:r>
      <w:r>
        <w:rPr>
          <w:color w:val="000000"/>
        </w:rPr>
        <w:t xml:space="preserve"> — </w:t>
      </w:r>
      <w:r>
        <w:rPr>
          <w:rFonts w:ascii="Arial;sans-serif" w:hAnsi="Arial;sans-serif"/>
          <w:b w:val="false"/>
          <w:color w:val="000000"/>
          <w:sz w:val="20"/>
        </w:rPr>
        <w:t xml:space="preserve">Non-energy operating costs for the three months ended June 30, 2026 were $254 million, which was an increase of $4 million from $250 million for the three months ended March 31, 2026 primarily due to additional downhole maintenance activity.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General and administrative (G&amp;A) expenses were $97 million for the three months ended June 30, 2026 compared to $106 million for the three months ended March 31, 2026. The decrease primarily resulted from lower compensation-related costs due to workforce reductions associated with the Berry Merger and lower cash-settled stock-based compensation expense resulting from a decline in the fair value of our incentive awards.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cash-settled incentive awards based on our stock price on the vesting date and accounting rules require that we adjust our obligation for unvested awards to the amount that would be paid using our stock price at the end of each reporting period. Consequently, any future increases in our stock price will result in additional cash-settled stock-based compensation expense. Similarly, any future decrease in our stock price will result in lower compensation expense. Equity-settled stock-based compensation awards are not similarly adjusted for changes in our stock price. General and administrative expenses for equity-settled stock-based compensation, were approximately $8 million for the three months ended June 30, 2026 and $7 million for the three months ended March 31, 2026.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on natural gas purchase derivatives</w:t>
      </w:r>
      <w:r>
        <w:rPr>
          <w:color w:val="000000"/>
        </w:rPr>
        <w:t xml:space="preserve"> — </w:t>
      </w:r>
      <w:r>
        <w:rPr>
          <w:rFonts w:ascii="Arial;sans-serif" w:hAnsi="Arial;sans-serif"/>
          <w:b w:val="false"/>
          <w:color w:val="000000"/>
          <w:sz w:val="20"/>
        </w:rPr>
        <w:t xml:space="preserve">Net loss from derivatives related to our purchase of natural gas was $5 million for the three months ended June 30, 2026 compared to a net loss of $24 million for the three months ended March 31, 2026. The change primarily resulted from changes in the fair value of our outstanding commodity derivatives from the positions held, as well as the relationship between contract prices and the associated forward curves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8317" w:type="dxa"/>
        <w:jc w:val="left"/>
        <w:tblInd w:w="0" w:type="dxa"/>
        <w:tblLayout w:type="fixed"/>
        <w:tblCellMar>
          <w:top w:w="28" w:type="dxa"/>
          <w:left w:w="28" w:type="dxa"/>
          <w:bottom w:w="28" w:type="dxa"/>
          <w:right w:w="28" w:type="dxa"/>
        </w:tblCellMar>
      </w:tblPr>
      <w:tblGrid>
        <w:gridCol w:w="1830"/>
        <w:gridCol w:w="1607"/>
        <w:gridCol w:w="1617"/>
        <w:gridCol w:w="380"/>
        <w:gridCol w:w="788"/>
        <w:gridCol w:w="196"/>
        <w:gridCol w:w="123"/>
        <w:gridCol w:w="123"/>
        <w:gridCol w:w="123"/>
        <w:gridCol w:w="436"/>
        <w:gridCol w:w="777"/>
        <w:gridCol w:w="317"/>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(gain) loss on natural gas purchase derivatives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Other operating expenses, net increased $6 million to</w:t>
      </w:r>
      <w:r>
        <w:rPr>
          <w:color w:val="000000"/>
          <w:shd w:fill="FFFFFF" w:val="clear"/>
        </w:rPr>
        <w:t xml:space="preserve"> </w:t>
      </w:r>
      <w:r>
        <w:rPr>
          <w:rFonts w:ascii="Arial;sans-serif" w:hAnsi="Arial;sans-serif"/>
          <w:b w:val="false"/>
          <w:color w:val="000000"/>
          <w:sz w:val="20"/>
          <w:shd w:fill="FFFFFF" w:val="clear"/>
        </w:rPr>
        <w:t xml:space="preserve">$60 million </w:t>
      </w:r>
      <w:r>
        <w:rPr>
          <w:rFonts w:ascii="Arial;sans-serif" w:hAnsi="Arial;sans-serif"/>
          <w:b w:val="false"/>
          <w:color w:val="000000"/>
          <w:sz w:val="20"/>
        </w:rPr>
        <w:t xml:space="preserve">for the three months ended June 30, 2026 compared to $54 million for the three months ended March 31, 2026. For the three months ended June 30, 2026 and March 31, 2026, other operating expenses, net includes the following: </w:t>
      </w:r>
    </w:p>
    <w:p>
      <w:pPr>
        <w:pStyle w:val="TextBody"/>
        <w:bidi w:val="0"/>
        <w:spacing w:before="0" w:after="0"/>
        <w:ind w:left="0" w:right="0" w:firstLine="360"/>
        <w:jc w:val="left"/>
        <w:rPr/>
      </w:pPr>
      <w:r>
        <w:rPr/>
      </w:r>
    </w:p>
    <w:tbl>
      <w:tblPr>
        <w:tblW w:w="8329" w:type="dxa"/>
        <w:jc w:val="left"/>
        <w:tblInd w:w="0" w:type="dxa"/>
        <w:tblLayout w:type="fixed"/>
        <w:tblCellMar>
          <w:top w:w="28" w:type="dxa"/>
          <w:left w:w="28" w:type="dxa"/>
          <w:bottom w:w="28" w:type="dxa"/>
          <w:right w:w="28" w:type="dxa"/>
        </w:tblCellMar>
      </w:tblPr>
      <w:tblGrid>
        <w:gridCol w:w="1830"/>
        <w:gridCol w:w="1610"/>
        <w:gridCol w:w="1615"/>
        <w:gridCol w:w="413"/>
        <w:gridCol w:w="739"/>
        <w:gridCol w:w="212"/>
        <w:gridCol w:w="127"/>
        <w:gridCol w:w="127"/>
        <w:gridCol w:w="127"/>
        <w:gridCol w:w="435"/>
        <w:gridCol w:w="777"/>
        <w:gridCol w:w="317"/>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operating expenses, net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We recorded an income tax benefit of $56 million on $458 million of income before taxes for the three months ended June 30, 2026, representing an effective tax rate of 12% for the period and an annual effective tax rate of 35% for the six months ended June 30, 2026. The tax rate for the three months ended June 30, 2026 reflects a true up to the annual effective tax rate of 6% from the prior quarter as a result of an increase in the full year projected pre-tax loss and the benefit of income tax credits such as the marginal well credit made available in June 2026. The projected full year pre-tax loss is largely due to the effect of the derivative losses. The effective tax rate for the three months ended March 31, 2026 reflects nondeductible compensation and tax credits. See </w:t>
      </w:r>
      <w:r>
        <w:rPr>
          <w:rFonts w:ascii="Arial;sans-serif" w:hAnsi="Arial;sans-serif"/>
          <w:b w:val="false"/>
          <w:i/>
          <w:color w:val="000000"/>
          <w:sz w:val="20"/>
        </w:rPr>
        <w:t>Part I, Item 1 – Financial Statements, Note 7 Income Taxes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2026 compared to June 30,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251" w:type="dxa"/>
        <w:jc w:val="left"/>
        <w:tblInd w:w="0" w:type="dxa"/>
        <w:tblLayout w:type="fixed"/>
        <w:tblCellMar>
          <w:top w:w="28" w:type="dxa"/>
          <w:left w:w="28" w:type="dxa"/>
          <w:bottom w:w="28" w:type="dxa"/>
          <w:right w:w="28" w:type="dxa"/>
        </w:tblCellMar>
      </w:tblPr>
      <w:tblGrid>
        <w:gridCol w:w="1663"/>
        <w:gridCol w:w="1468"/>
        <w:gridCol w:w="1473"/>
        <w:gridCol w:w="298"/>
        <w:gridCol w:w="913"/>
        <w:gridCol w:w="154"/>
        <w:gridCol w:w="109"/>
        <w:gridCol w:w="109"/>
        <w:gridCol w:w="109"/>
        <w:gridCol w:w="298"/>
        <w:gridCol w:w="913"/>
        <w:gridCol w:w="154"/>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Oil, natural gas and natural gas liquids sales, excluding the effects of cash settlements on our commodity derivative contracts, were $1,961 million for the six months ended June 30, 2026, which was an increase of $445 million compared to $1,516 million for the six months ended June 30,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changes in oil, natural gas and natural gas liquids sales for the six months ended June 30, 2026 compared to the six months ended June 30, 2025.</w:t>
      </w:r>
    </w:p>
    <w:tbl>
      <w:tblPr>
        <w:tblW w:w="8673" w:type="dxa"/>
        <w:jc w:val="left"/>
        <w:tblInd w:w="0" w:type="dxa"/>
        <w:tblLayout w:type="fixed"/>
        <w:tblCellMar>
          <w:top w:w="28" w:type="dxa"/>
          <w:left w:w="28" w:type="dxa"/>
          <w:bottom w:w="28" w:type="dxa"/>
          <w:right w:w="28" w:type="dxa"/>
        </w:tblCellMar>
      </w:tblPr>
      <w:tblGrid>
        <w:gridCol w:w="1139"/>
        <w:gridCol w:w="1003"/>
        <w:gridCol w:w="1008"/>
        <w:gridCol w:w="211"/>
        <w:gridCol w:w="646"/>
        <w:gridCol w:w="109"/>
        <w:gridCol w:w="109"/>
        <w:gridCol w:w="109"/>
        <w:gridCol w:w="109"/>
        <w:gridCol w:w="211"/>
        <w:gridCol w:w="376"/>
        <w:gridCol w:w="109"/>
        <w:gridCol w:w="109"/>
        <w:gridCol w:w="109"/>
        <w:gridCol w:w="109"/>
        <w:gridCol w:w="359"/>
        <w:gridCol w:w="639"/>
        <w:gridCol w:w="187"/>
        <w:gridCol w:w="109"/>
        <w:gridCol w:w="109"/>
        <w:gridCol w:w="109"/>
        <w:gridCol w:w="353"/>
        <w:gridCol w:w="1083"/>
        <w:gridCol w:w="259"/>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Changes in production and other </w:t>
            </w:r>
            <w:r>
              <w:rPr>
                <w:rFonts w:ascii="Arial;sans-serif" w:hAnsi="Arial;sans-serif"/>
                <w:b w:val="false"/>
                <w:color w:val="000000"/>
                <w:sz w:val="13"/>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rPr/>
      </w:pPr>
      <w:r>
        <w:rPr>
          <w:rFonts w:ascii="Arial;sans-serif" w:hAnsi="Arial;sans-serif"/>
          <w:b w:val="false"/>
          <w:color w:val="000000"/>
          <w:sz w:val="16"/>
        </w:rPr>
        <w:t xml:space="preserve">(a)The increase in production primarily relates to the addition of the Berry fields on December 18, 2025. See </w:t>
      </w:r>
      <w:r>
        <w:rPr>
          <w:rFonts w:ascii="Arial;sans-serif" w:hAnsi="Arial;sans-serif"/>
          <w:b w:val="false"/>
          <w:i/>
          <w:color w:val="000000"/>
          <w:sz w:val="16"/>
        </w:rPr>
        <w:t xml:space="preserve">Part I, Item 1 – Financial Statements, Note 2 Business Combination </w:t>
      </w:r>
      <w:r>
        <w:rPr>
          <w:rFonts w:ascii="Arial;sans-serif" w:hAnsi="Arial;sans-serif"/>
          <w:b w:val="false"/>
          <w:color w:val="000000"/>
          <w:sz w:val="16"/>
        </w:rPr>
        <w:t xml:space="preserve">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produced oil and marketing activities in operating revenue. Net loss from commodity derivatives was $643 million for the six months ended June 30, 2026 compared to a net gain of $163 million for the six months ended June 30, 2025.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8005" w:type="dxa"/>
        <w:jc w:val="left"/>
        <w:tblInd w:w="0" w:type="dxa"/>
        <w:tblLayout w:type="fixed"/>
        <w:tblCellMar>
          <w:top w:w="28" w:type="dxa"/>
          <w:left w:w="28" w:type="dxa"/>
          <w:bottom w:w="28" w:type="dxa"/>
          <w:right w:w="28" w:type="dxa"/>
        </w:tblCellMar>
      </w:tblPr>
      <w:tblGrid>
        <w:gridCol w:w="1774"/>
        <w:gridCol w:w="1561"/>
        <w:gridCol w:w="1570"/>
        <w:gridCol w:w="334"/>
        <w:gridCol w:w="858"/>
        <w:gridCol w:w="172"/>
        <w:gridCol w:w="109"/>
        <w:gridCol w:w="109"/>
        <w:gridCol w:w="109"/>
        <w:gridCol w:w="351"/>
        <w:gridCol w:w="802"/>
        <w:gridCol w:w="256"/>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(loss) gain from commodity sales derivatives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Revenue from marketing of purchased commodities</w:t>
      </w:r>
      <w:r>
        <w:rPr>
          <w:color w:val="000000"/>
        </w:rPr>
        <w:t xml:space="preserve"> — </w:t>
      </w:r>
      <w:r>
        <w:rPr>
          <w:rFonts w:ascii="Arial;sans-serif" w:hAnsi="Arial;sans-serif"/>
          <w:b w:val="false"/>
          <w:color w:val="000000"/>
          <w:sz w:val="20"/>
        </w:rPr>
        <w:t xml:space="preserve">Revenue from marketing of purchased commodities was $67 million for the six months ended June 30, 2026, which was a decrease of $53 million from $120 million during the six months ended June 30, 2025. The decrease was primarily the result of lower natural gas prices and volumes in 2026 compared to 2025. Additionally, we had lower crude oil volumes purchased and used for blending in the six months ended June 30, 2026 compared to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 xml:space="preserve">Electricity revenue decreased by $63 million to $17 million for the six months ended June 30, 2026 compared to $80 million for the six months ended June 30, 2025. This decrease was primarily a result of lower pricing from resource adequacy contracts in 2026 compared to the prior year period.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six months ended June 30, 2026 and June 30, 2025. </w:t>
      </w:r>
    </w:p>
    <w:p>
      <w:pPr>
        <w:pStyle w:val="TextBody"/>
        <w:bidi w:val="0"/>
        <w:spacing w:before="0" w:after="0"/>
        <w:ind w:left="0" w:right="0" w:firstLine="360"/>
        <w:jc w:val="left"/>
        <w:rPr/>
      </w:pPr>
      <w:r>
        <w:rPr/>
      </w:r>
    </w:p>
    <w:tbl>
      <w:tblPr>
        <w:tblW w:w="8414" w:type="dxa"/>
        <w:jc w:val="left"/>
        <w:tblInd w:w="0" w:type="dxa"/>
        <w:tblLayout w:type="fixed"/>
        <w:tblCellMar>
          <w:top w:w="28" w:type="dxa"/>
          <w:left w:w="28" w:type="dxa"/>
          <w:bottom w:w="28" w:type="dxa"/>
          <w:right w:w="28" w:type="dxa"/>
        </w:tblCellMar>
      </w:tblPr>
      <w:tblGrid>
        <w:gridCol w:w="1725"/>
        <w:gridCol w:w="1519"/>
        <w:gridCol w:w="1525"/>
        <w:gridCol w:w="334"/>
        <w:gridCol w:w="858"/>
        <w:gridCol w:w="172"/>
        <w:gridCol w:w="109"/>
        <w:gridCol w:w="109"/>
        <w:gridCol w:w="109"/>
        <w:gridCol w:w="359"/>
        <w:gridCol w:w="820"/>
        <w:gridCol w:w="185"/>
        <w:gridCol w:w="109"/>
        <w:gridCol w:w="109"/>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on natural gas purchase derivatives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(expenses), net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Operating costs</w:t>
      </w:r>
      <w:r>
        <w:rPr>
          <w:color w:val="000000"/>
        </w:rPr>
        <w:t xml:space="preserve"> </w:t>
      </w:r>
      <w:r>
        <w:rPr>
          <w:color w:val="000000"/>
          <w:shd w:fill="FFFFFF" w:val="clear"/>
        </w:rPr>
        <w:t xml:space="preserve">— </w:t>
      </w:r>
      <w:r>
        <w:rPr>
          <w:rFonts w:ascii="Arial;sans-serif" w:hAnsi="Arial;sans-serif"/>
          <w:b w:val="false"/>
          <w:color w:val="000000"/>
          <w:sz w:val="20"/>
        </w:rPr>
        <w:t xml:space="preserve">The following table presents our operating costs for the six months ended June 30, 2026 and June 30, 2025. </w:t>
      </w:r>
    </w:p>
    <w:tbl>
      <w:tblPr>
        <w:tblW w:w="5604" w:type="dxa"/>
        <w:jc w:val="left"/>
        <w:tblInd w:w="0" w:type="dxa"/>
        <w:tblLayout w:type="fixed"/>
        <w:tblCellMar>
          <w:top w:w="28" w:type="dxa"/>
          <w:left w:w="28" w:type="dxa"/>
          <w:bottom w:w="28" w:type="dxa"/>
          <w:right w:w="28" w:type="dxa"/>
        </w:tblCellMar>
      </w:tblPr>
      <w:tblGrid>
        <w:gridCol w:w="908"/>
        <w:gridCol w:w="795"/>
        <w:gridCol w:w="801"/>
        <w:gridCol w:w="359"/>
        <w:gridCol w:w="820"/>
        <w:gridCol w:w="185"/>
        <w:gridCol w:w="109"/>
        <w:gridCol w:w="109"/>
        <w:gridCol w:w="109"/>
        <w:gridCol w:w="351"/>
        <w:gridCol w:w="802"/>
        <w:gridCol w:w="256"/>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Energy operating costs</w:t>
      </w:r>
      <w:r>
        <w:rPr>
          <w:color w:val="000000"/>
          <w:shd w:fill="FFFFFF" w:val="clear"/>
        </w:rPr>
        <w:t xml:space="preserve"> — </w:t>
      </w:r>
      <w:r>
        <w:rPr>
          <w:rFonts w:ascii="Arial;sans-serif" w:hAnsi="Arial;sans-serif"/>
          <w:b w:val="false"/>
          <w:color w:val="000000"/>
          <w:sz w:val="20"/>
          <w:shd w:fill="FFFFFF" w:val="clear"/>
        </w:rPr>
        <w:t xml:space="preserve">Energy operating costs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were </w:t>
      </w:r>
      <w:r>
        <w:rPr>
          <w:rFonts w:ascii="Arial;sans-serif" w:hAnsi="Arial;sans-serif"/>
          <w:b w:val="false"/>
          <w:color w:val="000000"/>
          <w:sz w:val="20"/>
        </w:rPr>
        <w:t>$197 million</w:t>
      </w:r>
      <w:r>
        <w:rPr>
          <w:rFonts w:ascii="Arial;sans-serif" w:hAnsi="Arial;sans-serif"/>
          <w:b w:val="false"/>
          <w:color w:val="000000"/>
          <w:sz w:val="20"/>
          <w:shd w:fill="FFFFFF" w:val="clear"/>
        </w:rPr>
        <w:t xml:space="preserve">, which was an increase of $16 million from </w:t>
      </w:r>
      <w:r>
        <w:rPr>
          <w:rFonts w:ascii="Arial;sans-serif" w:hAnsi="Arial;sans-serif"/>
          <w:b w:val="false"/>
          <w:color w:val="000000"/>
          <w:sz w:val="20"/>
        </w:rPr>
        <w:t>$181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2025. The increase is primarily related to the addition of the Berry fields for the full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2026 compared to the same prior year period. Excluding Berry, energy operating costs decreased due to lower prices and volumes of natural gas purchased and used in our steamflood operations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months ended June 30, 2026.</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 xml:space="preserve">Non-energy operating costs </w:t>
      </w:r>
      <w:r>
        <w:rPr>
          <w:color w:val="000000"/>
          <w:shd w:fill="FFFFFF" w:val="clear"/>
        </w:rPr>
        <w:t xml:space="preserve">— </w:t>
      </w:r>
      <w:r>
        <w:rPr>
          <w:rFonts w:ascii="Arial;sans-serif" w:hAnsi="Arial;sans-serif"/>
          <w:b w:val="false"/>
          <w:color w:val="000000"/>
          <w:sz w:val="20"/>
          <w:shd w:fill="FFFFFF" w:val="clear"/>
        </w:rPr>
        <w:t xml:space="preserve">Non-energy operating costs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were </w:t>
      </w:r>
      <w:r>
        <w:rPr>
          <w:rFonts w:ascii="Arial;sans-serif" w:hAnsi="Arial;sans-serif"/>
          <w:b w:val="false"/>
          <w:color w:val="000000"/>
          <w:sz w:val="20"/>
        </w:rPr>
        <w:t>$504 million</w:t>
      </w:r>
      <w:r>
        <w:rPr>
          <w:rFonts w:ascii="Arial;sans-serif" w:hAnsi="Arial;sans-serif"/>
          <w:b w:val="false"/>
          <w:color w:val="000000"/>
          <w:sz w:val="20"/>
          <w:shd w:fill="FFFFFF" w:val="clear"/>
        </w:rPr>
        <w:t xml:space="preserve">, which was an increase of </w:t>
      </w:r>
      <w:r>
        <w:rPr>
          <w:rFonts w:ascii="Arial;sans-serif" w:hAnsi="Arial;sans-serif"/>
          <w:b w:val="false"/>
          <w:color w:val="000000"/>
          <w:sz w:val="20"/>
        </w:rPr>
        <w:t>$83 million</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$421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2025. The increase is primarily related to the operation of the Berry fields for the full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2026 compared to a six-month period in the same prior year period. Excluding Berry, we had higher downhole maintenance activity and compensation-related expenses 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compared to the same prior year period. These increases were partially offset by a decrease in workover activity and lower surface operations maintenance activity.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$203 million for the six months ended June 30, 2026 compared to $151 million for the six months ended June 30, 2025, which was an increas</w:t>
      </w:r>
      <w:r>
        <w:rPr>
          <w:rFonts w:ascii="Arial;sans-serif" w:hAnsi="Arial;sans-serif"/>
          <w:b w:val="false"/>
          <w:color w:val="000000"/>
          <w:sz w:val="20"/>
          <w:shd w:fill="FFFFFF" w:val="clear"/>
        </w:rPr>
        <w:t>e of $52 million</w:t>
      </w:r>
      <w:r>
        <w:rPr>
          <w:rFonts w:ascii="Arial;sans-serif" w:hAnsi="Arial;sans-serif"/>
          <w:b w:val="false"/>
          <w:color w:val="000000"/>
          <w:sz w:val="20"/>
        </w:rPr>
        <w:t xml:space="preserve">. The increase was primarily due to additional compensation-related expense and other corporate expenses resulting from the Berry Merger. We also had higher legal costs in the six months ended June 30, 2026 compared to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for the six months ended June 30, 2026 were $133 million, which is an increase of $16 million from $117 million for the six months ended June 30, 2025. This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was a result of higher greenhouse gas expense, production taxes and ad valorem taxes related to the Berry assets following the completion of the Berry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 xml:space="preserve">Costs related to marketing of purchased commodities were $38 million for the six months ended June 30, 2026, which was a decrease of $53 million from $91 million for the six months ended June 30, 2025. The decrease primarily related to lower natural gas prices and lower crude oil volumes purchased for blending in the six months ended June 30, 2026 compared to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Transportation costs</w:t>
      </w:r>
      <w:r>
        <w:rPr>
          <w:color w:val="000000"/>
        </w:rPr>
        <w:t xml:space="preserve"> — </w:t>
      </w:r>
      <w:r>
        <w:rPr>
          <w:rFonts w:ascii="Arial;sans-serif" w:hAnsi="Arial;sans-serif"/>
          <w:b w:val="false"/>
          <w:color w:val="000000"/>
          <w:sz w:val="20"/>
        </w:rPr>
        <w:t xml:space="preserve">Transportation costs for the six months ended June 30, 2026 were $56 million which is an increase of $16 million from $40 million for the six months ended June 30, 2025. The increase in transportation costs was primarily a result of additional transportation contracts assumed in the Berry Merger.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natural gas purchase derivatives</w:t>
      </w:r>
      <w:r>
        <w:rPr>
          <w:color w:val="000000"/>
        </w:rPr>
        <w:t xml:space="preserve"> — </w:t>
      </w:r>
      <w:r>
        <w:rPr>
          <w:rFonts w:ascii="Arial;sans-serif" w:hAnsi="Arial;sans-serif"/>
          <w:b w:val="false"/>
          <w:color w:val="000000"/>
          <w:sz w:val="20"/>
        </w:rPr>
        <w:t xml:space="preserve">Net loss from derivatives related to our purchase of natural gas was $29 million for the six months ended June 30, 2026 compared to a net gain of $3 million for the six months ended June 30, 2025. The change primarily resulted from changes in the fair value of our outstanding commodity derivatives from the positions held, as well as the relationship between contract prices and the associated forward curves at the end of each measurement period. Gains and losses from our natural gas purchase derivative contracts are shown in the table below: </w:t>
      </w:r>
    </w:p>
    <w:p>
      <w:pPr>
        <w:pStyle w:val="TextBody"/>
        <w:bidi w:val="0"/>
        <w:spacing w:before="0" w:after="0"/>
        <w:ind w:left="0" w:right="0" w:firstLine="360"/>
        <w:jc w:val="left"/>
        <w:rPr/>
      </w:pPr>
      <w:r>
        <w:rPr/>
      </w:r>
    </w:p>
    <w:tbl>
      <w:tblPr>
        <w:tblW w:w="7814" w:type="dxa"/>
        <w:jc w:val="left"/>
        <w:tblInd w:w="0" w:type="dxa"/>
        <w:tblLayout w:type="fixed"/>
        <w:tblCellMar>
          <w:top w:w="28" w:type="dxa"/>
          <w:left w:w="28" w:type="dxa"/>
          <w:bottom w:w="28" w:type="dxa"/>
          <w:right w:w="28" w:type="dxa"/>
        </w:tblCellMar>
      </w:tblPr>
      <w:tblGrid>
        <w:gridCol w:w="1705"/>
        <w:gridCol w:w="1498"/>
        <w:gridCol w:w="1507"/>
        <w:gridCol w:w="413"/>
        <w:gridCol w:w="738"/>
        <w:gridCol w:w="213"/>
        <w:gridCol w:w="110"/>
        <w:gridCol w:w="110"/>
        <w:gridCol w:w="110"/>
        <w:gridCol w:w="371"/>
        <w:gridCol w:w="769"/>
        <w:gridCol w:w="270"/>
      </w:tblGrid>
      <w:tr>
        <w:trPr/>
        <w:tc>
          <w:tcPr>
            <w:tcW w:w="170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gain from natural gas purchase derivatives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natural gas purchase derivatives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increased $16 million to $114 million for the six months ended June 30, 2026 compared to $98 million for the six months ended June 30, 2025.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and June 30, 2025, other operating expenses, net includes the following: </w:t>
      </w:r>
    </w:p>
    <w:p>
      <w:pPr>
        <w:pStyle w:val="TextBody"/>
        <w:bidi w:val="0"/>
        <w:spacing w:before="0" w:after="0"/>
        <w:ind w:left="0" w:right="0" w:firstLine="360"/>
        <w:jc w:val="left"/>
        <w:rPr/>
      </w:pPr>
      <w:r>
        <w:rPr/>
      </w:r>
    </w:p>
    <w:tbl>
      <w:tblPr>
        <w:tblW w:w="8155" w:type="dxa"/>
        <w:jc w:val="left"/>
        <w:tblInd w:w="0" w:type="dxa"/>
        <w:tblLayout w:type="fixed"/>
        <w:tblCellMar>
          <w:top w:w="28" w:type="dxa"/>
          <w:left w:w="28" w:type="dxa"/>
          <w:bottom w:w="28" w:type="dxa"/>
          <w:right w:w="28" w:type="dxa"/>
        </w:tblCellMar>
      </w:tblPr>
      <w:tblGrid>
        <w:gridCol w:w="1830"/>
        <w:gridCol w:w="1610"/>
        <w:gridCol w:w="1615"/>
        <w:gridCol w:w="359"/>
        <w:gridCol w:w="820"/>
        <w:gridCol w:w="185"/>
        <w:gridCol w:w="109"/>
        <w:gridCol w:w="109"/>
        <w:gridCol w:w="109"/>
        <w:gridCol w:w="401"/>
        <w:gridCol w:w="715"/>
        <w:gridCol w:w="293"/>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Loss on early extinguishment of debt </w:t>
      </w:r>
      <w:r>
        <w:rPr>
          <w:color w:val="000000"/>
        </w:rPr>
        <w:t xml:space="preserve">– </w:t>
      </w:r>
      <w:r>
        <w:rPr>
          <w:rFonts w:ascii="Arial;sans-serif" w:hAnsi="Arial;sans-serif"/>
          <w:b w:val="false"/>
          <w:color w:val="000000"/>
          <w:sz w:val="20"/>
        </w:rPr>
        <w:t xml:space="preserve">Loss on early extinguishment of debt was $49 million for the six months ended June 30, 2026, which included $40 million of premiums paid and $9 million of write-offs of unamortized debt issuance costs net of unamortized premium. Loss on early extinguishment of debt was $1 million for the six months ended June 30, 2025 for the write-off of unamortized debt issuance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benefit for the six months ended June 30, 2026 was $105 million (representing an effective tax rate of 35%), compared to a provision of $117 million (representing an effective tax rate of 29%) for the six months ended June 30, 2025. See </w:t>
      </w:r>
      <w:r>
        <w:rPr>
          <w:rFonts w:ascii="Arial;sans-serif" w:hAnsi="Arial;sans-serif"/>
          <w:b w:val="false"/>
          <w:i/>
          <w:color w:val="000000"/>
          <w:sz w:val="20"/>
        </w:rPr>
        <w:t>Part I, Item 1 – Financial Statements, Note 7 Income Taxes</w:t>
      </w:r>
      <w:r>
        <w:rPr>
          <w:color w:val="000000"/>
        </w:rPr>
        <w:t xml:space="preserve"> </w:t>
      </w:r>
      <w:r>
        <w:rPr>
          <w:rFonts w:ascii="Arial;sans-serif" w:hAnsi="Arial;sans-serif"/>
          <w:b w:val="false"/>
          <w:color w:val="000000"/>
          <w:sz w:val="20"/>
        </w:rPr>
        <w:t>for additional information on our income taxes.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2034 Senior Notes Indenture and 2035 Senior Notes Indenture, see </w:t>
      </w:r>
      <w:r>
        <w:rPr>
          <w:rFonts w:ascii="Arial;sans-serif" w:hAnsi="Arial;sans-serif"/>
          <w:b w:val="false"/>
          <w:i/>
          <w:color w:val="000000"/>
          <w:sz w:val="20"/>
        </w:rPr>
        <w:t xml:space="preserve">Part I, Item 1 – Financial Statements, Note 14 Condensed Consolidating Financial Information.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Our Oil and Natural Gas Operations</w:t>
      </w:r>
    </w:p>
    <w:p>
      <w:pPr>
        <w:pStyle w:val="TextBody"/>
        <w:bidi w:val="0"/>
        <w:spacing w:before="0" w:after="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includes financial results and key operating data for our oil and natural gas segment for the periods presented.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920"/>
        <w:gridCol w:w="1677"/>
        <w:gridCol w:w="1681"/>
        <w:gridCol w:w="211"/>
        <w:gridCol w:w="646"/>
        <w:gridCol w:w="109"/>
        <w:gridCol w:w="109"/>
        <w:gridCol w:w="109"/>
        <w:gridCol w:w="109"/>
        <w:gridCol w:w="218"/>
        <w:gridCol w:w="670"/>
        <w:gridCol w:w="112"/>
        <w:gridCol w:w="109"/>
        <w:gridCol w:w="109"/>
        <w:gridCol w:w="109"/>
        <w:gridCol w:w="211"/>
        <w:gridCol w:w="646"/>
        <w:gridCol w:w="109"/>
        <w:gridCol w:w="109"/>
        <w:gridCol w:w="109"/>
        <w:gridCol w:w="109"/>
        <w:gridCol w:w="211"/>
        <w:gridCol w:w="646"/>
        <w:gridCol w:w="157"/>
      </w:tblGrid>
      <w:tr>
        <w:trPr/>
        <w:tc>
          <w:tcPr>
            <w:tcW w:w="192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(in millions, except as otherwise stated) </w:t>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2634" w:type="dxa"/>
            <w:gridSpan w:val="12"/>
            <w:tcBorders/>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Production and oil and natural gas segment financial data</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production sold (MBoe/d)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Key operating expenses per Boe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after hedges on purchased natural gas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 xml:space="preserve">(a)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depletion and amortization</w:t>
            </w:r>
            <w:r>
              <w:rPr>
                <w:rFonts w:ascii="Arial;sans-serif" w:hAnsi="Arial;sans-serif"/>
                <w:b w:val="false"/>
                <w:color w:val="000000"/>
                <w:sz w:val="13"/>
              </w:rPr>
              <w:t xml:space="preserve">(b)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(a)Includes general and administrative expenses allocated to our oil and natural gas segment.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(b)Excludes depreciation, depletion and amortization related to our corporate assets and our Elk Hills power plant.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 Prices, and Realizations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Net Production Sold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net production sold per day in each of the basins in which we operate for the periods presented. The amounts in the production table below include volumes produced from operated and non-operated fields for each of the periods presented. </w:t>
      </w:r>
    </w:p>
    <w:tbl>
      <w:tblPr>
        <w:tblW w:w="9162" w:type="dxa"/>
        <w:jc w:val="left"/>
        <w:tblInd w:w="0" w:type="dxa"/>
        <w:tblLayout w:type="fixed"/>
        <w:tblCellMar>
          <w:top w:w="28" w:type="dxa"/>
          <w:left w:w="28" w:type="dxa"/>
          <w:bottom w:w="28" w:type="dxa"/>
          <w:right w:w="28" w:type="dxa"/>
        </w:tblCellMar>
      </w:tblPr>
      <w:tblGrid>
        <w:gridCol w:w="1239"/>
        <w:gridCol w:w="1085"/>
        <w:gridCol w:w="1096"/>
        <w:gridCol w:w="295"/>
        <w:gridCol w:w="295"/>
        <w:gridCol w:w="295"/>
        <w:gridCol w:w="225"/>
        <w:gridCol w:w="225"/>
        <w:gridCol w:w="225"/>
        <w:gridCol w:w="334"/>
        <w:gridCol w:w="334"/>
        <w:gridCol w:w="336"/>
        <w:gridCol w:w="109"/>
        <w:gridCol w:w="109"/>
        <w:gridCol w:w="109"/>
        <w:gridCol w:w="295"/>
        <w:gridCol w:w="295"/>
        <w:gridCol w:w="295"/>
        <w:gridCol w:w="200"/>
        <w:gridCol w:w="200"/>
        <w:gridCol w:w="200"/>
        <w:gridCol w:w="295"/>
        <w:gridCol w:w="295"/>
        <w:gridCol w:w="295"/>
        <w:gridCol w:w="109"/>
        <w:gridCol w:w="109"/>
        <w:gridCol w:w="109"/>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Uinta Basin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Sacramento Basin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Uinta Basin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Net Production Sold (MBoe/d)</w:t>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Total average net production sold decreased by </w:t>
      </w:r>
      <w:r>
        <w:rPr>
          <w:rFonts w:ascii="Arial;sans-serif" w:hAnsi="Arial;sans-serif"/>
          <w:b w:val="false"/>
          <w:color w:val="000000"/>
          <w:sz w:val="20"/>
        </w:rPr>
        <w:t>5 MBoe/d to</w:t>
      </w:r>
      <w:r>
        <w:rPr>
          <w:color w:val="000000"/>
          <w:shd w:fill="FFFFFF" w:val="clear"/>
        </w:rPr>
        <w:t xml:space="preserve"> </w:t>
      </w:r>
      <w:r>
        <w:rPr>
          <w:rFonts w:ascii="Arial;sans-serif" w:hAnsi="Arial;sans-serif"/>
          <w:b w:val="false"/>
          <w:color w:val="000000"/>
          <w:sz w:val="20"/>
        </w:rPr>
        <w:t>149</w:t>
      </w:r>
      <w:r>
        <w:rPr>
          <w:color w:val="000000"/>
          <w:shd w:fill="FFFFFF" w:val="clear"/>
        </w:rPr>
        <w:t xml:space="preserve"> </w:t>
      </w:r>
      <w:r>
        <w:rPr>
          <w:rFonts w:ascii="Arial;sans-serif" w:hAnsi="Arial;sans-serif"/>
          <w:b w:val="false"/>
          <w:color w:val="000000"/>
          <w:sz w:val="20"/>
          <w:shd w:fill="FFFFFF" w:val="clear"/>
        </w:rPr>
        <w:t xml:space="preserve">MBoe/d for the three months ended June 30, 2026 compared to </w:t>
      </w:r>
      <w:r>
        <w:rPr>
          <w:rFonts w:ascii="Arial;sans-serif" w:hAnsi="Arial;sans-serif"/>
          <w:b w:val="false"/>
          <w:color w:val="000000"/>
          <w:sz w:val="20"/>
        </w:rPr>
        <w:t xml:space="preserve">154 MBoe/d for </w:t>
      </w:r>
      <w:r>
        <w:rPr>
          <w:rFonts w:ascii="Arial;sans-serif" w:hAnsi="Arial;sans-serif"/>
          <w:b w:val="false"/>
          <w:color w:val="000000"/>
          <w:sz w:val="20"/>
          <w:shd w:fill="FFFFFF" w:val="clear"/>
        </w:rPr>
        <w:t xml:space="preserve">the three months ended March 31, 2026. The decrease was primarily a result of an increase in our crude oil inventory and natural production decline, partially offset by increased production from drilling and workover activity. Additionally our production-sharing contracts (PSCs), which are described below, negatively impacted our net oil production by 2 MBoe/d in the three months ended June 30, 2026 compared to the three months ended March 31,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Total average net production sold increased to </w:t>
      </w:r>
      <w:r>
        <w:rPr>
          <w:rFonts w:ascii="Arial;sans-serif" w:hAnsi="Arial;sans-serif"/>
          <w:b w:val="false"/>
          <w:color w:val="000000"/>
          <w:sz w:val="20"/>
        </w:rPr>
        <w:t>152</w:t>
      </w:r>
      <w:r>
        <w:rPr>
          <w:color w:val="000000"/>
          <w:shd w:fill="FFFFFF" w:val="clear"/>
        </w:rPr>
        <w:t xml:space="preserve"> </w:t>
      </w:r>
      <w:r>
        <w:rPr>
          <w:rFonts w:ascii="Arial;sans-serif" w:hAnsi="Arial;sans-serif"/>
          <w:b w:val="false"/>
          <w:color w:val="000000"/>
          <w:sz w:val="20"/>
          <w:shd w:fill="FFFFFF" w:val="clear"/>
        </w:rPr>
        <w:t xml:space="preserve">MBoe/d for the six months ended June 30, 2026 compared to </w:t>
      </w:r>
      <w:r>
        <w:rPr>
          <w:rFonts w:ascii="Arial;sans-serif" w:hAnsi="Arial;sans-serif"/>
          <w:b w:val="false"/>
          <w:color w:val="000000"/>
          <w:sz w:val="20"/>
        </w:rPr>
        <w:t>139</w:t>
      </w:r>
      <w:r>
        <w:rPr>
          <w:color w:val="000000"/>
          <w:shd w:fill="FFFFFF" w:val="clear"/>
        </w:rPr>
        <w:t xml:space="preserve"> </w:t>
      </w:r>
      <w:r>
        <w:rPr>
          <w:rFonts w:ascii="Arial;sans-serif" w:hAnsi="Arial;sans-serif"/>
          <w:b w:val="false"/>
          <w:color w:val="000000"/>
          <w:sz w:val="20"/>
          <w:shd w:fill="FFFFFF" w:val="clear"/>
        </w:rPr>
        <w:t xml:space="preserve">MBoe/d for the six months ended June 30, 2025. The increase included 22 MBoe/d related to the addition of the Berry properties. Excluding the impact of Berry production, our production decreased as a result of an increase in our crude oil inventory and natural production decline, partially offset by increased production from drilling and workover activity. Our PSCs, which are described below, negatively impacted our net oil production by 1 MBoe/d in the six months ended June 30, 2026 compared to the six months ended June 30, 2025. For more information on the increase in our crude oil inventory, see </w:t>
      </w:r>
      <w:r>
        <w:rPr>
          <w:rFonts w:ascii="Arial;sans-serif" w:hAnsi="Arial;sans-serif"/>
          <w:b w:val="false"/>
          <w:i/>
          <w:color w:val="000000"/>
          <w:sz w:val="20"/>
          <w:shd w:fill="FFFFFF" w:val="clear"/>
        </w:rPr>
        <w:t>Marketing Arrangements</w:t>
      </w:r>
      <w:r>
        <w:rPr>
          <w:color w:val="000000"/>
          <w:shd w:fill="FFFFFF" w:val="clear"/>
        </w:rPr>
        <w:t xml:space="preserve"> </w:t>
      </w:r>
      <w:r>
        <w:rPr>
          <w:rFonts w:ascii="Arial;sans-serif" w:hAnsi="Arial;sans-serif"/>
          <w:b w:val="false"/>
          <w:color w:val="000000"/>
          <w:sz w:val="20"/>
          <w:shd w:fill="FFFFFF" w:val="clear"/>
        </w:rPr>
        <w:t>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Production-Sharing Contracts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of production and reserves from operations in the Wilmington field in the Los Angeles basin is subject to contractual arrangements similar to production-sharing contracts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reporting of our PSCs creates a difference between reported operating costs, which are for the full field, and reported volumes, which are only our net share, inflating the per barrel operating costs. For further information on our production-sharing contracts, see </w:t>
      </w:r>
      <w:r>
        <w:rPr>
          <w:rFonts w:ascii="Arial;sans-serif" w:hAnsi="Arial;sans-serif"/>
          <w:b w:val="false"/>
          <w:i/>
          <w:color w:val="000000"/>
          <w:sz w:val="20"/>
        </w:rPr>
        <w:t>Part I, Item 1 &amp; 2 Business and Properties, Oil and Natural Gas Segment, Production, Price and Cost History</w:t>
      </w:r>
      <w:r>
        <w:rPr>
          <w:color w:val="000000"/>
        </w:rPr>
        <w:t xml:space="preserve"> </w:t>
      </w:r>
      <w:r>
        <w:rPr>
          <w:rFonts w:ascii="Arial;sans-serif" w:hAnsi="Arial;sans-serif"/>
          <w:b w:val="false"/>
          <w:color w:val="000000"/>
          <w:sz w:val="20"/>
        </w:rPr>
        <w:t xml:space="preserve">in our 2025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Prices and Realizations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average realized prices and price realizations (as a percentage of average Brent, WTI and NYMEX Henry Hub, as applicable) for the commodities we sell in the periods presented:</w:t>
      </w:r>
    </w:p>
    <w:tbl>
      <w:tblPr>
        <w:tblW w:w="9680" w:type="dxa"/>
        <w:jc w:val="center"/>
        <w:tblInd w:w="0" w:type="dxa"/>
        <w:tblLayout w:type="fixed"/>
        <w:tblCellMar>
          <w:top w:w="28" w:type="dxa"/>
          <w:left w:w="28" w:type="dxa"/>
          <w:bottom w:w="28" w:type="dxa"/>
          <w:right w:w="28" w:type="dxa"/>
        </w:tblCellMar>
      </w:tblPr>
      <w:tblGrid>
        <w:gridCol w:w="1451"/>
        <w:gridCol w:w="1269"/>
        <w:gridCol w:w="1284"/>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9244" w:type="dxa"/>
        <w:jc w:val="left"/>
        <w:tblInd w:w="0" w:type="dxa"/>
        <w:tblLayout w:type="fixed"/>
        <w:tblCellMar>
          <w:top w:w="28" w:type="dxa"/>
          <w:left w:w="28" w:type="dxa"/>
          <w:bottom w:w="28" w:type="dxa"/>
          <w:right w:w="28" w:type="dxa"/>
        </w:tblCellMar>
      </w:tblPr>
      <w:tblGrid>
        <w:gridCol w:w="1451"/>
        <w:gridCol w:w="1269"/>
        <w:gridCol w:w="1284"/>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47"/>
        <w:gridCol w:w="347"/>
        <w:gridCol w:w="492"/>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crude oil prices for the three and six months ended June 30, 2026 were volatile as a result of the conflict in the Middle East, as well as various market responses to cessations in hostilities.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Realizations on natural gas liquids during the three months ended June 30, 2026 decreased compared to the three months ended March 31, 2026 as liquids attempted to keep pace with crude oil prices. Prices for natural gas liquids during the six months ended June 30, 2026 were slightly lower than the prior year due to year-over-year increases in U.S. natural gas production and ample product inventories. California NGLs maintained a premium to the broader North American NGL market.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North American natural gas prices for the three months ended June 30, 2026 were generally lower compared to the three months ended March 31, 2026 due to reduced seasonal demand. Natural gas prices increased for the six months ended June 30, 2026 compared to the six months ended June 30, 2025 driven by stronger winter demand. California natural gas prices for the three months ended June 30, 2026 were lower than the three months ended March 31, 2026 as storage inventories remained elevated and production from outside the state made its way to California. California natural gas prices for the six months ended June 30, 2026 were lower compared to the prior year as warmer-than-normal winter temperatures, out-of-state imports and elevated storage inventory levels impacted prices.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Our Carbon Management Segment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carbon management segment, which we refer to as Carbon TerraVault, is engaged in the operation and development of CCS projects. We recently completed construction of our first carbon capture project at our cryogenic gas processing facility and achieved our first injection during the second quarter of 2026. We expect that our Carbon TerraVault business will develop other CCS projects using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captured from industrial, power, agriculture and other emissions sources into subsurface reservoirs and permanently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deep underground. We may also participate in the ownership and development of projects that are the source of these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We define carbon management expenses to be our direct operating costs to run our carbon management segment.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includes results for our carbon management segment for the periods presented.</w:t>
      </w:r>
    </w:p>
    <w:p>
      <w:pPr>
        <w:pStyle w:val="TextBody"/>
        <w:bidi w:val="0"/>
        <w:spacing w:before="0" w:after="0"/>
        <w:ind w:left="0" w:right="0" w:firstLine="360"/>
        <w:jc w:val="left"/>
        <w:rPr/>
      </w:pPr>
      <w:r>
        <w:rPr/>
      </w:r>
    </w:p>
    <w:tbl>
      <w:tblPr>
        <w:tblW w:w="9419" w:type="dxa"/>
        <w:jc w:val="left"/>
        <w:tblInd w:w="0" w:type="dxa"/>
        <w:tblLayout w:type="fixed"/>
        <w:tblCellMar>
          <w:top w:w="28" w:type="dxa"/>
          <w:left w:w="28" w:type="dxa"/>
          <w:bottom w:w="28" w:type="dxa"/>
          <w:right w:w="28" w:type="dxa"/>
        </w:tblCellMar>
      </w:tblPr>
      <w:tblGrid>
        <w:gridCol w:w="1625"/>
        <w:gridCol w:w="1425"/>
        <w:gridCol w:w="1434"/>
        <w:gridCol w:w="247"/>
        <w:gridCol w:w="511"/>
        <w:gridCol w:w="127"/>
        <w:gridCol w:w="120"/>
        <w:gridCol w:w="120"/>
        <w:gridCol w:w="120"/>
        <w:gridCol w:w="280"/>
        <w:gridCol w:w="580"/>
        <w:gridCol w:w="145"/>
        <w:gridCol w:w="109"/>
        <w:gridCol w:w="109"/>
        <w:gridCol w:w="109"/>
        <w:gridCol w:w="247"/>
        <w:gridCol w:w="510"/>
        <w:gridCol w:w="127"/>
        <w:gridCol w:w="109"/>
        <w:gridCol w:w="109"/>
        <w:gridCol w:w="109"/>
        <w:gridCol w:w="247"/>
        <w:gridCol w:w="510"/>
        <w:gridCol w:w="127"/>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revenues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loss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general and administrative expenses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the Carbon TerraVault JV</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were slightly higher for the </w:t>
      </w:r>
      <w:r>
        <w:rPr>
          <w:rFonts w:ascii="Arial;sans-serif" w:hAnsi="Arial;sans-serif"/>
          <w:b w:val="false"/>
          <w:color w:val="000000"/>
          <w:sz w:val="20"/>
        </w:rPr>
        <w:t>three months ended June 30, 2026</w:t>
      </w:r>
      <w:r>
        <w:rPr>
          <w:color w:val="000000"/>
          <w:shd w:fill="FFFFFF" w:val="clear"/>
        </w:rPr>
        <w:t xml:space="preserve"> </w:t>
      </w:r>
      <w:r>
        <w:rPr>
          <w:rFonts w:ascii="Arial;sans-serif" w:hAnsi="Arial;sans-serif"/>
          <w:b w:val="false"/>
          <w:color w:val="000000"/>
          <w:sz w:val="20"/>
          <w:shd w:fill="FFFFFF" w:val="clear"/>
        </w:rPr>
        <w:t xml:space="preserve">compared to the </w:t>
      </w:r>
      <w:r>
        <w:rPr>
          <w:rFonts w:ascii="Arial;sans-serif" w:hAnsi="Arial;sans-serif"/>
          <w:b w:val="false"/>
          <w:color w:val="000000"/>
          <w:sz w:val="20"/>
        </w:rPr>
        <w:t xml:space="preserve">three months ended March 31, 2026 </w:t>
      </w:r>
      <w:r>
        <w:rPr>
          <w:rFonts w:ascii="Arial;sans-serif" w:hAnsi="Arial;sans-serif"/>
          <w:b w:val="false"/>
          <w:color w:val="000000"/>
          <w:sz w:val="20"/>
          <w:shd w:fill="FFFFFF" w:val="clear"/>
        </w:rPr>
        <w:t>as a result of additional compensation-related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decreased for the </w:t>
      </w:r>
      <w:r>
        <w:rPr>
          <w:rFonts w:ascii="Arial;sans-serif" w:hAnsi="Arial;sans-serif"/>
          <w:b w:val="false"/>
          <w:color w:val="000000"/>
          <w:sz w:val="20"/>
        </w:rPr>
        <w:t>six months ended June 30, 2026</w:t>
      </w:r>
      <w:r>
        <w:rPr>
          <w:color w:val="000000"/>
          <w:shd w:fill="FFFFFF" w:val="clear"/>
        </w:rPr>
        <w:t xml:space="preserve"> </w:t>
      </w:r>
      <w:r>
        <w:rPr>
          <w:rFonts w:ascii="Arial;sans-serif" w:hAnsi="Arial;sans-serif"/>
          <w:b w:val="false"/>
          <w:color w:val="000000"/>
          <w:sz w:val="20"/>
          <w:shd w:fill="FFFFFF" w:val="clear"/>
        </w:rPr>
        <w:t>compared to the six</w:t>
      </w:r>
      <w:r>
        <w:rPr>
          <w:color w:val="000000"/>
        </w:rPr>
        <w:t xml:space="preserve"> </w:t>
      </w:r>
      <w:r>
        <w:rPr>
          <w:rFonts w:ascii="Arial;sans-serif" w:hAnsi="Arial;sans-serif"/>
          <w:b w:val="false"/>
          <w:color w:val="000000"/>
          <w:sz w:val="20"/>
        </w:rPr>
        <w:t xml:space="preserve">months ended June 30, 2025 </w:t>
      </w:r>
      <w:r>
        <w:rPr>
          <w:rFonts w:ascii="Arial;sans-serif" w:hAnsi="Arial;sans-serif"/>
          <w:b w:val="false"/>
          <w:color w:val="000000"/>
          <w:sz w:val="20"/>
          <w:shd w:fill="FFFFFF" w:val="clear"/>
        </w:rPr>
        <w:t>as a result of lower easement costs and preliminary development expenses.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primary sources of liquidity and capital resources are cash flows from operations, available cash and cash equivalents, proceeds from the 2034 Senior Notes and 2035 Senior Notes and available borrowing capacity under our Revolving Credit Facility. We consider our low leverage and ability to control costs to be a core strength and strategic advantage, which we are focused on maintaining. Our primary uses of operating cash flow for the three and six months ended June 30, 2026 were for capital investments, payment of dividends and costs related to the redemption of our 8.250% senior unsecured notes due 2029 (2029 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4874" w:type="dxa"/>
        <w:jc w:val="left"/>
        <w:tblInd w:w="0" w:type="dxa"/>
        <w:tblLayout w:type="fixed"/>
        <w:tblCellMar>
          <w:top w:w="28" w:type="dxa"/>
          <w:left w:w="28" w:type="dxa"/>
          <w:bottom w:w="28" w:type="dxa"/>
          <w:right w:w="28" w:type="dxa"/>
        </w:tblCellMar>
      </w:tblPr>
      <w:tblGrid>
        <w:gridCol w:w="1256"/>
        <w:gridCol w:w="1103"/>
        <w:gridCol w:w="1106"/>
        <w:gridCol w:w="294"/>
        <w:gridCol w:w="901"/>
        <w:gridCol w:w="21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Available cash and cash equivalents</w:t>
            </w:r>
            <w:r>
              <w:rPr>
                <w:rFonts w:ascii="Arial;sans-serif" w:hAnsi="Arial;sans-serif"/>
                <w:b w:val="false"/>
                <w:color w:val="000000"/>
                <w:sz w:val="13"/>
              </w:rPr>
              <w:t>(a)</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(a)Excludes restricted cash of $13 million.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regularly review our financial position and evaluate whether to (i) adjust our drilling program, (ii) return available cash to shareholders through dividends or share repurchases to the extent permitted under our Revolving Credit Facility, our 7.000% senior notes due 2034 (2034 Senior Notes), and our 7.250% senior notes due 2035 (2035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On April 14, 2026, the borrowing base under our Revolving Credit Facility was reaffirmed at $1.5 billion and we entered into an amendment to the Revolving Credit Facility. See</w:t>
      </w:r>
      <w:r>
        <w:rPr>
          <w:color w:val="000000"/>
        </w:rPr>
        <w:t xml:space="preserve">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 xml:space="preserve">for more information.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June 2026, we completed an offering of $550 million of 2035 Senior Notes, the proceeds of which were used together with cash on hand to redeem all of the remaining outstanding 2029 Senior Notes. Following this redemption, we had outstanding $750 million of 2034 Senior Notes and $550 million of 2035 Senior Notes. See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for more information on our 2029 Senior Notes, 2034 Senior Notes and 2035 Senior Notes</w:t>
      </w:r>
      <w:r>
        <w:rPr>
          <w:rFonts w:ascii="Arial;sans-serif" w:hAnsi="Arial;sans-serif"/>
          <w:b w:val="false"/>
          <w:i/>
          <w:color w:val="000000"/>
          <w:sz w:val="20"/>
        </w:rPr>
        <w:t>.</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9 Stockholders' Equity </w:t>
      </w:r>
      <w:r>
        <w:rPr>
          <w:rFonts w:ascii="Arial;sans-serif" w:hAnsi="Arial;sans-serif"/>
          <w:b w:val="false"/>
          <w:color w:val="000000"/>
          <w:sz w:val="20"/>
        </w:rPr>
        <w:t xml:space="preserve">for more information on our Share Repurchase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9 Stockholders' Equity </w:t>
      </w:r>
      <w:r>
        <w:rPr>
          <w:rFonts w:ascii="Arial;sans-serif" w:hAnsi="Arial;sans-serif"/>
          <w:b w:val="false"/>
          <w:color w:val="000000"/>
          <w:sz w:val="20"/>
        </w:rPr>
        <w:t xml:space="preserve">for more information on our dividends. See </w:t>
      </w:r>
      <w:r>
        <w:rPr>
          <w:rFonts w:ascii="Arial;sans-serif" w:hAnsi="Arial;sans-serif"/>
          <w:b w:val="false"/>
          <w:i/>
          <w:color w:val="000000"/>
          <w:sz w:val="20"/>
        </w:rPr>
        <w:t xml:space="preserve">Part I, Item 1 – Financial Statements, Note 15 Subsequent Events </w:t>
      </w:r>
      <w:r>
        <w:rPr>
          <w:rFonts w:ascii="Arial;sans-serif" w:hAnsi="Arial;sans-serif"/>
          <w:b w:val="false"/>
          <w:color w:val="000000"/>
          <w:sz w:val="20"/>
        </w:rPr>
        <w:t>for information on a dividend declared in August 2026.</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Our 2026 capital program is expected to range from $520 million to $560 million</w:t>
      </w:r>
      <w:r>
        <w:rPr>
          <w:rFonts w:ascii="Arial;sans-serif" w:hAnsi="Arial;sans-serif"/>
          <w:b w:val="false"/>
          <w:color w:val="000000"/>
          <w:sz w:val="20"/>
        </w:rPr>
        <w:t xml:space="preserve">. Of this amount, $500 million to $525 million is related to our oil and natural gas segment, $12 million to $20 million is for our carbon management segment and $8 million to $15 million is for corporate and other activities. The above amounts related to carbon management projects do not include amounts funded by Brookfield through the Carbon TerraVault JV, such as drilling injection and monitoring wells at our 26R reservoir.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With respect to oil and natural gas development, we expect to run an average of 5 rigs in the second half of 2026 which is an increase from an average of 4 drilling rigs in the first half of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amounts in the table below reflect components of our capital investment for the periods indicated, excluding changes in capital investment accruals: </w:t>
      </w:r>
    </w:p>
    <w:p>
      <w:pPr>
        <w:pStyle w:val="TextBody"/>
        <w:bidi w:val="0"/>
        <w:spacing w:before="0" w:after="0"/>
        <w:jc w:val="left"/>
        <w:rPr/>
      </w:pPr>
      <w:r>
        <w:rPr/>
      </w:r>
    </w:p>
    <w:tbl>
      <w:tblPr>
        <w:tblW w:w="7257" w:type="dxa"/>
        <w:jc w:val="left"/>
        <w:tblInd w:w="0" w:type="dxa"/>
        <w:tblLayout w:type="fixed"/>
        <w:tblCellMar>
          <w:top w:w="28" w:type="dxa"/>
          <w:left w:w="28" w:type="dxa"/>
          <w:bottom w:w="28" w:type="dxa"/>
          <w:right w:w="28" w:type="dxa"/>
        </w:tblCellMar>
      </w:tblPr>
      <w:tblGrid>
        <w:gridCol w:w="988"/>
        <w:gridCol w:w="868"/>
        <w:gridCol w:w="874"/>
        <w:gridCol w:w="764"/>
        <w:gridCol w:w="764"/>
        <w:gridCol w:w="767"/>
        <w:gridCol w:w="109"/>
        <w:gridCol w:w="109"/>
        <w:gridCol w:w="109"/>
        <w:gridCol w:w="474"/>
        <w:gridCol w:w="1082"/>
        <w:gridCol w:w="349"/>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 Full Year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 2026</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and natural gas segment</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$500 - $525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segment</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$12 -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 and other</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$8 -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Capital</w:t>
            </w:r>
          </w:p>
        </w:tc>
        <w:tc>
          <w:tcPr>
            <w:tcW w:w="22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$520 - $560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oil prices negatively affect our operating cash flow, and the inverse applies during periods of rising oil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six months ended June 30, 2026. See </w:t>
      </w:r>
      <w:r>
        <w:rPr>
          <w:rFonts w:ascii="Arial;sans-serif" w:hAnsi="Arial;sans-serif"/>
          <w:b w:val="false"/>
          <w:i/>
          <w:color w:val="000000"/>
          <w:sz w:val="20"/>
        </w:rPr>
        <w:t>Part I, Item 1 – Financial Statements, Note 6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June 30, 2026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5 Debt </w:t>
      </w:r>
      <w:r>
        <w:rPr>
          <w:rFonts w:ascii="Arial;sans-serif" w:hAnsi="Arial;sans-serif"/>
          <w:b w:val="false"/>
          <w:color w:val="000000"/>
          <w:sz w:val="20"/>
        </w:rPr>
        <w:t>in our 2025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For the six months ended June 30, 2026, our operating cash flow increased by $11 million to $362 million from $351 million in the same period in 2025. This increase in operating cash flow was primarily driven by changes in working capital.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Oil production during the six months ended June 30, 2026 as compared to the same period in 2025 increased 12 </w:t>
      </w:r>
      <w:r>
        <w:rPr>
          <w:rFonts w:ascii="Arial;sans-serif" w:hAnsi="Arial;sans-serif"/>
          <w:b w:val="false"/>
          <w:color w:val="000000"/>
          <w:sz w:val="20"/>
          <w:shd w:fill="FFFFFF" w:val="clear"/>
        </w:rPr>
        <w:t xml:space="preserve">MBbl/d from </w:t>
      </w:r>
      <w:r>
        <w:rPr>
          <w:rFonts w:ascii="Arial;sans-serif" w:hAnsi="Arial;sans-serif"/>
          <w:b w:val="false"/>
          <w:color w:val="000000"/>
          <w:sz w:val="20"/>
        </w:rPr>
        <w:t>110</w:t>
      </w:r>
      <w:r>
        <w:rPr>
          <w:color w:val="000000"/>
          <w:shd w:fill="FFFFFF" w:val="clear"/>
        </w:rPr>
        <w:t xml:space="preserve"> </w:t>
      </w:r>
      <w:r>
        <w:rPr>
          <w:rFonts w:ascii="Arial;sans-serif" w:hAnsi="Arial;sans-serif"/>
          <w:b w:val="false"/>
          <w:color w:val="000000"/>
          <w:sz w:val="20"/>
          <w:shd w:fill="FFFFFF" w:val="clear"/>
        </w:rPr>
        <w:t xml:space="preserve">MBbl/d to </w:t>
      </w:r>
      <w:r>
        <w:rPr>
          <w:rFonts w:ascii="Arial;sans-serif" w:hAnsi="Arial;sans-serif"/>
          <w:b w:val="false"/>
          <w:color w:val="000000"/>
          <w:sz w:val="20"/>
        </w:rPr>
        <w:t xml:space="preserve">122 </w:t>
      </w:r>
      <w:r>
        <w:rPr>
          <w:rFonts w:ascii="Arial;sans-serif" w:hAnsi="Arial;sans-serif"/>
          <w:b w:val="false"/>
          <w:color w:val="000000"/>
          <w:sz w:val="20"/>
          <w:shd w:fill="FFFFFF" w:val="clear"/>
        </w:rPr>
        <w:t xml:space="preserve">MBbl/d as a result of the Berry Merger. Revenue increased as a result of the increases in production from the Berry Merger and higher average realized prices after derivative settlements. Average realized prices after derivative settlements for oil increased by $3.49 per barrel to </w:t>
      </w:r>
      <w:r>
        <w:rPr>
          <w:rFonts w:ascii="Arial;sans-serif" w:hAnsi="Arial;sans-serif"/>
          <w:b w:val="false"/>
          <w:color w:val="000000"/>
          <w:sz w:val="20"/>
        </w:rPr>
        <w:t>$72.88</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$69.39</w:t>
      </w:r>
      <w:r>
        <w:rPr>
          <w:color w:val="000000"/>
          <w:shd w:fill="FFFFFF" w:val="clear"/>
        </w:rPr>
        <w:t xml:space="preserve"> </w:t>
      </w:r>
      <w:r>
        <w:rPr>
          <w:rFonts w:ascii="Arial;sans-serif" w:hAnsi="Arial;sans-serif"/>
          <w:b w:val="false"/>
          <w:color w:val="000000"/>
          <w:sz w:val="20"/>
          <w:shd w:fill="FFFFFF" w:val="clear"/>
        </w:rPr>
        <w:t xml:space="preserve">in the same prior year period. Our derivative settlements and premiums paid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were </w:t>
      </w:r>
      <w:r>
        <w:rPr>
          <w:rFonts w:ascii="Arial;sans-serif" w:hAnsi="Arial;sans-serif"/>
          <w:b w:val="false"/>
          <w:color w:val="000000"/>
          <w:sz w:val="20"/>
        </w:rPr>
        <w:t>$258 million</w:t>
      </w:r>
      <w:r>
        <w:rPr>
          <w:rFonts w:ascii="Arial;sans-serif" w:hAnsi="Arial;sans-serif"/>
          <w:b w:val="false"/>
          <w:color w:val="000000"/>
          <w:sz w:val="20"/>
          <w:shd w:fill="FFFFFF" w:val="clear"/>
        </w:rPr>
        <w:t xml:space="preserve">, which was an increase of $240 million from </w:t>
      </w:r>
      <w:r>
        <w:rPr>
          <w:rFonts w:ascii="Arial;sans-serif" w:hAnsi="Arial;sans-serif"/>
          <w:b w:val="false"/>
          <w:color w:val="000000"/>
          <w:sz w:val="20"/>
        </w:rPr>
        <w:t>$18 million</w:t>
      </w:r>
      <w:r>
        <w:rPr>
          <w:color w:val="000000"/>
          <w:shd w:fill="FFFFFF" w:val="clear"/>
        </w:rPr>
        <w:t xml:space="preserve"> </w:t>
      </w:r>
      <w:r>
        <w:rPr>
          <w:rFonts w:ascii="Arial;sans-serif" w:hAnsi="Arial;sans-serif"/>
          <w:b w:val="false"/>
          <w:color w:val="000000"/>
          <w:sz w:val="20"/>
          <w:shd w:fill="FFFFFF" w:val="clear"/>
        </w:rPr>
        <w:t xml:space="preserve">in the same prior year period. Further, as a result of the Berry Merger, we experienced higher operating costs, employee costs, well abandonment costs, production taxes and greenhouse gas taxes 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as compared to the same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7103" w:type="dxa"/>
        <w:jc w:val="left"/>
        <w:tblInd w:w="0" w:type="dxa"/>
        <w:tblLayout w:type="fixed"/>
        <w:tblCellMar>
          <w:top w:w="28" w:type="dxa"/>
          <w:left w:w="28" w:type="dxa"/>
          <w:bottom w:w="28" w:type="dxa"/>
          <w:right w:w="28" w:type="dxa"/>
        </w:tblCellMar>
      </w:tblPr>
      <w:tblGrid>
        <w:gridCol w:w="1398"/>
        <w:gridCol w:w="1225"/>
        <w:gridCol w:w="1231"/>
        <w:gridCol w:w="109"/>
        <w:gridCol w:w="109"/>
        <w:gridCol w:w="181"/>
        <w:gridCol w:w="181"/>
        <w:gridCol w:w="352"/>
        <w:gridCol w:w="903"/>
        <w:gridCol w:w="181"/>
        <w:gridCol w:w="109"/>
        <w:gridCol w:w="109"/>
        <w:gridCol w:w="109"/>
        <w:gridCol w:w="211"/>
        <w:gridCol w:w="541"/>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Distribution from unconsolidated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7344" w:type="dxa"/>
        <w:jc w:val="left"/>
        <w:tblInd w:w="0" w:type="dxa"/>
        <w:tblLayout w:type="fixed"/>
        <w:tblCellMar>
          <w:top w:w="28" w:type="dxa"/>
          <w:left w:w="28" w:type="dxa"/>
          <w:bottom w:w="28" w:type="dxa"/>
          <w:right w:w="28" w:type="dxa"/>
        </w:tblCellMar>
      </w:tblPr>
      <w:tblGrid>
        <w:gridCol w:w="1482"/>
        <w:gridCol w:w="1304"/>
        <w:gridCol w:w="1309"/>
        <w:gridCol w:w="109"/>
        <w:gridCol w:w="109"/>
        <w:gridCol w:w="181"/>
        <w:gridCol w:w="181"/>
        <w:gridCol w:w="352"/>
        <w:gridCol w:w="903"/>
        <w:gridCol w:w="181"/>
        <w:gridCol w:w="109"/>
        <w:gridCol w:w="109"/>
        <w:gridCol w:w="109"/>
        <w:gridCol w:w="211"/>
        <w:gridCol w:w="541"/>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2034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2035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Redemption of 2026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Redemption of 2029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The total value of shares purchased includes excise taxes, which are generally paid in the year following the share repurchase. Commissions paid on share repurchases were not significant in all periods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our cash flow used in financing activities was $149 million compared to $521 million in the same period in 2025. In the six months ended June 30, 2026, we completed the issuance of our 2035 Senior Notes, an add-on to our 2034 Senior Notes and redeemed all of our outstanding 2029 Senior Notes. In the six months ended June 30, 2025, we repurchased $318 million of our common stock and redeemed $123 million of our 2026 Senior Notes.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Acquisitions and Divestitures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Crimson Acquisition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June 2026, we entered into an agreement to acquire Crimson Midstream Holdings, LLC (Crimson) from CorEnergy Infrastructure Trust Inc. Crimson owns various onshore midstream assets in California, including the San Pablo Bay Pipeline and SoCal Pipeline System. The aggregate cash purchase price for the transaction is approximately $63 million, subject to certain adjustments. We believe this transaction strengthens our long-term market access, while also providing opportunities to enhance flow and optimize utilization of the pipeline system. We also expect to generate tariff revenue from certain of these lines that are in service as common carriers. Closing of the transaction is contingent on satisfaction of customary closing conditions, including receipt of required government approvals, and is expected later this year.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5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2025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commodity prices, including supply and demand considerations for our products and services, and the impact of such fluctuations on revenues and operating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decisions as to production levels and/or pricing by OPEC+ or U.S. producers in future periods;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and Ukraine and geopolitical uncertainty in the Middle East, including the current conflict in Iran;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execute integration efforts in connection with the Berry Merger, and achieve projected synergies and ensure that such synergies are sustainable;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refinery closures and reductions in pipeline transportation capacity;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efforts of activists to delay or prevent oil and gas activities or the development of our carbon management segment through a variety of tactics, including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tariffs and changes in domestic or global trade policies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business strategy and the ability and financial resources to execute our capital plan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lower-than-expected production or higher-than-expected production decline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estimates of reserves and related future cash flows, including changes arising from our inability to develop such reserves in a timely manner, and any inability to replace such reserves;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realize the anticipated benefits from prior or future efforts to reduce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environmental risks and liability under federal, regional, state, provincial, tribal, local and international environmental laws and regulations (including remedial 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creditworthiness and performance of our counterparties, including financial institutions, operating partners, CCS project participants and other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reorganization or restructuring of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strategies and initiatives, including CCS projects and other renewable energy efforts;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power projects and other renewable energy efforts, including those in connection with the Carbon TerraVault JV, and our ability to convert our MOUs and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and develop our carbon management segment and achieve projected injection and storage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develop infrastructure projects and enter into third party contracts on contemplated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uncertainty around the accounting of emissions and our ability to successfully gather and verify emissions data and other environmental impacts;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dividend policy and share repurchase program, and our ability to declare future dividends or repurchase shares under our debt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segment;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pandemics, epidemics, outbreaks, or other public health events, such as the COVID-19 pandemic;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transaction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unknown liabilities;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Part I, Item 1A – Risk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six months ended June 30, 2026,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2025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results are sensitive to fluctuations in oil, NGL and natural gas prices. Increases in commodity prices generally result in higher revenues from commodity sales, while increases in natural gas prices also result in higher operating costs.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June 30, 2026, we had a net liability of $198 million for our commodity derivative positions which are carried at fair value. We estimate that a $10/bbl increase in Brent oil forward prices could increase our settlement payments by $84 million in 2026, limiting our upside. We estimate that a $10/bbl decrease in Brent oil forward prices could decrease our settlement payments by $81 million in 2026, negating the downside price movements for hedged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30, 2026, we have hedges on approximately 64% of our expected oil production for the remainder of 2026 at a weighted average floor price of $64.88. As of June 30, 2026, our hedges for purchased natural gas approximate 59% of our expected fuel use in oil and natural gas operations for the remainder of 2026 at a fixed price of $4.05.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6 Derivatives.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the majority of our credit exposure was with investment-grade counterparties. We believe exposure to counterparty credit-related losses related to our business at June 30, 2026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rates may affect the amount of interest we pay on our long-term debt. We had no variable-rate debt outstanding as of June 30, 2026</w:t>
      </w:r>
      <w:r>
        <w:rPr>
          <w:rFonts w:ascii="Arial;sans-serif" w:hAnsi="Arial;sans-serif"/>
          <w:b w:val="false"/>
          <w:color w:val="000000"/>
          <w:sz w:val="20"/>
          <w:shd w:fill="FFFFFF" w:val="clear"/>
        </w:rPr>
        <w:t xml:space="preserve">. </w:t>
      </w:r>
      <w:r>
        <w:rPr>
          <w:rFonts w:ascii="Arial;sans-serif" w:hAnsi="Arial;sans-serif"/>
          <w:b w:val="false"/>
          <w:color w:val="000000"/>
          <w:sz w:val="20"/>
        </w:rPr>
        <w:t>Our 2034 Senior Notes bear interest at a fixed rate of 7.000% per annum. Our 2035 Senior Notes bear interest at a fixed rate of 7.250% per annum.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June 30, 2026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5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2025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2025 Annual Report. There were no material changes to those risk factors during the three months ended June 30, 2026.</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has authorized a Share Repurchase Program to acquire up to $1.78 billion of our common stock through </w:t>
      </w:r>
      <w:r>
        <w:rPr>
          <w:rFonts w:ascii="Arial;sans-serif" w:hAnsi="Arial;sans-serif"/>
          <w:b w:val="false"/>
          <w:color w:val="000000"/>
          <w:sz w:val="20"/>
          <w:shd w:fill="FFFFFF" w:val="clear"/>
        </w:rPr>
        <w:t>December 31, 2027.</w:t>
      </w:r>
      <w:r>
        <w:rPr>
          <w:color w:val="000000"/>
        </w:rPr>
        <w:t xml:space="preserve"> </w:t>
      </w:r>
      <w:r>
        <w:rPr>
          <w:rFonts w:ascii="Arial;sans-serif" w:hAnsi="Arial;sans-serif"/>
          <w:b w:val="false"/>
          <w:color w:val="000000"/>
          <w:sz w:val="20"/>
        </w:rPr>
        <w:t>The repurchases may be effected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either retired or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we did not repurchase any shares of our common stock under the Share Repurchase Program. The total value of shares that may yet be purchased under the Share Repurchase Program was $600 million as of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no directors or officers adopted or terminated a “Rule 10b5-1 trading arrangement” or “non-Rule 10b5-1 trading arrangement,” as each term is defined in Item 408 of Regulation S-K.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55"/>
        <w:gridCol w:w="204"/>
        <w:gridCol w:w="174"/>
        <w:gridCol w:w="2979"/>
        <w:gridCol w:w="2728"/>
        <w:gridCol w:w="3865"/>
      </w:tblGrid>
      <w:tr>
        <w:trPr/>
        <w:tc>
          <w:tcPr>
            <w:tcW w:w="2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2.1**</w:t>
            </w:r>
          </w:p>
        </w:tc>
        <w:tc>
          <w:tcPr>
            <w:tcW w:w="9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 xml:space="preserve">Agreement and Plan of Merger, dated September 14, 2025, by and among California Resources Corporation, Berry Corporation (bry) and Dornoch Merger Sub, LLC (filed as Exhibit 2.1 to Registrant's Current Report on Form 8-K filed on September 17, 2025 and incorporated herein by reference). </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5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4.1</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80"/>
                  <w:sz w:val="20"/>
                  <w:u w:val="single"/>
                </w:rPr>
                <w:t>2035</w:t>
              </w:r>
            </w:hyperlink>
            <w:hyperlink r:id="rId8">
              <w:r>
                <w:rPr>
                  <w:rStyle w:val="InternetLink"/>
                  <w:rFonts w:ascii="Arial;sans-serif" w:hAnsi="Arial;sans-serif"/>
                  <w:b w:val="false"/>
                  <w:color w:val="000080"/>
                  <w:sz w:val="20"/>
                  <w:u w:val="single"/>
                </w:rPr>
                <w:t xml:space="preserve"> Notes Indenture, dated as of </w:t>
              </w:r>
            </w:hyperlink>
            <w:hyperlink r:id="rId9">
              <w:r>
                <w:rPr>
                  <w:rStyle w:val="InternetLink"/>
                  <w:rFonts w:ascii="Arial;sans-serif" w:hAnsi="Arial;sans-serif"/>
                  <w:b w:val="false"/>
                  <w:color w:val="000080"/>
                  <w:sz w:val="20"/>
                  <w:u w:val="single"/>
                </w:rPr>
                <w:t>June</w:t>
              </w:r>
            </w:hyperlink>
            <w:hyperlink r:id="rId10">
              <w:r>
                <w:rPr>
                  <w:rStyle w:val="InternetLink"/>
                  <w:rFonts w:ascii="Arial;sans-serif" w:hAnsi="Arial;sans-serif"/>
                  <w:b w:val="false"/>
                  <w:color w:val="000080"/>
                  <w:sz w:val="20"/>
                  <w:u w:val="single"/>
                </w:rPr>
                <w:t xml:space="preserve"> 2</w:t>
              </w:r>
            </w:hyperlink>
            <w:hyperlink r:id="rId11">
              <w:r>
                <w:rPr>
                  <w:rStyle w:val="InternetLink"/>
                  <w:rFonts w:ascii="Arial;sans-serif" w:hAnsi="Arial;sans-serif"/>
                  <w:b w:val="false"/>
                  <w:color w:val="000080"/>
                  <w:sz w:val="20"/>
                  <w:u w:val="single"/>
                </w:rPr>
                <w:t>6, 2026, by and among the Company, the Guarantors and the Trustee (filed as Exhibit 4.</w:t>
              </w:r>
            </w:hyperlink>
            <w:hyperlink r:id="rId12">
              <w:r>
                <w:rPr>
                  <w:rStyle w:val="InternetLink"/>
                  <w:rFonts w:ascii="Arial;sans-serif" w:hAnsi="Arial;sans-serif"/>
                  <w:b w:val="false"/>
                  <w:color w:val="000080"/>
                  <w:sz w:val="20"/>
                  <w:u w:val="single"/>
                </w:rPr>
                <w:t>1</w:t>
              </w:r>
            </w:hyperlink>
            <w:hyperlink r:id="rId13">
              <w:r>
                <w:rPr>
                  <w:rStyle w:val="InternetLink"/>
                  <w:rFonts w:ascii="Arial;sans-serif" w:hAnsi="Arial;sans-serif"/>
                  <w:b w:val="false"/>
                  <w:color w:val="000080"/>
                  <w:sz w:val="20"/>
                  <w:u w:val="single"/>
                </w:rPr>
                <w:t xml:space="preserve"> to the Registrant's Current Report on </w:t>
              </w:r>
            </w:hyperlink>
            <w:hyperlink r:id="rId14">
              <w:r>
                <w:rPr>
                  <w:rStyle w:val="InternetLink"/>
                  <w:rFonts w:ascii="Arial;sans-serif" w:hAnsi="Arial;sans-serif"/>
                  <w:b w:val="false"/>
                  <w:color w:val="000080"/>
                  <w:sz w:val="20"/>
                  <w:u w:val="single"/>
                </w:rPr>
                <w:t xml:space="preserve">Form 8-K </w:t>
              </w:r>
            </w:hyperlink>
            <w:hyperlink r:id="rId15">
              <w:r>
                <w:rPr>
                  <w:rStyle w:val="InternetLink"/>
                  <w:rFonts w:ascii="Arial;sans-serif" w:hAnsi="Arial;sans-serif"/>
                  <w:b w:val="false"/>
                  <w:color w:val="000080"/>
                  <w:sz w:val="20"/>
                  <w:u w:val="single"/>
                </w:rPr>
                <w:t>filed on June 26, 2026</w:t>
              </w:r>
            </w:hyperlink>
            <w:hyperlink r:id="rId16">
              <w:r>
                <w:rPr>
                  <w:rStyle w:val="InternetLink"/>
                  <w:rFonts w:ascii="Arial;sans-serif" w:hAnsi="Arial;sans-serif"/>
                  <w:b w:val="false"/>
                  <w:color w:val="000080"/>
                  <w:sz w:val="20"/>
                  <w:u w:val="single"/>
                </w:rPr>
                <w:t xml:space="preserve"> and incorporated herein by reference).</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 xml:space="preserve">Ninth Amendment to the Amended and Restated Credit Agreement, entered into effective as of April 14, 2026, by and among California Resources Corporation, as the Borrower, the several lenders from time to time parties thereto and Citibank, N.A., as Administrative Agent (filed as Exhibit 10.1 to Registrant's Current Report on Form 8-K filed on April 17, 2026 and incorporated herein by reference). </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Certain portions of this exhibit (indicated by "[*****]") have been omitted pursuant to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96" w:type="dxa"/>
        <w:jc w:val="left"/>
        <w:tblInd w:w="0" w:type="dxa"/>
        <w:tblLayout w:type="fixed"/>
        <w:tblCellMar>
          <w:top w:w="28" w:type="dxa"/>
          <w:left w:w="28" w:type="dxa"/>
          <w:bottom w:w="28" w:type="dxa"/>
          <w:right w:w="28" w:type="dxa"/>
        </w:tblCellMar>
      </w:tblPr>
      <w:tblGrid>
        <w:gridCol w:w="255"/>
        <w:gridCol w:w="224"/>
        <w:gridCol w:w="226"/>
        <w:gridCol w:w="509"/>
        <w:gridCol w:w="509"/>
        <w:gridCol w:w="511"/>
        <w:gridCol w:w="1128"/>
        <w:gridCol w:w="1128"/>
        <w:gridCol w:w="1134"/>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S. Helm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S. Helm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Finance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Date:  </w:t>
      </w:r>
      <w:r>
        <w:rPr>
          <w:rFonts w:ascii="Arial;sans-serif" w:hAnsi="Arial;sans-serif"/>
          <w:b w:val="false"/>
          <w:color w:val="000000"/>
          <w:sz w:val="20"/>
        </w:rPr>
        <w:t>August 10, 2026</w:t>
      </w:r>
      <w:r>
        <w:rPr>
          <w:color w:val="000000"/>
        </w:rPr>
        <w:t xml:space="preserve"> </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4"/>
        <w:gridCol w:w="1004"/>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Clio Crespy,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Date: </w:t>
      </w:r>
      <w:r>
        <w:rPr>
          <w:rFonts w:ascii="Arial;sans-serif" w:hAnsi="Arial;sans-serif"/>
          <w:b w:val="false"/>
          <w:color w:val="000000"/>
          <w:sz w:val="20"/>
        </w:rPr>
        <w:t>August 10, 2026</w:t>
      </w:r>
      <w:r>
        <w:rPr>
          <w:color w:val="000000"/>
        </w:rPr>
        <w:t xml:space="preserve"> </w:t>
      </w:r>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June 30, 2026, as filed with the Securities and Exchange Commission on August 10, 2026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590" w:type="dxa"/>
        <w:jc w:val="center"/>
        <w:tblInd w:w="0" w:type="dxa"/>
        <w:tblLayout w:type="fixed"/>
        <w:tblCellMar>
          <w:top w:w="28" w:type="dxa"/>
          <w:left w:w="28" w:type="dxa"/>
          <w:bottom w:w="28" w:type="dxa"/>
          <w:right w:w="28" w:type="dxa"/>
        </w:tblCellMar>
      </w:tblPr>
      <w:tblGrid>
        <w:gridCol w:w="271"/>
        <w:gridCol w:w="239"/>
        <w:gridCol w:w="240"/>
        <w:gridCol w:w="154"/>
        <w:gridCol w:w="154"/>
        <w:gridCol w:w="154"/>
        <w:gridCol w:w="1557"/>
        <w:gridCol w:w="1557"/>
        <w:gridCol w:w="1565"/>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5000076/mergeragreementedgar.htm" TargetMode="External"/><Relationship Id="rId3" Type="http://schemas.openxmlformats.org/officeDocument/2006/relationships/hyperlink" Target="https://www.sec.gov/Archives/edgar/data/1609253/000160925320000137/a8aex31.htm" TargetMode="External"/><Relationship Id="rId4" Type="http://schemas.openxmlformats.org/officeDocument/2006/relationships/hyperlink" Target="https://www.sec.gov/Archives/edgar/data/1609253/000160925322000036/a20220504ex31.htm" TargetMode="External"/><Relationship Id="rId5" Type="http://schemas.openxmlformats.org/officeDocument/2006/relationships/hyperlink" Target="https://www.sec.gov/Archives/edgar/data/1609253/000160925323000034/a20230428exhibit31.htm" TargetMode="External"/><Relationship Id="rId6" Type="http://schemas.openxmlformats.org/officeDocument/2006/relationships/hyperlink" Target="https://www.sec.gov/Archives/edgar/data/1609253/000160925320000137/a8aex32.htm" TargetMode="External"/><Relationship Id="rId7" Type="http://schemas.openxmlformats.org/officeDocument/2006/relationships/hyperlink" Target="https://www.sec.gov/Archives/edgar/data/1609253/000160925326000120/a20260626ex41.htm" TargetMode="External"/><Relationship Id="rId8" Type="http://schemas.openxmlformats.org/officeDocument/2006/relationships/hyperlink" Target="https://www.sec.gov/Archives/edgar/data/1609253/000160925326000120/a20260626ex41.htm" TargetMode="External"/><Relationship Id="rId9" Type="http://schemas.openxmlformats.org/officeDocument/2006/relationships/hyperlink" Target="https://www.sec.gov/Archives/edgar/data/1609253/000160925326000120/a20260626ex41.htm" TargetMode="External"/><Relationship Id="rId10" Type="http://schemas.openxmlformats.org/officeDocument/2006/relationships/hyperlink" Target="https://www.sec.gov/Archives/edgar/data/1609253/000160925326000120/a20260626ex41.htm" TargetMode="External"/><Relationship Id="rId11" Type="http://schemas.openxmlformats.org/officeDocument/2006/relationships/hyperlink" Target="https://www.sec.gov/Archives/edgar/data/1609253/000160925326000120/a20260626ex41.htm" TargetMode="External"/><Relationship Id="rId12" Type="http://schemas.openxmlformats.org/officeDocument/2006/relationships/hyperlink" Target="https://www.sec.gov/Archives/edgar/data/1609253/000160925326000120/a20260626ex41.htm" TargetMode="External"/><Relationship Id="rId13" Type="http://schemas.openxmlformats.org/officeDocument/2006/relationships/hyperlink" Target="https://www.sec.gov/Archives/edgar/data/1609253/000160925326000120/a20260626ex41.htm" TargetMode="External"/><Relationship Id="rId14" Type="http://schemas.openxmlformats.org/officeDocument/2006/relationships/hyperlink" Target="https://www.sec.gov/Archives/edgar/data/1609253/000160925326000120/a20260626ex41.htm" TargetMode="External"/><Relationship Id="rId15" Type="http://schemas.openxmlformats.org/officeDocument/2006/relationships/hyperlink" Target="https://www.sec.gov/Archives/edgar/data/1609253/000160925326000120/a20260626ex41.htm" TargetMode="External"/><Relationship Id="rId16" Type="http://schemas.openxmlformats.org/officeDocument/2006/relationships/hyperlink" Target="https://www.sec.gov/Archives/edgar/data/1609253/000160925326000120/a20260626ex41.htm" TargetMode="External"/><Relationship Id="rId17" Type="http://schemas.openxmlformats.org/officeDocument/2006/relationships/hyperlink" Target="https://www.sec.gov/Archives/edgar/data/1609253/000160925326000086/ex101-20260414.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24134</Words>
  <Characters>128138</Characters>
  <CharactersWithSpaces>150219</CharactersWithSpaces>
  <Paragraphs>4728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