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January 20,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3"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On January 20, 2021, California Resources Corporation (the “Company”) completed its previously announced offering of $600 million aggregate principal amount of its 7.125% senior notes due 2026 (the “Notes”). The terms of the Notes are governed by the Indenture (the “Indenture”), dated as of January 20, 2021, by and among the Company, the guarantors party thereto and Wilmington Trust, National Association, as trustee (the “Trustee”). The Notes will mature on February 1, 2026. Interest will accrue from January 20, 2021 and will be payable semi-annually on February 1 and August 1 of each year, commencing August 1, 2021.</w:t>
      </w:r>
    </w:p>
    <w:p>
      <w:pPr>
        <w:spacing w:after="0" w:line="216"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Notes are fully and unconditionally guaranteed, jointly and severally, on a senior unsecured basis by the guarantors identified in the Indenture and the Supplemental Indenture attached hereto (collectively, the “Guarantors”). The Notes and the guarantees are unsecured, rank equally in right of payment with all senior unsecured debt of the Company and the Guarantors and rank senior to all of the existing and future subordinated debt of the Company and the Guarantors.</w:t>
      </w:r>
    </w:p>
    <w:p>
      <w:pPr>
        <w:spacing w:after="0" w:line="215" w:lineRule="exact"/>
        <w:rPr>
          <w:sz w:val="20"/>
          <w:szCs w:val="20"/>
          <w:color w:val="auto"/>
        </w:rPr>
      </w:pPr>
    </w:p>
    <w:p>
      <w:pPr>
        <w:ind w:right="20" w:firstLine="324"/>
        <w:spacing w:after="0" w:line="254" w:lineRule="auto"/>
        <w:rPr>
          <w:sz w:val="20"/>
          <w:szCs w:val="20"/>
          <w:color w:val="auto"/>
        </w:rPr>
      </w:pPr>
      <w:r>
        <w:rPr>
          <w:rFonts w:ascii="Arial" w:cs="Arial" w:eastAsia="Arial" w:hAnsi="Arial"/>
          <w:sz w:val="17"/>
          <w:szCs w:val="17"/>
          <w:color w:val="auto"/>
        </w:rPr>
        <w:t>The Company may, at its option, redeem some or all of the Notes at any time on or after February 1, 2023 at the redemption prices specified in the Indenture. Prior to such time, the Company may, at its option, redeem up to 35% of the aggregate principal amount of the Notes with an amount of cash not greater than the net cash proceeds from certain equity offerings at the redemption price specified in the Indenture. In addition, before February 1, 2023,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on the Notes repurchased to, but excluding, the date of purchase. The Indenture contains other customary terms, events of default and covenants.</w:t>
      </w:r>
    </w:p>
    <w:p>
      <w:pPr>
        <w:spacing w:after="0" w:line="208"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The above description of the Indenture and the Supplemental Indenture is not complete and is qualified in its entirety by reference to the full text of the Indenture and the Supplemental Indenture, which are filed as Exhibit 4.1 and Exhibit 4.2 hereto and incorporated by reference herein.</w:t>
      </w:r>
    </w:p>
    <w:p>
      <w:pPr>
        <w:spacing w:after="0" w:line="200" w:lineRule="exact"/>
        <w:rPr>
          <w:sz w:val="20"/>
          <w:szCs w:val="20"/>
          <w:color w:val="auto"/>
        </w:rPr>
      </w:pP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w:t>
      </w:r>
    </w:p>
    <w:p>
      <w:pPr>
        <w:spacing w:after="0" w:line="24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information provided under Item 1.01 in this Current Report on Form 8-K regarding the Notes, the Indenture, the Supplemental Indenture and the related guarantees is incorporated by reference into this Item 2.03.</w:t>
      </w:r>
    </w:p>
    <w:p>
      <w:pPr>
        <w:spacing w:after="0" w:line="200" w:lineRule="exact"/>
        <w:rPr>
          <w:sz w:val="20"/>
          <w:szCs w:val="20"/>
          <w:color w:val="auto"/>
        </w:rPr>
      </w:pPr>
    </w:p>
    <w:p>
      <w:pPr>
        <w:spacing w:after="0" w:line="23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Charles F. Weiss, Executive Vice President, Public Affairs, and Darren Williams, Executive Vice President, Exploration and Development, of California Resources Corporation (the “Company”), are leaving the Company in connection with a functional realignment and streamlining of the Company’s leadership team. Roy Pineci, Senior Vice President – Finance and the Company’s principal accounting officer, is expected to depart the Company during the second quarter of 2021. These departures did not result from any dispute or disagreement with the Company on any matter relating to the Company’s operations, financial statements, internal controls, policies or practices. The Company would like to thank Messrs. Weiss, Williams and Pineci for their dedicated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1037590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Organizational Realignment Press Release</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January 21, 2021, the Company issued a press release relating to management changes and organizational realignment. The departures of the named executive officers and principal accounting officer described in Item 5.02 above constitute a portion of those changes. A copy of the press release is attached hereto as Exhibit 99.1 and is incorporated by reference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Presentation</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January 21, 2021, the Company posted an investor presentation on its website at www.crc.com. A copy of the investor presentation is furnished as Exhibit 99.2 to this report and is incorporated herein by reference.</w:t>
      </w:r>
    </w:p>
    <w:p>
      <w:pPr>
        <w:spacing w:after="0" w:line="197"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580" w:type="dxa"/>
            <w:vAlign w:val="bottom"/>
          </w:tcPr>
          <w:p>
            <w:pPr>
              <w:spacing w:after="0"/>
              <w:rPr>
                <w:sz w:val="20"/>
                <w:szCs w:val="20"/>
                <w:color w:val="auto"/>
              </w:rPr>
            </w:pPr>
          </w:p>
        </w:tc>
        <w:tc>
          <w:tcPr>
            <w:tcW w:w="8400" w:type="dxa"/>
            <w:vAlign w:val="bottom"/>
          </w:tcPr>
          <w:p>
            <w:pPr>
              <w:spacing w:after="0"/>
              <w:rPr>
                <w:sz w:val="20"/>
                <w:szCs w:val="20"/>
                <w:color w:val="auto"/>
              </w:rPr>
            </w:pPr>
          </w:p>
        </w:tc>
      </w:tr>
      <w:tr>
        <w:trPr>
          <w:trHeight w:val="499"/>
        </w:trPr>
        <w:tc>
          <w:tcPr>
            <w:tcW w:w="218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4"/>
                <w:szCs w:val="24"/>
                <w:color w:val="auto"/>
              </w:rPr>
            </w:pPr>
          </w:p>
        </w:tc>
        <w:tc>
          <w:tcPr>
            <w:tcW w:w="8400" w:type="dxa"/>
            <w:vAlign w:val="bottom"/>
          </w:tcPr>
          <w:p>
            <w:pPr>
              <w:ind w:left="350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218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898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Indenture, dated January 20, 2021, by and among the Company, the Guarantors and the Trustee.</w:t>
              </w:r>
            </w:hyperlink>
          </w:p>
        </w:tc>
      </w:tr>
      <w:tr>
        <w:trPr>
          <w:trHeight w:val="229"/>
        </w:trPr>
        <w:tc>
          <w:tcPr>
            <w:tcW w:w="218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89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1">
              <w:r>
                <w:rPr>
                  <w:rFonts w:ascii="Arial" w:cs="Arial" w:eastAsia="Arial" w:hAnsi="Arial"/>
                  <w:sz w:val="18"/>
                  <w:szCs w:val="18"/>
                  <w:color w:val="0000FF"/>
                  <w:w w:val="89"/>
                </w:rPr>
                <w:t>First Supplemental Indenture, dated January 20, 2021, by and among the Company, the Guarantors, the EHP Entities and the</w:t>
              </w:r>
            </w:hyperlink>
          </w:p>
        </w:tc>
      </w:tr>
      <w:tr>
        <w:trPr>
          <w:trHeight w:val="196"/>
        </w:trPr>
        <w:tc>
          <w:tcPr>
            <w:tcW w:w="2180" w:type="dxa"/>
            <w:vAlign w:val="bottom"/>
          </w:tcPr>
          <w:p>
            <w:pPr>
              <w:spacing w:after="0"/>
              <w:rPr>
                <w:sz w:val="17"/>
                <w:szCs w:val="17"/>
                <w:color w:val="auto"/>
              </w:rPr>
            </w:pPr>
          </w:p>
        </w:tc>
        <w:tc>
          <w:tcPr>
            <w:tcW w:w="8980" w:type="dxa"/>
            <w:vAlign w:val="bottom"/>
            <w:gridSpan w:val="2"/>
          </w:tcPr>
          <w:p>
            <w:pPr>
              <w:spacing w:after="0" w:line="196" w:lineRule="exact"/>
              <w:rPr>
                <w:rFonts w:ascii="Arial" w:cs="Arial" w:eastAsia="Arial" w:hAnsi="Arial"/>
                <w:sz w:val="18"/>
                <w:szCs w:val="18"/>
                <w:color w:val="0000FF"/>
              </w:rPr>
            </w:pPr>
            <w:hyperlink w:anchor="page151">
              <w:r>
                <w:rPr>
                  <w:rFonts w:ascii="Arial" w:cs="Arial" w:eastAsia="Arial" w:hAnsi="Arial"/>
                  <w:sz w:val="18"/>
                  <w:szCs w:val="18"/>
                  <w:color w:val="0000FF"/>
                </w:rPr>
                <w:t>Trustee.</w:t>
              </w:r>
            </w:hyperlink>
          </w:p>
        </w:tc>
      </w:tr>
      <w:tr>
        <w:trPr>
          <w:trHeight w:val="20"/>
        </w:trPr>
        <w:tc>
          <w:tcPr>
            <w:tcW w:w="2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90"/>
        </w:trPr>
        <w:tc>
          <w:tcPr>
            <w:tcW w:w="2180" w:type="dxa"/>
            <w:vAlign w:val="bottom"/>
          </w:tcPr>
          <w:p>
            <w:pPr>
              <w:jc w:val="center"/>
              <w:ind w:right="170"/>
              <w:spacing w:after="0"/>
              <w:rPr>
                <w:sz w:val="20"/>
                <w:szCs w:val="20"/>
                <w:color w:val="auto"/>
              </w:rPr>
            </w:pPr>
            <w:r>
              <w:rPr>
                <w:rFonts w:ascii="Arial" w:cs="Arial" w:eastAsia="Arial" w:hAnsi="Arial"/>
                <w:sz w:val="18"/>
                <w:szCs w:val="18"/>
                <w:color w:val="auto"/>
                <w:w w:val="91"/>
              </w:rPr>
              <w:t>99.1</w:t>
            </w:r>
          </w:p>
        </w:tc>
        <w:tc>
          <w:tcPr>
            <w:tcW w:w="8980" w:type="dxa"/>
            <w:vAlign w:val="bottom"/>
            <w:gridSpan w:val="2"/>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Press release dated January 21, 2021.</w:t>
              </w:r>
            </w:hyperlink>
          </w:p>
        </w:tc>
      </w:tr>
      <w:tr>
        <w:trPr>
          <w:trHeight w:val="270"/>
        </w:trPr>
        <w:tc>
          <w:tcPr>
            <w:tcW w:w="2180" w:type="dxa"/>
            <w:vAlign w:val="bottom"/>
          </w:tcPr>
          <w:p>
            <w:pPr>
              <w:jc w:val="center"/>
              <w:ind w:right="170"/>
              <w:spacing w:after="0"/>
              <w:rPr>
                <w:sz w:val="20"/>
                <w:szCs w:val="20"/>
                <w:color w:val="auto"/>
              </w:rPr>
            </w:pPr>
            <w:r>
              <w:rPr>
                <w:rFonts w:ascii="Arial" w:cs="Arial" w:eastAsia="Arial" w:hAnsi="Arial"/>
                <w:sz w:val="18"/>
                <w:szCs w:val="18"/>
                <w:color w:val="auto"/>
                <w:w w:val="91"/>
              </w:rPr>
              <w:t>99.2</w:t>
            </w:r>
          </w:p>
        </w:tc>
        <w:tc>
          <w:tcPr>
            <w:tcW w:w="8980" w:type="dxa"/>
            <w:vAlign w:val="bottom"/>
            <w:gridSpan w:val="2"/>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Investor presentation.</w:t>
              </w:r>
            </w:hyperlink>
          </w:p>
        </w:tc>
      </w:tr>
      <w:tr>
        <w:trPr>
          <w:trHeight w:val="270"/>
        </w:trPr>
        <w:tc>
          <w:tcPr>
            <w:tcW w:w="2180" w:type="dxa"/>
            <w:vAlign w:val="bottom"/>
          </w:tcPr>
          <w:p>
            <w:pPr>
              <w:jc w:val="center"/>
              <w:ind w:right="150"/>
              <w:spacing w:after="0"/>
              <w:rPr>
                <w:sz w:val="20"/>
                <w:szCs w:val="20"/>
                <w:color w:val="auto"/>
              </w:rPr>
            </w:pPr>
            <w:r>
              <w:rPr>
                <w:rFonts w:ascii="Arial" w:cs="Arial" w:eastAsia="Arial" w:hAnsi="Arial"/>
                <w:sz w:val="18"/>
                <w:szCs w:val="18"/>
                <w:color w:val="auto"/>
                <w:w w:val="86"/>
              </w:rPr>
              <w:t>104</w:t>
            </w: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Executive Vice President, Chief</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2021</w:t>
      </w:r>
    </w:p>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i w:val="1"/>
          <w:i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195580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CALIFORNIA RESOURCES CORPORATION</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EACH OF THE GUARANTORS PARTY HERETO</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7.125% SENIOR NOTES DUE 2026</w:t>
      </w:r>
    </w:p>
    <w:p>
      <w:pPr>
        <w:ind w:left="3120"/>
        <w:spacing w:after="0"/>
        <w:rPr>
          <w:sz w:val="20"/>
          <w:szCs w:val="20"/>
          <w:color w:val="auto"/>
        </w:rPr>
      </w:pPr>
      <w:r>
        <w:rPr>
          <w:rFonts w:ascii="Arial" w:cs="Arial" w:eastAsia="Arial" w:hAnsi="Arial"/>
          <w:sz w:val="22"/>
          <w:szCs w:val="22"/>
          <w:color w:val="auto"/>
        </w:rPr>
        <w:t>_______________________</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INDENTURE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January 20, 2021</w:t>
      </w:r>
    </w:p>
    <w:p>
      <w:pPr>
        <w:ind w:left="3120"/>
        <w:spacing w:after="0"/>
        <w:rPr>
          <w:sz w:val="20"/>
          <w:szCs w:val="20"/>
          <w:color w:val="auto"/>
        </w:rPr>
      </w:pP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WILMINGTON TRUST, NATIONAL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Trustee</w:t>
      </w:r>
    </w:p>
    <w:p>
      <w:pPr>
        <w:ind w:left="312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120"/>
          </w:cols>
          <w:pgMar w:left="1440" w:top="14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1600" w:type="dxa"/>
            <w:vAlign w:val="bottom"/>
          </w:tcPr>
          <w:p>
            <w:pPr>
              <w:spacing w:after="0"/>
              <w:rPr>
                <w:sz w:val="21"/>
                <w:szCs w:val="21"/>
                <w:color w:val="auto"/>
              </w:rPr>
            </w:pPr>
          </w:p>
        </w:tc>
        <w:tc>
          <w:tcPr>
            <w:tcW w:w="7300" w:type="dxa"/>
            <w:vAlign w:val="bottom"/>
          </w:tcPr>
          <w:p>
            <w:pPr>
              <w:jc w:val="center"/>
              <w:ind w:left="152"/>
              <w:spacing w:after="0"/>
              <w:rPr>
                <w:sz w:val="20"/>
                <w:szCs w:val="20"/>
                <w:color w:val="auto"/>
              </w:rPr>
            </w:pPr>
            <w:r>
              <w:rPr>
                <w:rFonts w:ascii="Arial" w:cs="Arial" w:eastAsia="Arial" w:hAnsi="Arial"/>
                <w:sz w:val="20"/>
                <w:szCs w:val="20"/>
                <w:color w:val="auto"/>
                <w:w w:val="94"/>
              </w:rPr>
              <w:t>TABLE OF CONTENTS</w:t>
            </w:r>
          </w:p>
        </w:tc>
        <w:tc>
          <w:tcPr>
            <w:tcW w:w="2100" w:type="dxa"/>
            <w:vAlign w:val="bottom"/>
          </w:tcPr>
          <w:p>
            <w:pPr>
              <w:spacing w:after="0"/>
              <w:rPr>
                <w:sz w:val="21"/>
                <w:szCs w:val="21"/>
                <w:color w:val="auto"/>
              </w:rPr>
            </w:pPr>
          </w:p>
        </w:tc>
      </w:tr>
      <w:tr>
        <w:trPr>
          <w:trHeight w:val="459"/>
        </w:trPr>
        <w:tc>
          <w:tcPr>
            <w:tcW w:w="16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i w:val="1"/>
                <w:iCs w:val="1"/>
                <w:color w:val="auto"/>
              </w:rPr>
              <w:t>Page</w:t>
            </w:r>
          </w:p>
        </w:tc>
      </w:tr>
      <w:tr>
        <w:trPr>
          <w:trHeight w:val="447"/>
        </w:trPr>
        <w:tc>
          <w:tcPr>
            <w:tcW w:w="160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Arial" w:cs="Arial" w:eastAsia="Arial" w:hAnsi="Arial"/>
                <w:sz w:val="22"/>
                <w:szCs w:val="22"/>
                <w:color w:val="auto"/>
                <w:w w:val="95"/>
              </w:rPr>
              <w:t>ARTICLE 1</w:t>
            </w:r>
          </w:p>
        </w:tc>
        <w:tc>
          <w:tcPr>
            <w:tcW w:w="2100" w:type="dxa"/>
            <w:vAlign w:val="bottom"/>
          </w:tcPr>
          <w:p>
            <w:pPr>
              <w:spacing w:after="0"/>
              <w:rPr>
                <w:sz w:val="24"/>
                <w:szCs w:val="24"/>
                <w:color w:val="auto"/>
              </w:rPr>
            </w:pPr>
          </w:p>
        </w:tc>
      </w:tr>
      <w:tr>
        <w:trPr>
          <w:trHeight w:val="243"/>
        </w:trPr>
        <w:tc>
          <w:tcPr>
            <w:tcW w:w="1600" w:type="dxa"/>
            <w:vAlign w:val="bottom"/>
          </w:tcPr>
          <w:p>
            <w:pPr>
              <w:spacing w:after="0"/>
              <w:rPr>
                <w:sz w:val="21"/>
                <w:szCs w:val="21"/>
                <w:color w:val="auto"/>
              </w:rPr>
            </w:pPr>
          </w:p>
        </w:tc>
        <w:tc>
          <w:tcPr>
            <w:tcW w:w="7300" w:type="dxa"/>
            <w:vAlign w:val="bottom"/>
          </w:tcPr>
          <w:p>
            <w:pPr>
              <w:jc w:val="center"/>
              <w:ind w:left="172"/>
              <w:spacing w:after="0" w:line="243" w:lineRule="exact"/>
              <w:rPr>
                <w:sz w:val="20"/>
                <w:szCs w:val="20"/>
                <w:color w:val="auto"/>
              </w:rPr>
            </w:pPr>
            <w:r>
              <w:rPr>
                <w:rFonts w:ascii="Arial" w:cs="Arial" w:eastAsia="Arial" w:hAnsi="Arial"/>
                <w:sz w:val="22"/>
                <w:szCs w:val="22"/>
                <w:color w:val="auto"/>
                <w:w w:val="95"/>
              </w:rPr>
              <w:t>DEFINITIONS AND INCORPORATION</w:t>
            </w:r>
          </w:p>
        </w:tc>
        <w:tc>
          <w:tcPr>
            <w:tcW w:w="2100" w:type="dxa"/>
            <w:vAlign w:val="bottom"/>
          </w:tcPr>
          <w:p>
            <w:pPr>
              <w:spacing w:after="0"/>
              <w:rPr>
                <w:sz w:val="21"/>
                <w:szCs w:val="21"/>
                <w:color w:val="auto"/>
              </w:rPr>
            </w:pPr>
          </w:p>
        </w:tc>
      </w:tr>
      <w:tr>
        <w:trPr>
          <w:trHeight w:val="274"/>
        </w:trPr>
        <w:tc>
          <w:tcPr>
            <w:tcW w:w="1600" w:type="dxa"/>
            <w:vAlign w:val="bottom"/>
          </w:tcPr>
          <w:p>
            <w:pPr>
              <w:spacing w:after="0"/>
              <w:rPr>
                <w:sz w:val="23"/>
                <w:szCs w:val="23"/>
                <w:color w:val="auto"/>
              </w:rPr>
            </w:pPr>
          </w:p>
        </w:tc>
        <w:tc>
          <w:tcPr>
            <w:tcW w:w="7300" w:type="dxa"/>
            <w:vAlign w:val="bottom"/>
          </w:tcPr>
          <w:p>
            <w:pPr>
              <w:jc w:val="center"/>
              <w:ind w:left="152"/>
              <w:spacing w:after="0"/>
              <w:rPr>
                <w:sz w:val="20"/>
                <w:szCs w:val="20"/>
                <w:color w:val="auto"/>
              </w:rPr>
            </w:pPr>
            <w:r>
              <w:rPr>
                <w:rFonts w:ascii="Arial" w:cs="Arial" w:eastAsia="Arial" w:hAnsi="Arial"/>
                <w:sz w:val="22"/>
                <w:szCs w:val="22"/>
                <w:color w:val="auto"/>
                <w:w w:val="93"/>
              </w:rPr>
              <w:t>BY REFERENCE</w:t>
            </w:r>
          </w:p>
        </w:tc>
        <w:tc>
          <w:tcPr>
            <w:tcW w:w="210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1.01</w:t>
            </w:r>
          </w:p>
        </w:tc>
        <w:tc>
          <w:tcPr>
            <w:tcW w:w="7300" w:type="dxa"/>
            <w:vAlign w:val="bottom"/>
          </w:tcPr>
          <w:p>
            <w:pPr>
              <w:ind w:left="540"/>
              <w:spacing w:after="0"/>
              <w:rPr>
                <w:sz w:val="20"/>
                <w:szCs w:val="20"/>
                <w:color w:val="auto"/>
              </w:rPr>
            </w:pPr>
            <w:r>
              <w:rPr>
                <w:rFonts w:ascii="Arial" w:cs="Arial" w:eastAsia="Arial" w:hAnsi="Arial"/>
                <w:sz w:val="22"/>
                <w:szCs w:val="22"/>
                <w:color w:val="auto"/>
              </w:rPr>
              <w:t>Definitions</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1.02</w:t>
            </w:r>
          </w:p>
        </w:tc>
        <w:tc>
          <w:tcPr>
            <w:tcW w:w="7300" w:type="dxa"/>
            <w:vAlign w:val="bottom"/>
          </w:tcPr>
          <w:p>
            <w:pPr>
              <w:ind w:left="540"/>
              <w:spacing w:after="0"/>
              <w:rPr>
                <w:sz w:val="20"/>
                <w:szCs w:val="20"/>
                <w:color w:val="auto"/>
              </w:rPr>
            </w:pPr>
            <w:r>
              <w:rPr>
                <w:rFonts w:ascii="Arial" w:cs="Arial" w:eastAsia="Arial" w:hAnsi="Arial"/>
                <w:sz w:val="22"/>
                <w:szCs w:val="22"/>
                <w:color w:val="auto"/>
              </w:rPr>
              <w:t>Other Definitions</w:t>
            </w:r>
          </w:p>
        </w:tc>
        <w:tc>
          <w:tcPr>
            <w:tcW w:w="210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1.03</w:t>
            </w:r>
          </w:p>
        </w:tc>
        <w:tc>
          <w:tcPr>
            <w:tcW w:w="7300" w:type="dxa"/>
            <w:vAlign w:val="bottom"/>
          </w:tcPr>
          <w:p>
            <w:pPr>
              <w:ind w:left="540"/>
              <w:spacing w:after="0"/>
              <w:rPr>
                <w:sz w:val="20"/>
                <w:szCs w:val="20"/>
                <w:color w:val="auto"/>
              </w:rPr>
            </w:pPr>
            <w:r>
              <w:rPr>
                <w:rFonts w:ascii="Arial" w:cs="Arial" w:eastAsia="Arial" w:hAnsi="Arial"/>
                <w:sz w:val="22"/>
                <w:szCs w:val="22"/>
                <w:color w:val="auto"/>
              </w:rPr>
              <w:t>No Incorporation by Reference of Trust Indenture Act</w:t>
            </w:r>
          </w:p>
        </w:tc>
        <w:tc>
          <w:tcPr>
            <w:tcW w:w="21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1.04</w:t>
            </w:r>
          </w:p>
        </w:tc>
        <w:tc>
          <w:tcPr>
            <w:tcW w:w="7300" w:type="dxa"/>
            <w:vAlign w:val="bottom"/>
          </w:tcPr>
          <w:p>
            <w:pPr>
              <w:ind w:left="540"/>
              <w:spacing w:after="0"/>
              <w:rPr>
                <w:sz w:val="20"/>
                <w:szCs w:val="20"/>
                <w:color w:val="auto"/>
              </w:rPr>
            </w:pPr>
            <w:r>
              <w:rPr>
                <w:rFonts w:ascii="Arial" w:cs="Arial" w:eastAsia="Arial" w:hAnsi="Arial"/>
                <w:sz w:val="22"/>
                <w:szCs w:val="22"/>
                <w:color w:val="auto"/>
              </w:rPr>
              <w:t>Rules of Construction</w:t>
            </w:r>
          </w:p>
        </w:tc>
        <w:tc>
          <w:tcPr>
            <w:tcW w:w="21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563"/>
        </w:trPr>
        <w:tc>
          <w:tcPr>
            <w:tcW w:w="160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Arial" w:cs="Arial" w:eastAsia="Arial" w:hAnsi="Arial"/>
                <w:sz w:val="22"/>
                <w:szCs w:val="22"/>
                <w:color w:val="auto"/>
                <w:w w:val="95"/>
              </w:rPr>
              <w:t>ARTICLE 2</w:t>
            </w:r>
          </w:p>
        </w:tc>
        <w:tc>
          <w:tcPr>
            <w:tcW w:w="210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7300" w:type="dxa"/>
            <w:vAlign w:val="bottom"/>
          </w:tcPr>
          <w:p>
            <w:pPr>
              <w:jc w:val="center"/>
              <w:ind w:left="152"/>
              <w:spacing w:after="0"/>
              <w:rPr>
                <w:sz w:val="20"/>
                <w:szCs w:val="20"/>
                <w:color w:val="auto"/>
              </w:rPr>
            </w:pPr>
            <w:r>
              <w:rPr>
                <w:rFonts w:ascii="Arial" w:cs="Arial" w:eastAsia="Arial" w:hAnsi="Arial"/>
                <w:sz w:val="22"/>
                <w:szCs w:val="22"/>
                <w:color w:val="auto"/>
                <w:w w:val="92"/>
              </w:rPr>
              <w:t>THE NOTES</w:t>
            </w:r>
          </w:p>
        </w:tc>
        <w:tc>
          <w:tcPr>
            <w:tcW w:w="210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2.01</w:t>
            </w:r>
          </w:p>
        </w:tc>
        <w:tc>
          <w:tcPr>
            <w:tcW w:w="7300" w:type="dxa"/>
            <w:vAlign w:val="bottom"/>
          </w:tcPr>
          <w:p>
            <w:pPr>
              <w:ind w:left="540"/>
              <w:spacing w:after="0"/>
              <w:rPr>
                <w:sz w:val="20"/>
                <w:szCs w:val="20"/>
                <w:color w:val="auto"/>
              </w:rPr>
            </w:pPr>
            <w:r>
              <w:rPr>
                <w:rFonts w:ascii="Arial" w:cs="Arial" w:eastAsia="Arial" w:hAnsi="Arial"/>
                <w:sz w:val="22"/>
                <w:szCs w:val="22"/>
                <w:color w:val="auto"/>
              </w:rPr>
              <w:t>Form and Dating</w:t>
            </w:r>
          </w:p>
        </w:tc>
        <w:tc>
          <w:tcPr>
            <w:tcW w:w="21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2.02</w:t>
            </w:r>
          </w:p>
        </w:tc>
        <w:tc>
          <w:tcPr>
            <w:tcW w:w="7300" w:type="dxa"/>
            <w:vAlign w:val="bottom"/>
          </w:tcPr>
          <w:p>
            <w:pPr>
              <w:ind w:left="540"/>
              <w:spacing w:after="0"/>
              <w:rPr>
                <w:sz w:val="20"/>
                <w:szCs w:val="20"/>
                <w:color w:val="auto"/>
              </w:rPr>
            </w:pPr>
            <w:r>
              <w:rPr>
                <w:rFonts w:ascii="Arial" w:cs="Arial" w:eastAsia="Arial" w:hAnsi="Arial"/>
                <w:sz w:val="22"/>
                <w:szCs w:val="22"/>
                <w:color w:val="auto"/>
              </w:rPr>
              <w:t>Execution and Authentication</w:t>
            </w:r>
          </w:p>
        </w:tc>
        <w:tc>
          <w:tcPr>
            <w:tcW w:w="21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2.03</w:t>
            </w:r>
          </w:p>
        </w:tc>
        <w:tc>
          <w:tcPr>
            <w:tcW w:w="7300" w:type="dxa"/>
            <w:vAlign w:val="bottom"/>
          </w:tcPr>
          <w:p>
            <w:pPr>
              <w:ind w:left="540"/>
              <w:spacing w:after="0"/>
              <w:rPr>
                <w:sz w:val="20"/>
                <w:szCs w:val="20"/>
                <w:color w:val="auto"/>
              </w:rPr>
            </w:pPr>
            <w:r>
              <w:rPr>
                <w:rFonts w:ascii="Arial" w:cs="Arial" w:eastAsia="Arial" w:hAnsi="Arial"/>
                <w:sz w:val="22"/>
                <w:szCs w:val="22"/>
                <w:color w:val="auto"/>
              </w:rPr>
              <w:t>Registrar and Paying Agent</w:t>
            </w:r>
          </w:p>
        </w:tc>
        <w:tc>
          <w:tcPr>
            <w:tcW w:w="21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2.04</w:t>
            </w:r>
          </w:p>
        </w:tc>
        <w:tc>
          <w:tcPr>
            <w:tcW w:w="7300" w:type="dxa"/>
            <w:vAlign w:val="bottom"/>
          </w:tcPr>
          <w:p>
            <w:pPr>
              <w:ind w:left="540"/>
              <w:spacing w:after="0"/>
              <w:rPr>
                <w:sz w:val="20"/>
                <w:szCs w:val="20"/>
                <w:color w:val="auto"/>
              </w:rPr>
            </w:pPr>
            <w:r>
              <w:rPr>
                <w:rFonts w:ascii="Arial" w:cs="Arial" w:eastAsia="Arial" w:hAnsi="Arial"/>
                <w:sz w:val="22"/>
                <w:szCs w:val="22"/>
                <w:color w:val="auto"/>
              </w:rPr>
              <w:t>Paying Agent to Hold Money in Trust</w:t>
            </w:r>
          </w:p>
        </w:tc>
        <w:tc>
          <w:tcPr>
            <w:tcW w:w="21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2.05</w:t>
            </w:r>
          </w:p>
        </w:tc>
        <w:tc>
          <w:tcPr>
            <w:tcW w:w="7300" w:type="dxa"/>
            <w:vAlign w:val="bottom"/>
          </w:tcPr>
          <w:p>
            <w:pPr>
              <w:ind w:left="540"/>
              <w:spacing w:after="0"/>
              <w:rPr>
                <w:sz w:val="20"/>
                <w:szCs w:val="20"/>
                <w:color w:val="auto"/>
              </w:rPr>
            </w:pPr>
            <w:r>
              <w:rPr>
                <w:rFonts w:ascii="Arial" w:cs="Arial" w:eastAsia="Arial" w:hAnsi="Arial"/>
                <w:sz w:val="22"/>
                <w:szCs w:val="22"/>
                <w:color w:val="auto"/>
              </w:rPr>
              <w:t>Holder Lists</w:t>
            </w:r>
          </w:p>
        </w:tc>
        <w:tc>
          <w:tcPr>
            <w:tcW w:w="21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2.06</w:t>
            </w:r>
          </w:p>
        </w:tc>
        <w:tc>
          <w:tcPr>
            <w:tcW w:w="7300" w:type="dxa"/>
            <w:vAlign w:val="bottom"/>
          </w:tcPr>
          <w:p>
            <w:pPr>
              <w:ind w:left="540"/>
              <w:spacing w:after="0"/>
              <w:rPr>
                <w:sz w:val="20"/>
                <w:szCs w:val="20"/>
                <w:color w:val="auto"/>
              </w:rPr>
            </w:pPr>
            <w:r>
              <w:rPr>
                <w:rFonts w:ascii="Arial" w:cs="Arial" w:eastAsia="Arial" w:hAnsi="Arial"/>
                <w:sz w:val="22"/>
                <w:szCs w:val="22"/>
                <w:color w:val="auto"/>
              </w:rPr>
              <w:t>Transfer and Exchange</w:t>
            </w:r>
          </w:p>
        </w:tc>
        <w:tc>
          <w:tcPr>
            <w:tcW w:w="21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2.07</w:t>
            </w:r>
          </w:p>
        </w:tc>
        <w:tc>
          <w:tcPr>
            <w:tcW w:w="7300" w:type="dxa"/>
            <w:vAlign w:val="bottom"/>
          </w:tcPr>
          <w:p>
            <w:pPr>
              <w:ind w:left="540"/>
              <w:spacing w:after="0"/>
              <w:rPr>
                <w:sz w:val="20"/>
                <w:szCs w:val="20"/>
                <w:color w:val="auto"/>
              </w:rPr>
            </w:pPr>
            <w:r>
              <w:rPr>
                <w:rFonts w:ascii="Arial" w:cs="Arial" w:eastAsia="Arial" w:hAnsi="Arial"/>
                <w:sz w:val="22"/>
                <w:szCs w:val="22"/>
                <w:color w:val="auto"/>
              </w:rPr>
              <w:t>Replacement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2.08</w:t>
            </w:r>
          </w:p>
        </w:tc>
        <w:tc>
          <w:tcPr>
            <w:tcW w:w="7300" w:type="dxa"/>
            <w:vAlign w:val="bottom"/>
          </w:tcPr>
          <w:p>
            <w:pPr>
              <w:ind w:left="540"/>
              <w:spacing w:after="0"/>
              <w:rPr>
                <w:sz w:val="20"/>
                <w:szCs w:val="20"/>
                <w:color w:val="auto"/>
              </w:rPr>
            </w:pPr>
            <w:r>
              <w:rPr>
                <w:rFonts w:ascii="Arial" w:cs="Arial" w:eastAsia="Arial" w:hAnsi="Arial"/>
                <w:sz w:val="22"/>
                <w:szCs w:val="22"/>
                <w:color w:val="auto"/>
              </w:rPr>
              <w:t>Outstanding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2.09</w:t>
            </w:r>
          </w:p>
        </w:tc>
        <w:tc>
          <w:tcPr>
            <w:tcW w:w="7300" w:type="dxa"/>
            <w:vAlign w:val="bottom"/>
          </w:tcPr>
          <w:p>
            <w:pPr>
              <w:ind w:left="540"/>
              <w:spacing w:after="0"/>
              <w:rPr>
                <w:sz w:val="20"/>
                <w:szCs w:val="20"/>
                <w:color w:val="auto"/>
              </w:rPr>
            </w:pPr>
            <w:r>
              <w:rPr>
                <w:rFonts w:ascii="Arial" w:cs="Arial" w:eastAsia="Arial" w:hAnsi="Arial"/>
                <w:sz w:val="22"/>
                <w:szCs w:val="22"/>
                <w:color w:val="auto"/>
              </w:rPr>
              <w:t>Treasury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2.10</w:t>
            </w:r>
          </w:p>
        </w:tc>
        <w:tc>
          <w:tcPr>
            <w:tcW w:w="7300" w:type="dxa"/>
            <w:vAlign w:val="bottom"/>
          </w:tcPr>
          <w:p>
            <w:pPr>
              <w:ind w:left="540"/>
              <w:spacing w:after="0"/>
              <w:rPr>
                <w:sz w:val="20"/>
                <w:szCs w:val="20"/>
                <w:color w:val="auto"/>
              </w:rPr>
            </w:pPr>
            <w:r>
              <w:rPr>
                <w:rFonts w:ascii="Arial" w:cs="Arial" w:eastAsia="Arial" w:hAnsi="Arial"/>
                <w:sz w:val="22"/>
                <w:szCs w:val="22"/>
                <w:color w:val="auto"/>
              </w:rPr>
              <w:t>Temporary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2.11</w:t>
            </w:r>
          </w:p>
        </w:tc>
        <w:tc>
          <w:tcPr>
            <w:tcW w:w="7300" w:type="dxa"/>
            <w:vAlign w:val="bottom"/>
          </w:tcPr>
          <w:p>
            <w:pPr>
              <w:ind w:left="540"/>
              <w:spacing w:after="0"/>
              <w:rPr>
                <w:sz w:val="20"/>
                <w:szCs w:val="20"/>
                <w:color w:val="auto"/>
              </w:rPr>
            </w:pPr>
            <w:r>
              <w:rPr>
                <w:rFonts w:ascii="Arial" w:cs="Arial" w:eastAsia="Arial" w:hAnsi="Arial"/>
                <w:sz w:val="22"/>
                <w:szCs w:val="22"/>
                <w:color w:val="auto"/>
              </w:rPr>
              <w:t>Cancellation</w:t>
            </w:r>
          </w:p>
        </w:tc>
        <w:tc>
          <w:tcPr>
            <w:tcW w:w="21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2.12</w:t>
            </w:r>
          </w:p>
        </w:tc>
        <w:tc>
          <w:tcPr>
            <w:tcW w:w="7300" w:type="dxa"/>
            <w:vAlign w:val="bottom"/>
          </w:tcPr>
          <w:p>
            <w:pPr>
              <w:ind w:left="540"/>
              <w:spacing w:after="0"/>
              <w:rPr>
                <w:sz w:val="20"/>
                <w:szCs w:val="20"/>
                <w:color w:val="auto"/>
              </w:rPr>
            </w:pPr>
            <w:r>
              <w:rPr>
                <w:rFonts w:ascii="Arial" w:cs="Arial" w:eastAsia="Arial" w:hAnsi="Arial"/>
                <w:sz w:val="22"/>
                <w:szCs w:val="22"/>
                <w:color w:val="auto"/>
              </w:rPr>
              <w:t>Defaulted Interest</w:t>
            </w:r>
          </w:p>
        </w:tc>
        <w:tc>
          <w:tcPr>
            <w:tcW w:w="21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2.13</w:t>
            </w:r>
          </w:p>
        </w:tc>
        <w:tc>
          <w:tcPr>
            <w:tcW w:w="7300" w:type="dxa"/>
            <w:vAlign w:val="bottom"/>
          </w:tcPr>
          <w:p>
            <w:pPr>
              <w:ind w:left="540"/>
              <w:spacing w:after="0"/>
              <w:rPr>
                <w:sz w:val="20"/>
                <w:szCs w:val="20"/>
                <w:color w:val="auto"/>
              </w:rPr>
            </w:pPr>
            <w:r>
              <w:rPr>
                <w:rFonts w:ascii="Arial" w:cs="Arial" w:eastAsia="Arial" w:hAnsi="Arial"/>
                <w:sz w:val="22"/>
                <w:szCs w:val="22"/>
                <w:color w:val="auto"/>
              </w:rPr>
              <w:t>Issuance of Additional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2.14</w:t>
            </w:r>
          </w:p>
        </w:tc>
        <w:tc>
          <w:tcPr>
            <w:tcW w:w="7300" w:type="dxa"/>
            <w:vAlign w:val="bottom"/>
          </w:tcPr>
          <w:p>
            <w:pPr>
              <w:ind w:left="540"/>
              <w:spacing w:after="0"/>
              <w:rPr>
                <w:sz w:val="20"/>
                <w:szCs w:val="20"/>
                <w:color w:val="auto"/>
              </w:rPr>
            </w:pPr>
            <w:r>
              <w:rPr>
                <w:rFonts w:ascii="Arial" w:cs="Arial" w:eastAsia="Arial" w:hAnsi="Arial"/>
                <w:sz w:val="22"/>
                <w:szCs w:val="22"/>
                <w:color w:val="auto"/>
              </w:rPr>
              <w:t>Computation of Interest</w:t>
            </w:r>
          </w:p>
        </w:tc>
        <w:tc>
          <w:tcPr>
            <w:tcW w:w="21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2.15</w:t>
            </w:r>
          </w:p>
        </w:tc>
        <w:tc>
          <w:tcPr>
            <w:tcW w:w="7300" w:type="dxa"/>
            <w:vAlign w:val="bottom"/>
          </w:tcPr>
          <w:p>
            <w:pPr>
              <w:ind w:left="540"/>
              <w:spacing w:after="0"/>
              <w:rPr>
                <w:sz w:val="20"/>
                <w:szCs w:val="20"/>
                <w:color w:val="auto"/>
              </w:rPr>
            </w:pPr>
            <w:r>
              <w:rPr>
                <w:rFonts w:ascii="Arial" w:cs="Arial" w:eastAsia="Arial" w:hAnsi="Arial"/>
                <w:sz w:val="22"/>
                <w:szCs w:val="22"/>
                <w:color w:val="auto"/>
              </w:rPr>
              <w:t>CUSIP Number</w:t>
            </w:r>
          </w:p>
        </w:tc>
        <w:tc>
          <w:tcPr>
            <w:tcW w:w="21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549"/>
        </w:trPr>
        <w:tc>
          <w:tcPr>
            <w:tcW w:w="160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Arial" w:cs="Arial" w:eastAsia="Arial" w:hAnsi="Arial"/>
                <w:sz w:val="22"/>
                <w:szCs w:val="22"/>
                <w:color w:val="auto"/>
                <w:w w:val="95"/>
              </w:rPr>
              <w:t>ARTICLE 3</w:t>
            </w:r>
          </w:p>
        </w:tc>
        <w:tc>
          <w:tcPr>
            <w:tcW w:w="210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7300" w:type="dxa"/>
            <w:vAlign w:val="bottom"/>
          </w:tcPr>
          <w:p>
            <w:pPr>
              <w:jc w:val="center"/>
              <w:ind w:left="152"/>
              <w:spacing w:after="0"/>
              <w:rPr>
                <w:sz w:val="20"/>
                <w:szCs w:val="20"/>
                <w:color w:val="auto"/>
              </w:rPr>
            </w:pPr>
            <w:r>
              <w:rPr>
                <w:rFonts w:ascii="Arial" w:cs="Arial" w:eastAsia="Arial" w:hAnsi="Arial"/>
                <w:sz w:val="22"/>
                <w:szCs w:val="22"/>
                <w:color w:val="auto"/>
                <w:w w:val="94"/>
              </w:rPr>
              <w:t>REDEMPTION AND PREPAYMENT</w:t>
            </w:r>
          </w:p>
        </w:tc>
        <w:tc>
          <w:tcPr>
            <w:tcW w:w="210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3.01</w:t>
            </w:r>
          </w:p>
        </w:tc>
        <w:tc>
          <w:tcPr>
            <w:tcW w:w="7300" w:type="dxa"/>
            <w:vAlign w:val="bottom"/>
          </w:tcPr>
          <w:p>
            <w:pPr>
              <w:ind w:left="540"/>
              <w:spacing w:after="0"/>
              <w:rPr>
                <w:sz w:val="20"/>
                <w:szCs w:val="20"/>
                <w:color w:val="auto"/>
              </w:rPr>
            </w:pPr>
            <w:r>
              <w:rPr>
                <w:rFonts w:ascii="Arial" w:cs="Arial" w:eastAsia="Arial" w:hAnsi="Arial"/>
                <w:sz w:val="22"/>
                <w:szCs w:val="22"/>
                <w:color w:val="auto"/>
              </w:rPr>
              <w:t>Notices to Trustee</w:t>
            </w:r>
          </w:p>
        </w:tc>
        <w:tc>
          <w:tcPr>
            <w:tcW w:w="21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3.02</w:t>
            </w:r>
          </w:p>
        </w:tc>
        <w:tc>
          <w:tcPr>
            <w:tcW w:w="7300" w:type="dxa"/>
            <w:vAlign w:val="bottom"/>
          </w:tcPr>
          <w:p>
            <w:pPr>
              <w:ind w:left="540"/>
              <w:spacing w:after="0"/>
              <w:rPr>
                <w:sz w:val="20"/>
                <w:szCs w:val="20"/>
                <w:color w:val="auto"/>
              </w:rPr>
            </w:pPr>
            <w:r>
              <w:rPr>
                <w:rFonts w:ascii="Arial" w:cs="Arial" w:eastAsia="Arial" w:hAnsi="Arial"/>
                <w:sz w:val="22"/>
                <w:szCs w:val="22"/>
                <w:color w:val="auto"/>
              </w:rPr>
              <w:t>Selection of Notes to Be Redeemed</w:t>
            </w:r>
          </w:p>
        </w:tc>
        <w:tc>
          <w:tcPr>
            <w:tcW w:w="21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3.03</w:t>
            </w:r>
          </w:p>
        </w:tc>
        <w:tc>
          <w:tcPr>
            <w:tcW w:w="7300" w:type="dxa"/>
            <w:vAlign w:val="bottom"/>
          </w:tcPr>
          <w:p>
            <w:pPr>
              <w:ind w:left="540"/>
              <w:spacing w:after="0"/>
              <w:rPr>
                <w:sz w:val="20"/>
                <w:szCs w:val="20"/>
                <w:color w:val="auto"/>
              </w:rPr>
            </w:pPr>
            <w:r>
              <w:rPr>
                <w:rFonts w:ascii="Arial" w:cs="Arial" w:eastAsia="Arial" w:hAnsi="Arial"/>
                <w:sz w:val="22"/>
                <w:szCs w:val="22"/>
                <w:color w:val="auto"/>
              </w:rPr>
              <w:t>Notice of Redemption</w:t>
            </w:r>
          </w:p>
        </w:tc>
        <w:tc>
          <w:tcPr>
            <w:tcW w:w="21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3.04</w:t>
            </w:r>
          </w:p>
        </w:tc>
        <w:tc>
          <w:tcPr>
            <w:tcW w:w="7300" w:type="dxa"/>
            <w:vAlign w:val="bottom"/>
          </w:tcPr>
          <w:p>
            <w:pPr>
              <w:ind w:left="540"/>
              <w:spacing w:after="0"/>
              <w:rPr>
                <w:sz w:val="20"/>
                <w:szCs w:val="20"/>
                <w:color w:val="auto"/>
              </w:rPr>
            </w:pPr>
            <w:r>
              <w:rPr>
                <w:rFonts w:ascii="Arial" w:cs="Arial" w:eastAsia="Arial" w:hAnsi="Arial"/>
                <w:sz w:val="22"/>
                <w:szCs w:val="22"/>
                <w:color w:val="auto"/>
              </w:rPr>
              <w:t>Effect of Notice of Redemption</w:t>
            </w:r>
          </w:p>
        </w:tc>
        <w:tc>
          <w:tcPr>
            <w:tcW w:w="21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3.05</w:t>
            </w:r>
          </w:p>
        </w:tc>
        <w:tc>
          <w:tcPr>
            <w:tcW w:w="7300" w:type="dxa"/>
            <w:vAlign w:val="bottom"/>
          </w:tcPr>
          <w:p>
            <w:pPr>
              <w:ind w:left="540"/>
              <w:spacing w:after="0"/>
              <w:rPr>
                <w:sz w:val="20"/>
                <w:szCs w:val="20"/>
                <w:color w:val="auto"/>
              </w:rPr>
            </w:pPr>
            <w:r>
              <w:rPr>
                <w:rFonts w:ascii="Arial" w:cs="Arial" w:eastAsia="Arial" w:hAnsi="Arial"/>
                <w:sz w:val="22"/>
                <w:szCs w:val="22"/>
                <w:color w:val="auto"/>
              </w:rPr>
              <w:t>Deposit of Redemption Price</w:t>
            </w:r>
          </w:p>
        </w:tc>
        <w:tc>
          <w:tcPr>
            <w:tcW w:w="21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3.06</w:t>
            </w:r>
          </w:p>
        </w:tc>
        <w:tc>
          <w:tcPr>
            <w:tcW w:w="7300" w:type="dxa"/>
            <w:vAlign w:val="bottom"/>
          </w:tcPr>
          <w:p>
            <w:pPr>
              <w:ind w:left="540"/>
              <w:spacing w:after="0"/>
              <w:rPr>
                <w:sz w:val="20"/>
                <w:szCs w:val="20"/>
                <w:color w:val="auto"/>
              </w:rPr>
            </w:pPr>
            <w:r>
              <w:rPr>
                <w:rFonts w:ascii="Arial" w:cs="Arial" w:eastAsia="Arial" w:hAnsi="Arial"/>
                <w:sz w:val="22"/>
                <w:szCs w:val="22"/>
                <w:color w:val="auto"/>
              </w:rPr>
              <w:t>Notes Redeemed in Part</w:t>
            </w:r>
          </w:p>
        </w:tc>
        <w:tc>
          <w:tcPr>
            <w:tcW w:w="21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3.07</w:t>
            </w:r>
          </w:p>
        </w:tc>
        <w:tc>
          <w:tcPr>
            <w:tcW w:w="7300" w:type="dxa"/>
            <w:vAlign w:val="bottom"/>
          </w:tcPr>
          <w:p>
            <w:pPr>
              <w:ind w:left="540"/>
              <w:spacing w:after="0"/>
              <w:rPr>
                <w:sz w:val="20"/>
                <w:szCs w:val="20"/>
                <w:color w:val="auto"/>
              </w:rPr>
            </w:pPr>
            <w:r>
              <w:rPr>
                <w:rFonts w:ascii="Arial" w:cs="Arial" w:eastAsia="Arial" w:hAnsi="Arial"/>
                <w:sz w:val="22"/>
                <w:szCs w:val="22"/>
                <w:color w:val="auto"/>
              </w:rPr>
              <w:t>Optional Redemption</w:t>
            </w:r>
          </w:p>
        </w:tc>
        <w:tc>
          <w:tcPr>
            <w:tcW w:w="21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3.08</w:t>
            </w:r>
          </w:p>
        </w:tc>
        <w:tc>
          <w:tcPr>
            <w:tcW w:w="7300" w:type="dxa"/>
            <w:vAlign w:val="bottom"/>
          </w:tcPr>
          <w:p>
            <w:pPr>
              <w:ind w:left="540"/>
              <w:spacing w:after="0"/>
              <w:rPr>
                <w:sz w:val="20"/>
                <w:szCs w:val="20"/>
                <w:color w:val="auto"/>
              </w:rPr>
            </w:pPr>
            <w:r>
              <w:rPr>
                <w:rFonts w:ascii="Arial" w:cs="Arial" w:eastAsia="Arial" w:hAnsi="Arial"/>
                <w:sz w:val="22"/>
                <w:szCs w:val="22"/>
                <w:color w:val="auto"/>
              </w:rPr>
              <w:t>Mandatory Redemption</w:t>
            </w:r>
          </w:p>
        </w:tc>
        <w:tc>
          <w:tcPr>
            <w:tcW w:w="21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3.09</w:t>
            </w:r>
          </w:p>
        </w:tc>
        <w:tc>
          <w:tcPr>
            <w:tcW w:w="7300" w:type="dxa"/>
            <w:vAlign w:val="bottom"/>
          </w:tcPr>
          <w:p>
            <w:pPr>
              <w:ind w:left="540"/>
              <w:spacing w:after="0"/>
              <w:rPr>
                <w:sz w:val="20"/>
                <w:szCs w:val="20"/>
                <w:color w:val="auto"/>
              </w:rPr>
            </w:pPr>
            <w:r>
              <w:rPr>
                <w:rFonts w:ascii="Arial" w:cs="Arial" w:eastAsia="Arial" w:hAnsi="Arial"/>
                <w:sz w:val="22"/>
                <w:szCs w:val="22"/>
                <w:color w:val="auto"/>
              </w:rPr>
              <w:t>Offer to Purchase by Application of Excess Proceeds</w:t>
            </w:r>
          </w:p>
        </w:tc>
        <w:tc>
          <w:tcPr>
            <w:tcW w:w="21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63"/>
        </w:trPr>
        <w:tc>
          <w:tcPr>
            <w:tcW w:w="160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Arial" w:cs="Arial" w:eastAsia="Arial" w:hAnsi="Arial"/>
                <w:sz w:val="22"/>
                <w:szCs w:val="22"/>
                <w:color w:val="auto"/>
                <w:w w:val="95"/>
              </w:rPr>
              <w:t>ARTICLE 4</w:t>
            </w:r>
          </w:p>
        </w:tc>
        <w:tc>
          <w:tcPr>
            <w:tcW w:w="210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7300" w:type="dxa"/>
            <w:vAlign w:val="bottom"/>
          </w:tcPr>
          <w:p>
            <w:pPr>
              <w:jc w:val="center"/>
              <w:ind w:left="152"/>
              <w:spacing w:after="0"/>
              <w:rPr>
                <w:sz w:val="20"/>
                <w:szCs w:val="20"/>
                <w:color w:val="auto"/>
              </w:rPr>
            </w:pPr>
            <w:r>
              <w:rPr>
                <w:rFonts w:ascii="Arial" w:cs="Arial" w:eastAsia="Arial" w:hAnsi="Arial"/>
                <w:sz w:val="22"/>
                <w:szCs w:val="22"/>
                <w:color w:val="auto"/>
                <w:w w:val="96"/>
              </w:rPr>
              <w:t>COVENANTS</w:t>
            </w:r>
          </w:p>
        </w:tc>
        <w:tc>
          <w:tcPr>
            <w:tcW w:w="2100" w:type="dxa"/>
            <w:vAlign w:val="bottom"/>
          </w:tcPr>
          <w:p>
            <w:pPr>
              <w:spacing w:after="0"/>
              <w:rPr>
                <w:sz w:val="23"/>
                <w:szCs w:val="23"/>
                <w:color w:val="auto"/>
              </w:rPr>
            </w:pPr>
          </w:p>
        </w:tc>
      </w:tr>
      <w:tr>
        <w:trPr>
          <w:trHeight w:val="792"/>
        </w:trPr>
        <w:tc>
          <w:tcPr>
            <w:tcW w:w="1600" w:type="dxa"/>
            <w:vAlign w:val="bottom"/>
          </w:tcPr>
          <w:p>
            <w:pPr>
              <w:spacing w:after="0"/>
              <w:rPr>
                <w:sz w:val="20"/>
                <w:szCs w:val="20"/>
                <w:color w:val="auto"/>
              </w:rPr>
            </w:pPr>
            <w:r>
              <w:rPr>
                <w:rFonts w:ascii="Arial" w:cs="Arial" w:eastAsia="Arial" w:hAnsi="Arial"/>
                <w:sz w:val="22"/>
                <w:szCs w:val="22"/>
                <w:color w:val="auto"/>
              </w:rPr>
              <w:t>Section 4.01</w:t>
            </w:r>
          </w:p>
        </w:tc>
        <w:tc>
          <w:tcPr>
            <w:tcW w:w="7300" w:type="dxa"/>
            <w:vAlign w:val="bottom"/>
          </w:tcPr>
          <w:p>
            <w:pPr>
              <w:ind w:left="540"/>
              <w:spacing w:after="0"/>
              <w:rPr>
                <w:sz w:val="20"/>
                <w:szCs w:val="20"/>
                <w:color w:val="auto"/>
              </w:rPr>
            </w:pPr>
            <w:r>
              <w:rPr>
                <w:rFonts w:ascii="Arial" w:cs="Arial" w:eastAsia="Arial" w:hAnsi="Arial"/>
                <w:sz w:val="22"/>
                <w:szCs w:val="22"/>
                <w:color w:val="auto"/>
              </w:rPr>
              <w:t>Payment of Notes</w:t>
            </w:r>
          </w:p>
        </w:tc>
        <w:tc>
          <w:tcPr>
            <w:tcW w:w="21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4.02</w:t>
            </w:r>
          </w:p>
        </w:tc>
        <w:tc>
          <w:tcPr>
            <w:tcW w:w="7300" w:type="dxa"/>
            <w:vAlign w:val="bottom"/>
          </w:tcPr>
          <w:p>
            <w:pPr>
              <w:ind w:left="540"/>
              <w:spacing w:after="0"/>
              <w:rPr>
                <w:sz w:val="20"/>
                <w:szCs w:val="20"/>
                <w:color w:val="auto"/>
              </w:rPr>
            </w:pPr>
            <w:r>
              <w:rPr>
                <w:rFonts w:ascii="Arial" w:cs="Arial" w:eastAsia="Arial" w:hAnsi="Arial"/>
                <w:sz w:val="22"/>
                <w:szCs w:val="22"/>
                <w:color w:val="auto"/>
              </w:rPr>
              <w:t>Maintenance of Office or Agency</w:t>
            </w:r>
          </w:p>
        </w:tc>
        <w:tc>
          <w:tcPr>
            <w:tcW w:w="21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4.03</w:t>
            </w:r>
          </w:p>
        </w:tc>
        <w:tc>
          <w:tcPr>
            <w:tcW w:w="7300" w:type="dxa"/>
            <w:vAlign w:val="bottom"/>
          </w:tcPr>
          <w:p>
            <w:pPr>
              <w:ind w:left="540"/>
              <w:spacing w:after="0"/>
              <w:rPr>
                <w:sz w:val="20"/>
                <w:szCs w:val="20"/>
                <w:color w:val="auto"/>
              </w:rPr>
            </w:pPr>
            <w:r>
              <w:rPr>
                <w:rFonts w:ascii="Arial" w:cs="Arial" w:eastAsia="Arial" w:hAnsi="Arial"/>
                <w:sz w:val="22"/>
                <w:szCs w:val="22"/>
                <w:color w:val="auto"/>
              </w:rPr>
              <w:t>Reports</w:t>
            </w:r>
          </w:p>
        </w:tc>
        <w:tc>
          <w:tcPr>
            <w:tcW w:w="2100" w:type="dxa"/>
            <w:vAlign w:val="bottom"/>
          </w:tcPr>
          <w:p>
            <w:pPr>
              <w:jc w:val="right"/>
              <w:spacing w:after="0"/>
              <w:rPr>
                <w:sz w:val="20"/>
                <w:szCs w:val="20"/>
                <w:color w:val="auto"/>
              </w:rPr>
            </w:pPr>
            <w:r>
              <w:rPr>
                <w:rFonts w:ascii="Arial" w:cs="Arial" w:eastAsia="Arial" w:hAnsi="Arial"/>
                <w:sz w:val="22"/>
                <w:szCs w:val="22"/>
                <w:color w:val="auto"/>
              </w:rPr>
              <w:t>59</w:t>
            </w:r>
          </w:p>
        </w:tc>
      </w:tr>
    </w:tbl>
    <w:p>
      <w:pPr>
        <w:sectPr>
          <w:pgSz w:w="11900" w:h="16838" w:orient="portrait"/>
          <w:cols w:equalWidth="0" w:num="1">
            <w:col w:w="11000"/>
          </w:cols>
          <w:pgMar w:left="560" w:top="1419" w:right="339" w:bottom="936"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37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16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i w:val="1"/>
                <w:iCs w:val="1"/>
                <w:color w:val="auto"/>
              </w:rPr>
              <w:t>Page</w:t>
            </w:r>
          </w:p>
        </w:tc>
      </w:tr>
      <w:tr>
        <w:trPr>
          <w:trHeight w:val="542"/>
        </w:trPr>
        <w:tc>
          <w:tcPr>
            <w:tcW w:w="1600" w:type="dxa"/>
            <w:vAlign w:val="bottom"/>
          </w:tcPr>
          <w:p>
            <w:pPr>
              <w:spacing w:after="0"/>
              <w:rPr>
                <w:sz w:val="20"/>
                <w:szCs w:val="20"/>
                <w:color w:val="auto"/>
              </w:rPr>
            </w:pPr>
            <w:r>
              <w:rPr>
                <w:rFonts w:ascii="Arial" w:cs="Arial" w:eastAsia="Arial" w:hAnsi="Arial"/>
                <w:sz w:val="22"/>
                <w:szCs w:val="22"/>
                <w:color w:val="auto"/>
              </w:rPr>
              <w:t>Section 4.04</w:t>
            </w:r>
          </w:p>
        </w:tc>
        <w:tc>
          <w:tcPr>
            <w:tcW w:w="8020" w:type="dxa"/>
            <w:vAlign w:val="bottom"/>
          </w:tcPr>
          <w:p>
            <w:pPr>
              <w:ind w:left="540"/>
              <w:spacing w:after="0"/>
              <w:rPr>
                <w:sz w:val="20"/>
                <w:szCs w:val="20"/>
                <w:color w:val="auto"/>
              </w:rPr>
            </w:pPr>
            <w:r>
              <w:rPr>
                <w:rFonts w:ascii="Arial" w:cs="Arial" w:eastAsia="Arial" w:hAnsi="Arial"/>
                <w:sz w:val="22"/>
                <w:szCs w:val="22"/>
                <w:color w:val="auto"/>
              </w:rPr>
              <w:t>Compliance Certificate</w:t>
            </w:r>
          </w:p>
        </w:tc>
        <w:tc>
          <w:tcPr>
            <w:tcW w:w="13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4.05</w:t>
            </w:r>
          </w:p>
        </w:tc>
        <w:tc>
          <w:tcPr>
            <w:tcW w:w="8020" w:type="dxa"/>
            <w:vAlign w:val="bottom"/>
          </w:tcPr>
          <w:p>
            <w:pPr>
              <w:ind w:left="540"/>
              <w:spacing w:after="0"/>
              <w:rPr>
                <w:sz w:val="20"/>
                <w:szCs w:val="20"/>
                <w:color w:val="auto"/>
              </w:rPr>
            </w:pPr>
            <w:r>
              <w:rPr>
                <w:rFonts w:ascii="Arial" w:cs="Arial" w:eastAsia="Arial" w:hAnsi="Arial"/>
                <w:sz w:val="22"/>
                <w:szCs w:val="22"/>
                <w:color w:val="auto"/>
              </w:rPr>
              <w:t>Taxes</w:t>
            </w:r>
          </w:p>
        </w:tc>
        <w:tc>
          <w:tcPr>
            <w:tcW w:w="13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4.06</w:t>
            </w:r>
          </w:p>
        </w:tc>
        <w:tc>
          <w:tcPr>
            <w:tcW w:w="8020" w:type="dxa"/>
            <w:vAlign w:val="bottom"/>
          </w:tcPr>
          <w:p>
            <w:pPr>
              <w:ind w:left="540"/>
              <w:spacing w:after="0"/>
              <w:rPr>
                <w:sz w:val="20"/>
                <w:szCs w:val="20"/>
                <w:color w:val="auto"/>
              </w:rPr>
            </w:pPr>
            <w:r>
              <w:rPr>
                <w:rFonts w:ascii="Arial" w:cs="Arial" w:eastAsia="Arial" w:hAnsi="Arial"/>
                <w:sz w:val="22"/>
                <w:szCs w:val="22"/>
                <w:color w:val="auto"/>
              </w:rPr>
              <w:t>Stay, Extension and Usury Laws</w:t>
            </w:r>
          </w:p>
        </w:tc>
        <w:tc>
          <w:tcPr>
            <w:tcW w:w="13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4.07</w:t>
            </w:r>
          </w:p>
        </w:tc>
        <w:tc>
          <w:tcPr>
            <w:tcW w:w="8020" w:type="dxa"/>
            <w:vAlign w:val="bottom"/>
          </w:tcPr>
          <w:p>
            <w:pPr>
              <w:ind w:left="540"/>
              <w:spacing w:after="0"/>
              <w:rPr>
                <w:sz w:val="20"/>
                <w:szCs w:val="20"/>
                <w:color w:val="auto"/>
              </w:rPr>
            </w:pPr>
            <w:r>
              <w:rPr>
                <w:rFonts w:ascii="Arial" w:cs="Arial" w:eastAsia="Arial" w:hAnsi="Arial"/>
                <w:sz w:val="22"/>
                <w:szCs w:val="22"/>
                <w:color w:val="auto"/>
              </w:rPr>
              <w:t>Restricted 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4.08</w:t>
            </w:r>
          </w:p>
        </w:tc>
        <w:tc>
          <w:tcPr>
            <w:tcW w:w="8020" w:type="dxa"/>
            <w:vAlign w:val="bottom"/>
          </w:tcPr>
          <w:p>
            <w:pPr>
              <w:ind w:left="540"/>
              <w:spacing w:after="0"/>
              <w:rPr>
                <w:sz w:val="20"/>
                <w:szCs w:val="20"/>
                <w:color w:val="auto"/>
              </w:rPr>
            </w:pPr>
            <w:r>
              <w:rPr>
                <w:rFonts w:ascii="Arial" w:cs="Arial" w:eastAsia="Arial" w:hAnsi="Arial"/>
                <w:sz w:val="22"/>
                <w:szCs w:val="22"/>
                <w:color w:val="auto"/>
              </w:rPr>
              <w:t>Dividend and Other Payment Restrictions Affecting Restricted Subsidiaries</w:t>
            </w:r>
          </w:p>
        </w:tc>
        <w:tc>
          <w:tcPr>
            <w:tcW w:w="13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4.09</w:t>
            </w:r>
          </w:p>
        </w:tc>
        <w:tc>
          <w:tcPr>
            <w:tcW w:w="8020" w:type="dxa"/>
            <w:vAlign w:val="bottom"/>
          </w:tcPr>
          <w:p>
            <w:pPr>
              <w:ind w:left="540"/>
              <w:spacing w:after="0"/>
              <w:rPr>
                <w:sz w:val="20"/>
                <w:szCs w:val="20"/>
                <w:color w:val="auto"/>
              </w:rPr>
            </w:pPr>
            <w:r>
              <w:rPr>
                <w:rFonts w:ascii="Arial" w:cs="Arial" w:eastAsia="Arial" w:hAnsi="Arial"/>
                <w:sz w:val="22"/>
                <w:szCs w:val="22"/>
                <w:color w:val="auto"/>
              </w:rPr>
              <w:t>Incurrence of Indebtedness and Issuance of Preferred Stock</w:t>
            </w:r>
          </w:p>
        </w:tc>
        <w:tc>
          <w:tcPr>
            <w:tcW w:w="13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4.10</w:t>
            </w:r>
          </w:p>
        </w:tc>
        <w:tc>
          <w:tcPr>
            <w:tcW w:w="8020" w:type="dxa"/>
            <w:vAlign w:val="bottom"/>
          </w:tcPr>
          <w:p>
            <w:pPr>
              <w:ind w:left="540"/>
              <w:spacing w:after="0"/>
              <w:rPr>
                <w:sz w:val="20"/>
                <w:szCs w:val="20"/>
                <w:color w:val="auto"/>
              </w:rPr>
            </w:pPr>
            <w:r>
              <w:rPr>
                <w:rFonts w:ascii="Arial" w:cs="Arial" w:eastAsia="Arial" w:hAnsi="Arial"/>
                <w:sz w:val="22"/>
                <w:szCs w:val="22"/>
                <w:color w:val="auto"/>
              </w:rPr>
              <w:t>Asset Sales</w:t>
            </w:r>
          </w:p>
        </w:tc>
        <w:tc>
          <w:tcPr>
            <w:tcW w:w="13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4.11</w:t>
            </w:r>
          </w:p>
        </w:tc>
        <w:tc>
          <w:tcPr>
            <w:tcW w:w="8020" w:type="dxa"/>
            <w:vAlign w:val="bottom"/>
          </w:tcPr>
          <w:p>
            <w:pPr>
              <w:ind w:left="540"/>
              <w:spacing w:after="0"/>
              <w:rPr>
                <w:sz w:val="20"/>
                <w:szCs w:val="20"/>
                <w:color w:val="auto"/>
              </w:rPr>
            </w:pPr>
            <w:r>
              <w:rPr>
                <w:rFonts w:ascii="Arial" w:cs="Arial" w:eastAsia="Arial" w:hAnsi="Arial"/>
                <w:sz w:val="22"/>
                <w:szCs w:val="22"/>
                <w:color w:val="auto"/>
              </w:rPr>
              <w:t>Transactions with Affiliates</w:t>
            </w:r>
          </w:p>
        </w:tc>
        <w:tc>
          <w:tcPr>
            <w:tcW w:w="13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4.12</w:t>
            </w:r>
          </w:p>
        </w:tc>
        <w:tc>
          <w:tcPr>
            <w:tcW w:w="8020" w:type="dxa"/>
            <w:vAlign w:val="bottom"/>
          </w:tcPr>
          <w:p>
            <w:pPr>
              <w:ind w:left="540"/>
              <w:spacing w:after="0"/>
              <w:rPr>
                <w:sz w:val="20"/>
                <w:szCs w:val="20"/>
                <w:color w:val="auto"/>
              </w:rPr>
            </w:pPr>
            <w:r>
              <w:rPr>
                <w:rFonts w:ascii="Arial" w:cs="Arial" w:eastAsia="Arial" w:hAnsi="Arial"/>
                <w:sz w:val="22"/>
                <w:szCs w:val="22"/>
                <w:color w:val="auto"/>
              </w:rPr>
              <w:t>Liens</w:t>
            </w:r>
          </w:p>
        </w:tc>
        <w:tc>
          <w:tcPr>
            <w:tcW w:w="13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4.13</w:t>
            </w:r>
          </w:p>
        </w:tc>
        <w:tc>
          <w:tcPr>
            <w:tcW w:w="802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3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4.14</w:t>
            </w:r>
          </w:p>
        </w:tc>
        <w:tc>
          <w:tcPr>
            <w:tcW w:w="8020" w:type="dxa"/>
            <w:vAlign w:val="bottom"/>
          </w:tcPr>
          <w:p>
            <w:pPr>
              <w:ind w:left="540"/>
              <w:spacing w:after="0"/>
              <w:rPr>
                <w:sz w:val="20"/>
                <w:szCs w:val="20"/>
                <w:color w:val="auto"/>
              </w:rPr>
            </w:pPr>
            <w:r>
              <w:rPr>
                <w:rFonts w:ascii="Arial" w:cs="Arial" w:eastAsia="Arial" w:hAnsi="Arial"/>
                <w:sz w:val="22"/>
                <w:szCs w:val="22"/>
                <w:color w:val="auto"/>
              </w:rPr>
              <w:t>Organization Existence</w:t>
            </w:r>
          </w:p>
        </w:tc>
        <w:tc>
          <w:tcPr>
            <w:tcW w:w="13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4.15</w:t>
            </w:r>
          </w:p>
        </w:tc>
        <w:tc>
          <w:tcPr>
            <w:tcW w:w="8020" w:type="dxa"/>
            <w:vAlign w:val="bottom"/>
          </w:tcPr>
          <w:p>
            <w:pPr>
              <w:ind w:left="540"/>
              <w:spacing w:after="0"/>
              <w:rPr>
                <w:sz w:val="20"/>
                <w:szCs w:val="20"/>
                <w:color w:val="auto"/>
              </w:rPr>
            </w:pPr>
            <w:r>
              <w:rPr>
                <w:rFonts w:ascii="Arial" w:cs="Arial" w:eastAsia="Arial" w:hAnsi="Arial"/>
                <w:sz w:val="22"/>
                <w:szCs w:val="22"/>
                <w:color w:val="auto"/>
              </w:rPr>
              <w:t>Offer to Repurchase Upon Change of Control Triggering Event</w:t>
            </w:r>
          </w:p>
        </w:tc>
        <w:tc>
          <w:tcPr>
            <w:tcW w:w="13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4.16</w:t>
            </w:r>
          </w:p>
        </w:tc>
        <w:tc>
          <w:tcPr>
            <w:tcW w:w="8020" w:type="dxa"/>
            <w:vAlign w:val="bottom"/>
          </w:tcPr>
          <w:p>
            <w:pPr>
              <w:ind w:left="540"/>
              <w:spacing w:after="0"/>
              <w:rPr>
                <w:sz w:val="20"/>
                <w:szCs w:val="20"/>
                <w:color w:val="auto"/>
              </w:rPr>
            </w:pPr>
            <w:r>
              <w:rPr>
                <w:rFonts w:ascii="Arial" w:cs="Arial" w:eastAsia="Arial" w:hAnsi="Arial"/>
                <w:sz w:val="22"/>
                <w:szCs w:val="22"/>
                <w:color w:val="auto"/>
              </w:rPr>
              <w:t>Additional Guarantees</w:t>
            </w:r>
          </w:p>
        </w:tc>
        <w:tc>
          <w:tcPr>
            <w:tcW w:w="13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4.17</w:t>
            </w:r>
          </w:p>
        </w:tc>
        <w:tc>
          <w:tcPr>
            <w:tcW w:w="8020" w:type="dxa"/>
            <w:vAlign w:val="bottom"/>
          </w:tcPr>
          <w:p>
            <w:pPr>
              <w:ind w:left="540"/>
              <w:spacing w:after="0"/>
              <w:rPr>
                <w:sz w:val="20"/>
                <w:szCs w:val="20"/>
                <w:color w:val="auto"/>
              </w:rPr>
            </w:pPr>
            <w:r>
              <w:rPr>
                <w:rFonts w:ascii="Arial" w:cs="Arial" w:eastAsia="Arial" w:hAnsi="Arial"/>
                <w:sz w:val="22"/>
                <w:szCs w:val="22"/>
                <w:color w:val="auto"/>
              </w:rPr>
              <w:t>Designation of Restricted and Unrestricted Subsidiaries</w:t>
            </w:r>
          </w:p>
        </w:tc>
        <w:tc>
          <w:tcPr>
            <w:tcW w:w="138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4.18</w:t>
            </w:r>
          </w:p>
        </w:tc>
        <w:tc>
          <w:tcPr>
            <w:tcW w:w="8020" w:type="dxa"/>
            <w:vAlign w:val="bottom"/>
          </w:tcPr>
          <w:p>
            <w:pPr>
              <w:ind w:left="540"/>
              <w:spacing w:after="0"/>
              <w:rPr>
                <w:sz w:val="20"/>
                <w:szCs w:val="20"/>
                <w:color w:val="auto"/>
              </w:rPr>
            </w:pPr>
            <w:r>
              <w:rPr>
                <w:rFonts w:ascii="Arial" w:cs="Arial" w:eastAsia="Arial" w:hAnsi="Arial"/>
                <w:sz w:val="22"/>
                <w:szCs w:val="22"/>
                <w:color w:val="auto"/>
              </w:rPr>
              <w:t>Covenant Termination</w:t>
            </w:r>
          </w:p>
        </w:tc>
        <w:tc>
          <w:tcPr>
            <w:tcW w:w="138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806"/>
        </w:trPr>
        <w:tc>
          <w:tcPr>
            <w:tcW w:w="1600" w:type="dxa"/>
            <w:vAlign w:val="bottom"/>
          </w:tcPr>
          <w:p>
            <w:pPr>
              <w:spacing w:after="0"/>
              <w:rPr>
                <w:sz w:val="24"/>
                <w:szCs w:val="24"/>
                <w:color w:val="auto"/>
              </w:rPr>
            </w:pPr>
          </w:p>
        </w:tc>
        <w:tc>
          <w:tcPr>
            <w:tcW w:w="8020" w:type="dxa"/>
            <w:vAlign w:val="bottom"/>
          </w:tcPr>
          <w:p>
            <w:pPr>
              <w:jc w:val="center"/>
              <w:ind w:right="332"/>
              <w:spacing w:after="0"/>
              <w:rPr>
                <w:sz w:val="20"/>
                <w:szCs w:val="20"/>
                <w:color w:val="auto"/>
              </w:rPr>
            </w:pPr>
            <w:r>
              <w:rPr>
                <w:rFonts w:ascii="Arial" w:cs="Arial" w:eastAsia="Arial" w:hAnsi="Arial"/>
                <w:sz w:val="22"/>
                <w:szCs w:val="22"/>
                <w:color w:val="auto"/>
                <w:w w:val="95"/>
              </w:rPr>
              <w:t>ARTICLE 5</w:t>
            </w:r>
          </w:p>
        </w:tc>
        <w:tc>
          <w:tcPr>
            <w:tcW w:w="138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020" w:type="dxa"/>
            <w:vAlign w:val="bottom"/>
          </w:tcPr>
          <w:p>
            <w:pPr>
              <w:jc w:val="center"/>
              <w:ind w:right="352"/>
              <w:spacing w:after="0"/>
              <w:rPr>
                <w:sz w:val="20"/>
                <w:szCs w:val="20"/>
                <w:color w:val="auto"/>
              </w:rPr>
            </w:pPr>
            <w:r>
              <w:rPr>
                <w:rFonts w:ascii="Arial" w:cs="Arial" w:eastAsia="Arial" w:hAnsi="Arial"/>
                <w:sz w:val="22"/>
                <w:szCs w:val="22"/>
                <w:color w:val="auto"/>
                <w:w w:val="88"/>
              </w:rPr>
              <w:t>SUCCESSORS</w:t>
            </w:r>
          </w:p>
        </w:tc>
        <w:tc>
          <w:tcPr>
            <w:tcW w:w="138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5.01</w:t>
            </w:r>
          </w:p>
        </w:tc>
        <w:tc>
          <w:tcPr>
            <w:tcW w:w="8020" w:type="dxa"/>
            <w:vAlign w:val="bottom"/>
          </w:tcPr>
          <w:p>
            <w:pPr>
              <w:ind w:left="540"/>
              <w:spacing w:after="0"/>
              <w:rPr>
                <w:sz w:val="20"/>
                <w:szCs w:val="20"/>
                <w:color w:val="auto"/>
              </w:rPr>
            </w:pPr>
            <w:r>
              <w:rPr>
                <w:rFonts w:ascii="Arial" w:cs="Arial" w:eastAsia="Arial" w:hAnsi="Arial"/>
                <w:sz w:val="22"/>
                <w:szCs w:val="22"/>
                <w:color w:val="auto"/>
              </w:rPr>
              <w:t>Merger, Consolidation or Sale of Assets</w:t>
            </w:r>
          </w:p>
        </w:tc>
        <w:tc>
          <w:tcPr>
            <w:tcW w:w="13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5.02</w:t>
            </w:r>
          </w:p>
        </w:tc>
        <w:tc>
          <w:tcPr>
            <w:tcW w:w="8020" w:type="dxa"/>
            <w:vAlign w:val="bottom"/>
          </w:tcPr>
          <w:p>
            <w:pPr>
              <w:ind w:left="540"/>
              <w:spacing w:after="0"/>
              <w:rPr>
                <w:sz w:val="20"/>
                <w:szCs w:val="20"/>
                <w:color w:val="auto"/>
              </w:rPr>
            </w:pPr>
            <w:r>
              <w:rPr>
                <w:rFonts w:ascii="Arial" w:cs="Arial" w:eastAsia="Arial" w:hAnsi="Arial"/>
                <w:sz w:val="22"/>
                <w:szCs w:val="22"/>
                <w:color w:val="auto"/>
              </w:rPr>
              <w:t>Successor Issuer Substituted</w:t>
            </w:r>
          </w:p>
        </w:tc>
        <w:tc>
          <w:tcPr>
            <w:tcW w:w="13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549"/>
        </w:trPr>
        <w:tc>
          <w:tcPr>
            <w:tcW w:w="1600" w:type="dxa"/>
            <w:vAlign w:val="bottom"/>
          </w:tcPr>
          <w:p>
            <w:pPr>
              <w:spacing w:after="0"/>
              <w:rPr>
                <w:sz w:val="24"/>
                <w:szCs w:val="24"/>
                <w:color w:val="auto"/>
              </w:rPr>
            </w:pPr>
          </w:p>
        </w:tc>
        <w:tc>
          <w:tcPr>
            <w:tcW w:w="8020" w:type="dxa"/>
            <w:vAlign w:val="bottom"/>
          </w:tcPr>
          <w:p>
            <w:pPr>
              <w:jc w:val="center"/>
              <w:ind w:right="332"/>
              <w:spacing w:after="0"/>
              <w:rPr>
                <w:sz w:val="20"/>
                <w:szCs w:val="20"/>
                <w:color w:val="auto"/>
              </w:rPr>
            </w:pPr>
            <w:r>
              <w:rPr>
                <w:rFonts w:ascii="Arial" w:cs="Arial" w:eastAsia="Arial" w:hAnsi="Arial"/>
                <w:sz w:val="22"/>
                <w:szCs w:val="22"/>
                <w:color w:val="auto"/>
                <w:w w:val="95"/>
              </w:rPr>
              <w:t>ARTICLE 6</w:t>
            </w:r>
          </w:p>
        </w:tc>
        <w:tc>
          <w:tcPr>
            <w:tcW w:w="138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020" w:type="dxa"/>
            <w:vAlign w:val="bottom"/>
          </w:tcPr>
          <w:p>
            <w:pPr>
              <w:jc w:val="center"/>
              <w:ind w:right="352"/>
              <w:spacing w:after="0"/>
              <w:rPr>
                <w:sz w:val="20"/>
                <w:szCs w:val="20"/>
                <w:color w:val="auto"/>
              </w:rPr>
            </w:pPr>
            <w:r>
              <w:rPr>
                <w:rFonts w:ascii="Arial" w:cs="Arial" w:eastAsia="Arial" w:hAnsi="Arial"/>
                <w:sz w:val="22"/>
                <w:szCs w:val="22"/>
                <w:color w:val="auto"/>
                <w:w w:val="94"/>
              </w:rPr>
              <w:t>DEFAULTS AND REMEDIES</w:t>
            </w:r>
          </w:p>
        </w:tc>
        <w:tc>
          <w:tcPr>
            <w:tcW w:w="138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6.01</w:t>
            </w:r>
          </w:p>
        </w:tc>
        <w:tc>
          <w:tcPr>
            <w:tcW w:w="8020" w:type="dxa"/>
            <w:vAlign w:val="bottom"/>
          </w:tcPr>
          <w:p>
            <w:pPr>
              <w:ind w:left="540"/>
              <w:spacing w:after="0"/>
              <w:rPr>
                <w:sz w:val="20"/>
                <w:szCs w:val="20"/>
                <w:color w:val="auto"/>
              </w:rPr>
            </w:pPr>
            <w:r>
              <w:rPr>
                <w:rFonts w:ascii="Arial" w:cs="Arial" w:eastAsia="Arial" w:hAnsi="Arial"/>
                <w:sz w:val="22"/>
                <w:szCs w:val="22"/>
                <w:color w:val="auto"/>
              </w:rPr>
              <w:t>Events of Default</w:t>
            </w:r>
          </w:p>
        </w:tc>
        <w:tc>
          <w:tcPr>
            <w:tcW w:w="13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6.02</w:t>
            </w:r>
          </w:p>
        </w:tc>
        <w:tc>
          <w:tcPr>
            <w:tcW w:w="8020" w:type="dxa"/>
            <w:vAlign w:val="bottom"/>
          </w:tcPr>
          <w:p>
            <w:pPr>
              <w:ind w:left="540"/>
              <w:spacing w:after="0"/>
              <w:rPr>
                <w:sz w:val="20"/>
                <w:szCs w:val="20"/>
                <w:color w:val="auto"/>
              </w:rPr>
            </w:pPr>
            <w:r>
              <w:rPr>
                <w:rFonts w:ascii="Arial" w:cs="Arial" w:eastAsia="Arial" w:hAnsi="Arial"/>
                <w:sz w:val="22"/>
                <w:szCs w:val="22"/>
                <w:color w:val="auto"/>
              </w:rPr>
              <w:t>Acceleration</w:t>
            </w:r>
          </w:p>
        </w:tc>
        <w:tc>
          <w:tcPr>
            <w:tcW w:w="13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6.03</w:t>
            </w:r>
          </w:p>
        </w:tc>
        <w:tc>
          <w:tcPr>
            <w:tcW w:w="8020" w:type="dxa"/>
            <w:vAlign w:val="bottom"/>
          </w:tcPr>
          <w:p>
            <w:pPr>
              <w:ind w:left="540"/>
              <w:spacing w:after="0"/>
              <w:rPr>
                <w:sz w:val="20"/>
                <w:szCs w:val="20"/>
                <w:color w:val="auto"/>
              </w:rPr>
            </w:pPr>
            <w:r>
              <w:rPr>
                <w:rFonts w:ascii="Arial" w:cs="Arial" w:eastAsia="Arial" w:hAnsi="Arial"/>
                <w:sz w:val="22"/>
                <w:szCs w:val="22"/>
                <w:color w:val="auto"/>
              </w:rPr>
              <w:t>Other Remedies</w:t>
            </w:r>
          </w:p>
        </w:tc>
        <w:tc>
          <w:tcPr>
            <w:tcW w:w="13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6.04</w:t>
            </w:r>
          </w:p>
        </w:tc>
        <w:tc>
          <w:tcPr>
            <w:tcW w:w="8020" w:type="dxa"/>
            <w:vAlign w:val="bottom"/>
          </w:tcPr>
          <w:p>
            <w:pPr>
              <w:ind w:left="540"/>
              <w:spacing w:after="0"/>
              <w:rPr>
                <w:sz w:val="20"/>
                <w:szCs w:val="20"/>
                <w:color w:val="auto"/>
              </w:rPr>
            </w:pPr>
            <w:r>
              <w:rPr>
                <w:rFonts w:ascii="Arial" w:cs="Arial" w:eastAsia="Arial" w:hAnsi="Arial"/>
                <w:sz w:val="22"/>
                <w:szCs w:val="22"/>
                <w:color w:val="auto"/>
              </w:rPr>
              <w:t>Waiver of Past Defaults</w:t>
            </w:r>
          </w:p>
        </w:tc>
        <w:tc>
          <w:tcPr>
            <w:tcW w:w="13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6.05</w:t>
            </w:r>
          </w:p>
        </w:tc>
        <w:tc>
          <w:tcPr>
            <w:tcW w:w="8020" w:type="dxa"/>
            <w:vAlign w:val="bottom"/>
          </w:tcPr>
          <w:p>
            <w:pPr>
              <w:ind w:left="540"/>
              <w:spacing w:after="0"/>
              <w:rPr>
                <w:sz w:val="20"/>
                <w:szCs w:val="20"/>
                <w:color w:val="auto"/>
              </w:rPr>
            </w:pPr>
            <w:r>
              <w:rPr>
                <w:rFonts w:ascii="Arial" w:cs="Arial" w:eastAsia="Arial" w:hAnsi="Arial"/>
                <w:sz w:val="22"/>
                <w:szCs w:val="22"/>
                <w:color w:val="auto"/>
              </w:rPr>
              <w:t>Control by Majority</w:t>
            </w:r>
          </w:p>
        </w:tc>
        <w:tc>
          <w:tcPr>
            <w:tcW w:w="13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6.06</w:t>
            </w:r>
          </w:p>
        </w:tc>
        <w:tc>
          <w:tcPr>
            <w:tcW w:w="8020" w:type="dxa"/>
            <w:vAlign w:val="bottom"/>
          </w:tcPr>
          <w:p>
            <w:pPr>
              <w:ind w:left="540"/>
              <w:spacing w:after="0"/>
              <w:rPr>
                <w:sz w:val="20"/>
                <w:szCs w:val="20"/>
                <w:color w:val="auto"/>
              </w:rPr>
            </w:pPr>
            <w:r>
              <w:rPr>
                <w:rFonts w:ascii="Arial" w:cs="Arial" w:eastAsia="Arial" w:hAnsi="Arial"/>
                <w:sz w:val="22"/>
                <w:szCs w:val="22"/>
                <w:color w:val="auto"/>
              </w:rPr>
              <w:t>Limitation on Suits</w:t>
            </w:r>
          </w:p>
        </w:tc>
        <w:tc>
          <w:tcPr>
            <w:tcW w:w="13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6.07</w:t>
            </w:r>
          </w:p>
        </w:tc>
        <w:tc>
          <w:tcPr>
            <w:tcW w:w="8020" w:type="dxa"/>
            <w:vAlign w:val="bottom"/>
          </w:tcPr>
          <w:p>
            <w:pPr>
              <w:ind w:left="540"/>
              <w:spacing w:after="0"/>
              <w:rPr>
                <w:sz w:val="20"/>
                <w:szCs w:val="20"/>
                <w:color w:val="auto"/>
              </w:rPr>
            </w:pPr>
            <w:r>
              <w:rPr>
                <w:rFonts w:ascii="Arial" w:cs="Arial" w:eastAsia="Arial" w:hAnsi="Arial"/>
                <w:sz w:val="22"/>
                <w:szCs w:val="22"/>
                <w:color w:val="auto"/>
              </w:rPr>
              <w:t>Rights of Holders of Notes to Receive Payment</w:t>
            </w:r>
          </w:p>
        </w:tc>
        <w:tc>
          <w:tcPr>
            <w:tcW w:w="13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6.08</w:t>
            </w:r>
          </w:p>
        </w:tc>
        <w:tc>
          <w:tcPr>
            <w:tcW w:w="8020" w:type="dxa"/>
            <w:vAlign w:val="bottom"/>
          </w:tcPr>
          <w:p>
            <w:pPr>
              <w:ind w:left="540"/>
              <w:spacing w:after="0"/>
              <w:rPr>
                <w:sz w:val="20"/>
                <w:szCs w:val="20"/>
                <w:color w:val="auto"/>
              </w:rPr>
            </w:pPr>
            <w:r>
              <w:rPr>
                <w:rFonts w:ascii="Arial" w:cs="Arial" w:eastAsia="Arial" w:hAnsi="Arial"/>
                <w:sz w:val="22"/>
                <w:szCs w:val="22"/>
                <w:color w:val="auto"/>
              </w:rPr>
              <w:t>Collection Suit by Trustee</w:t>
            </w:r>
          </w:p>
        </w:tc>
        <w:tc>
          <w:tcPr>
            <w:tcW w:w="13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6.09</w:t>
            </w:r>
          </w:p>
        </w:tc>
        <w:tc>
          <w:tcPr>
            <w:tcW w:w="8020" w:type="dxa"/>
            <w:vAlign w:val="bottom"/>
          </w:tcPr>
          <w:p>
            <w:pPr>
              <w:ind w:left="540"/>
              <w:spacing w:after="0"/>
              <w:rPr>
                <w:sz w:val="20"/>
                <w:szCs w:val="20"/>
                <w:color w:val="auto"/>
              </w:rPr>
            </w:pPr>
            <w:r>
              <w:rPr>
                <w:rFonts w:ascii="Arial" w:cs="Arial" w:eastAsia="Arial" w:hAnsi="Arial"/>
                <w:sz w:val="22"/>
                <w:szCs w:val="22"/>
                <w:color w:val="auto"/>
              </w:rPr>
              <w:t>Trustee May File Proofs of Claim</w:t>
            </w:r>
          </w:p>
        </w:tc>
        <w:tc>
          <w:tcPr>
            <w:tcW w:w="13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6.10</w:t>
            </w:r>
          </w:p>
        </w:tc>
        <w:tc>
          <w:tcPr>
            <w:tcW w:w="8020" w:type="dxa"/>
            <w:vAlign w:val="bottom"/>
          </w:tcPr>
          <w:p>
            <w:pPr>
              <w:ind w:left="540"/>
              <w:spacing w:after="0"/>
              <w:rPr>
                <w:sz w:val="20"/>
                <w:szCs w:val="20"/>
                <w:color w:val="auto"/>
              </w:rPr>
            </w:pPr>
            <w:r>
              <w:rPr>
                <w:rFonts w:ascii="Arial" w:cs="Arial" w:eastAsia="Arial" w:hAnsi="Arial"/>
                <w:sz w:val="22"/>
                <w:szCs w:val="22"/>
                <w:color w:val="auto"/>
              </w:rPr>
              <w:t>Priorities</w:t>
            </w:r>
          </w:p>
        </w:tc>
        <w:tc>
          <w:tcPr>
            <w:tcW w:w="13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6.11</w:t>
            </w:r>
          </w:p>
        </w:tc>
        <w:tc>
          <w:tcPr>
            <w:tcW w:w="8020" w:type="dxa"/>
            <w:vAlign w:val="bottom"/>
          </w:tcPr>
          <w:p>
            <w:pPr>
              <w:ind w:left="540"/>
              <w:spacing w:after="0"/>
              <w:rPr>
                <w:sz w:val="20"/>
                <w:szCs w:val="20"/>
                <w:color w:val="auto"/>
              </w:rPr>
            </w:pPr>
            <w:r>
              <w:rPr>
                <w:rFonts w:ascii="Arial" w:cs="Arial" w:eastAsia="Arial" w:hAnsi="Arial"/>
                <w:sz w:val="22"/>
                <w:szCs w:val="22"/>
                <w:color w:val="auto"/>
              </w:rPr>
              <w:t>Undertaking for Costs</w:t>
            </w:r>
          </w:p>
        </w:tc>
        <w:tc>
          <w:tcPr>
            <w:tcW w:w="13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63"/>
        </w:trPr>
        <w:tc>
          <w:tcPr>
            <w:tcW w:w="1600" w:type="dxa"/>
            <w:vAlign w:val="bottom"/>
          </w:tcPr>
          <w:p>
            <w:pPr>
              <w:spacing w:after="0"/>
              <w:rPr>
                <w:sz w:val="24"/>
                <w:szCs w:val="24"/>
                <w:color w:val="auto"/>
              </w:rPr>
            </w:pPr>
          </w:p>
        </w:tc>
        <w:tc>
          <w:tcPr>
            <w:tcW w:w="8020" w:type="dxa"/>
            <w:vAlign w:val="bottom"/>
          </w:tcPr>
          <w:p>
            <w:pPr>
              <w:jc w:val="center"/>
              <w:ind w:right="332"/>
              <w:spacing w:after="0"/>
              <w:rPr>
                <w:sz w:val="20"/>
                <w:szCs w:val="20"/>
                <w:color w:val="auto"/>
              </w:rPr>
            </w:pPr>
            <w:r>
              <w:rPr>
                <w:rFonts w:ascii="Arial" w:cs="Arial" w:eastAsia="Arial" w:hAnsi="Arial"/>
                <w:sz w:val="22"/>
                <w:szCs w:val="22"/>
                <w:color w:val="auto"/>
                <w:w w:val="95"/>
              </w:rPr>
              <w:t>ARTICLE 7</w:t>
            </w:r>
          </w:p>
        </w:tc>
        <w:tc>
          <w:tcPr>
            <w:tcW w:w="1380" w:type="dxa"/>
            <w:vAlign w:val="bottom"/>
          </w:tcPr>
          <w:p>
            <w:pPr>
              <w:spacing w:after="0"/>
              <w:rPr>
                <w:sz w:val="24"/>
                <w:szCs w:val="24"/>
                <w:color w:val="auto"/>
              </w:rPr>
            </w:pPr>
          </w:p>
        </w:tc>
      </w:tr>
      <w:tr>
        <w:trPr>
          <w:trHeight w:val="274"/>
        </w:trPr>
        <w:tc>
          <w:tcPr>
            <w:tcW w:w="1600" w:type="dxa"/>
            <w:vAlign w:val="bottom"/>
          </w:tcPr>
          <w:p>
            <w:pPr>
              <w:spacing w:after="0"/>
              <w:rPr>
                <w:sz w:val="23"/>
                <w:szCs w:val="23"/>
                <w:color w:val="auto"/>
              </w:rPr>
            </w:pPr>
          </w:p>
        </w:tc>
        <w:tc>
          <w:tcPr>
            <w:tcW w:w="8020" w:type="dxa"/>
            <w:vAlign w:val="bottom"/>
          </w:tcPr>
          <w:p>
            <w:pPr>
              <w:jc w:val="center"/>
              <w:ind w:right="332"/>
              <w:spacing w:after="0"/>
              <w:rPr>
                <w:sz w:val="20"/>
                <w:szCs w:val="20"/>
                <w:color w:val="auto"/>
              </w:rPr>
            </w:pPr>
            <w:r>
              <w:rPr>
                <w:rFonts w:ascii="Arial" w:cs="Arial" w:eastAsia="Arial" w:hAnsi="Arial"/>
                <w:sz w:val="22"/>
                <w:szCs w:val="22"/>
                <w:color w:val="auto"/>
                <w:w w:val="91"/>
              </w:rPr>
              <w:t>TRUSTEE</w:t>
            </w:r>
          </w:p>
        </w:tc>
        <w:tc>
          <w:tcPr>
            <w:tcW w:w="1380" w:type="dxa"/>
            <w:vAlign w:val="bottom"/>
          </w:tcPr>
          <w:p>
            <w:pPr>
              <w:spacing w:after="0"/>
              <w:rPr>
                <w:sz w:val="23"/>
                <w:szCs w:val="23"/>
                <w:color w:val="auto"/>
              </w:rPr>
            </w:pPr>
          </w:p>
        </w:tc>
      </w:tr>
      <w:tr>
        <w:trPr>
          <w:trHeight w:val="549"/>
        </w:trPr>
        <w:tc>
          <w:tcPr>
            <w:tcW w:w="1600" w:type="dxa"/>
            <w:vAlign w:val="bottom"/>
          </w:tcPr>
          <w:p>
            <w:pPr>
              <w:spacing w:after="0"/>
              <w:rPr>
                <w:sz w:val="20"/>
                <w:szCs w:val="20"/>
                <w:color w:val="auto"/>
              </w:rPr>
            </w:pPr>
            <w:r>
              <w:rPr>
                <w:rFonts w:ascii="Arial" w:cs="Arial" w:eastAsia="Arial" w:hAnsi="Arial"/>
                <w:sz w:val="22"/>
                <w:szCs w:val="22"/>
                <w:color w:val="auto"/>
              </w:rPr>
              <w:t>Section 7.01</w:t>
            </w:r>
          </w:p>
        </w:tc>
        <w:tc>
          <w:tcPr>
            <w:tcW w:w="8020" w:type="dxa"/>
            <w:vAlign w:val="bottom"/>
          </w:tcPr>
          <w:p>
            <w:pPr>
              <w:ind w:left="540"/>
              <w:spacing w:after="0"/>
              <w:rPr>
                <w:sz w:val="20"/>
                <w:szCs w:val="20"/>
                <w:color w:val="auto"/>
              </w:rPr>
            </w:pPr>
            <w:r>
              <w:rPr>
                <w:rFonts w:ascii="Arial" w:cs="Arial" w:eastAsia="Arial" w:hAnsi="Arial"/>
                <w:sz w:val="22"/>
                <w:szCs w:val="22"/>
                <w:color w:val="auto"/>
              </w:rPr>
              <w:t>Duties of Trustee</w:t>
            </w:r>
          </w:p>
        </w:tc>
        <w:tc>
          <w:tcPr>
            <w:tcW w:w="13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7.02</w:t>
            </w:r>
          </w:p>
        </w:tc>
        <w:tc>
          <w:tcPr>
            <w:tcW w:w="8020" w:type="dxa"/>
            <w:vAlign w:val="bottom"/>
          </w:tcPr>
          <w:p>
            <w:pPr>
              <w:ind w:left="540"/>
              <w:spacing w:after="0"/>
              <w:rPr>
                <w:sz w:val="20"/>
                <w:szCs w:val="20"/>
                <w:color w:val="auto"/>
              </w:rPr>
            </w:pPr>
            <w:r>
              <w:rPr>
                <w:rFonts w:ascii="Arial" w:cs="Arial" w:eastAsia="Arial" w:hAnsi="Arial"/>
                <w:sz w:val="22"/>
                <w:szCs w:val="22"/>
                <w:color w:val="auto"/>
              </w:rPr>
              <w:t>Rights of Trustee</w:t>
            </w:r>
          </w:p>
        </w:tc>
        <w:tc>
          <w:tcPr>
            <w:tcW w:w="13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7.03</w:t>
            </w:r>
          </w:p>
        </w:tc>
        <w:tc>
          <w:tcPr>
            <w:tcW w:w="8020" w:type="dxa"/>
            <w:vAlign w:val="bottom"/>
          </w:tcPr>
          <w:p>
            <w:pPr>
              <w:ind w:left="540"/>
              <w:spacing w:after="0"/>
              <w:rPr>
                <w:sz w:val="20"/>
                <w:szCs w:val="20"/>
                <w:color w:val="auto"/>
              </w:rPr>
            </w:pPr>
            <w:r>
              <w:rPr>
                <w:rFonts w:ascii="Arial" w:cs="Arial" w:eastAsia="Arial" w:hAnsi="Arial"/>
                <w:sz w:val="22"/>
                <w:szCs w:val="22"/>
                <w:color w:val="auto"/>
              </w:rPr>
              <w:t>Individual Rights of Trustee</w:t>
            </w:r>
          </w:p>
        </w:tc>
        <w:tc>
          <w:tcPr>
            <w:tcW w:w="13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7.04</w:t>
            </w:r>
          </w:p>
        </w:tc>
        <w:tc>
          <w:tcPr>
            <w:tcW w:w="8020" w:type="dxa"/>
            <w:vAlign w:val="bottom"/>
          </w:tcPr>
          <w:p>
            <w:pPr>
              <w:ind w:left="540"/>
              <w:spacing w:after="0"/>
              <w:rPr>
                <w:sz w:val="20"/>
                <w:szCs w:val="20"/>
                <w:color w:val="auto"/>
              </w:rPr>
            </w:pPr>
            <w:r>
              <w:rPr>
                <w:rFonts w:ascii="Arial" w:cs="Arial" w:eastAsia="Arial" w:hAnsi="Arial"/>
                <w:sz w:val="22"/>
                <w:szCs w:val="22"/>
                <w:color w:val="auto"/>
              </w:rPr>
              <w:t>Trustee’s Disclaimer</w:t>
            </w:r>
          </w:p>
        </w:tc>
        <w:tc>
          <w:tcPr>
            <w:tcW w:w="13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7.05</w:t>
            </w:r>
          </w:p>
        </w:tc>
        <w:tc>
          <w:tcPr>
            <w:tcW w:w="8020" w:type="dxa"/>
            <w:vAlign w:val="bottom"/>
          </w:tcPr>
          <w:p>
            <w:pPr>
              <w:ind w:left="540"/>
              <w:spacing w:after="0"/>
              <w:rPr>
                <w:sz w:val="20"/>
                <w:szCs w:val="20"/>
                <w:color w:val="auto"/>
              </w:rPr>
            </w:pPr>
            <w:r>
              <w:rPr>
                <w:rFonts w:ascii="Arial" w:cs="Arial" w:eastAsia="Arial" w:hAnsi="Arial"/>
                <w:sz w:val="22"/>
                <w:szCs w:val="22"/>
                <w:color w:val="auto"/>
              </w:rPr>
              <w:t>Notice of Defaults</w:t>
            </w:r>
          </w:p>
        </w:tc>
        <w:tc>
          <w:tcPr>
            <w:tcW w:w="13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7.06</w:t>
            </w:r>
          </w:p>
        </w:tc>
        <w:tc>
          <w:tcPr>
            <w:tcW w:w="8020" w:type="dxa"/>
            <w:vAlign w:val="bottom"/>
          </w:tcPr>
          <w:p>
            <w:pPr>
              <w:ind w:left="540"/>
              <w:spacing w:after="0"/>
              <w:rPr>
                <w:sz w:val="20"/>
                <w:szCs w:val="20"/>
                <w:color w:val="auto"/>
              </w:rPr>
            </w:pPr>
            <w:r>
              <w:rPr>
                <w:rFonts w:ascii="Arial" w:cs="Arial" w:eastAsia="Arial" w:hAnsi="Arial"/>
                <w:sz w:val="22"/>
                <w:szCs w:val="22"/>
                <w:color w:val="auto"/>
              </w:rPr>
              <w:t>[Reserved]</w:t>
            </w:r>
          </w:p>
        </w:tc>
        <w:tc>
          <w:tcPr>
            <w:tcW w:w="13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7.07</w:t>
            </w:r>
          </w:p>
        </w:tc>
        <w:tc>
          <w:tcPr>
            <w:tcW w:w="8020" w:type="dxa"/>
            <w:vAlign w:val="bottom"/>
          </w:tcPr>
          <w:p>
            <w:pPr>
              <w:ind w:left="540"/>
              <w:spacing w:after="0"/>
              <w:rPr>
                <w:sz w:val="20"/>
                <w:szCs w:val="20"/>
                <w:color w:val="auto"/>
              </w:rPr>
            </w:pPr>
            <w:r>
              <w:rPr>
                <w:rFonts w:ascii="Arial" w:cs="Arial" w:eastAsia="Arial" w:hAnsi="Arial"/>
                <w:sz w:val="22"/>
                <w:szCs w:val="22"/>
                <w:color w:val="auto"/>
              </w:rPr>
              <w:t>Compensation and Indemnity</w:t>
            </w:r>
          </w:p>
        </w:tc>
        <w:tc>
          <w:tcPr>
            <w:tcW w:w="13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1600" w:type="dxa"/>
            <w:vAlign w:val="bottom"/>
          </w:tcPr>
          <w:p>
            <w:pPr>
              <w:spacing w:after="0"/>
              <w:rPr>
                <w:sz w:val="20"/>
                <w:szCs w:val="20"/>
                <w:color w:val="auto"/>
              </w:rPr>
            </w:pPr>
            <w:r>
              <w:rPr>
                <w:rFonts w:ascii="Arial" w:cs="Arial" w:eastAsia="Arial" w:hAnsi="Arial"/>
                <w:sz w:val="22"/>
                <w:szCs w:val="22"/>
                <w:color w:val="auto"/>
              </w:rPr>
              <w:t>Section 7.08</w:t>
            </w:r>
          </w:p>
        </w:tc>
        <w:tc>
          <w:tcPr>
            <w:tcW w:w="8020" w:type="dxa"/>
            <w:vAlign w:val="bottom"/>
          </w:tcPr>
          <w:p>
            <w:pPr>
              <w:ind w:left="540"/>
              <w:spacing w:after="0"/>
              <w:rPr>
                <w:sz w:val="20"/>
                <w:szCs w:val="20"/>
                <w:color w:val="auto"/>
              </w:rPr>
            </w:pPr>
            <w:r>
              <w:rPr>
                <w:rFonts w:ascii="Arial" w:cs="Arial" w:eastAsia="Arial" w:hAnsi="Arial"/>
                <w:sz w:val="22"/>
                <w:szCs w:val="22"/>
                <w:color w:val="auto"/>
              </w:rPr>
              <w:t>Replacement of Trustee</w:t>
            </w:r>
          </w:p>
        </w:tc>
        <w:tc>
          <w:tcPr>
            <w:tcW w:w="13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7.09</w:t>
            </w:r>
          </w:p>
        </w:tc>
        <w:tc>
          <w:tcPr>
            <w:tcW w:w="8020" w:type="dxa"/>
            <w:vAlign w:val="bottom"/>
          </w:tcPr>
          <w:p>
            <w:pPr>
              <w:ind w:left="540"/>
              <w:spacing w:after="0"/>
              <w:rPr>
                <w:sz w:val="20"/>
                <w:szCs w:val="20"/>
                <w:color w:val="auto"/>
              </w:rPr>
            </w:pPr>
            <w:r>
              <w:rPr>
                <w:rFonts w:ascii="Arial" w:cs="Arial" w:eastAsia="Arial" w:hAnsi="Arial"/>
                <w:sz w:val="22"/>
                <w:szCs w:val="22"/>
                <w:color w:val="auto"/>
              </w:rPr>
              <w:t>Successor Trustee by Merger, etc.</w:t>
            </w:r>
          </w:p>
        </w:tc>
        <w:tc>
          <w:tcPr>
            <w:tcW w:w="1380" w:type="dxa"/>
            <w:vAlign w:val="bottom"/>
          </w:tcPr>
          <w:p>
            <w:pPr>
              <w:jc w:val="right"/>
              <w:spacing w:after="0"/>
              <w:rPr>
                <w:sz w:val="20"/>
                <w:szCs w:val="20"/>
                <w:color w:val="auto"/>
              </w:rPr>
            </w:pPr>
            <w:r>
              <w:rPr>
                <w:rFonts w:ascii="Arial" w:cs="Arial" w:eastAsia="Arial" w:hAnsi="Arial"/>
                <w:sz w:val="22"/>
                <w:szCs w:val="22"/>
                <w:color w:val="auto"/>
              </w:rPr>
              <w:t>92</w:t>
            </w:r>
          </w:p>
        </w:tc>
      </w:tr>
    </w:tbl>
    <w:p>
      <w:pPr>
        <w:sectPr>
          <w:pgSz w:w="11900" w:h="16838" w:orient="portrait"/>
          <w:cols w:equalWidth="0" w:num="1">
            <w:col w:w="11000"/>
          </w:cols>
          <w:pgMar w:left="560" w:top="1419" w:right="339" w:bottom="747"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32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0"/>
        </w:trPr>
        <w:tc>
          <w:tcPr>
            <w:tcW w:w="166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i w:val="1"/>
                <w:iCs w:val="1"/>
                <w:color w:val="auto"/>
              </w:rPr>
              <w:t>Page</w:t>
            </w:r>
          </w:p>
        </w:tc>
        <w:tc>
          <w:tcPr>
            <w:tcW w:w="0" w:type="dxa"/>
            <w:vAlign w:val="bottom"/>
          </w:tcPr>
          <w:p>
            <w:pPr>
              <w:spacing w:after="0"/>
              <w:rPr>
                <w:sz w:val="1"/>
                <w:szCs w:val="1"/>
                <w:color w:val="auto"/>
              </w:rPr>
            </w:pPr>
          </w:p>
        </w:tc>
      </w:tr>
      <w:tr>
        <w:trPr>
          <w:trHeight w:val="519"/>
        </w:trPr>
        <w:tc>
          <w:tcPr>
            <w:tcW w:w="1660" w:type="dxa"/>
            <w:vAlign w:val="bottom"/>
          </w:tcPr>
          <w:p>
            <w:pPr>
              <w:spacing w:after="0"/>
              <w:rPr>
                <w:sz w:val="20"/>
                <w:szCs w:val="20"/>
                <w:color w:val="auto"/>
              </w:rPr>
            </w:pPr>
            <w:r>
              <w:rPr>
                <w:rFonts w:ascii="Arial" w:cs="Arial" w:eastAsia="Arial" w:hAnsi="Arial"/>
                <w:sz w:val="22"/>
                <w:szCs w:val="22"/>
                <w:color w:val="auto"/>
              </w:rPr>
              <w:t>Section 7.10</w:t>
            </w:r>
          </w:p>
        </w:tc>
        <w:tc>
          <w:tcPr>
            <w:tcW w:w="8480" w:type="dxa"/>
            <w:vAlign w:val="bottom"/>
          </w:tcPr>
          <w:p>
            <w:pPr>
              <w:ind w:left="480"/>
              <w:spacing w:after="0"/>
              <w:rPr>
                <w:sz w:val="20"/>
                <w:szCs w:val="20"/>
                <w:color w:val="auto"/>
              </w:rPr>
            </w:pPr>
            <w:r>
              <w:rPr>
                <w:rFonts w:ascii="Arial" w:cs="Arial" w:eastAsia="Arial" w:hAnsi="Arial"/>
                <w:sz w:val="22"/>
                <w:szCs w:val="22"/>
                <w:color w:val="auto"/>
              </w:rPr>
              <w:t>Eligibility; Disqualification</w:t>
            </w:r>
          </w:p>
        </w:tc>
        <w:tc>
          <w:tcPr>
            <w:tcW w:w="860" w:type="dxa"/>
            <w:vAlign w:val="bottom"/>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563"/>
        </w:trPr>
        <w:tc>
          <w:tcPr>
            <w:tcW w:w="1660" w:type="dxa"/>
            <w:vAlign w:val="bottom"/>
          </w:tcPr>
          <w:p>
            <w:pPr>
              <w:spacing w:after="0"/>
              <w:rPr>
                <w:sz w:val="24"/>
                <w:szCs w:val="24"/>
                <w:color w:val="auto"/>
              </w:rPr>
            </w:pPr>
          </w:p>
        </w:tc>
        <w:tc>
          <w:tcPr>
            <w:tcW w:w="8480" w:type="dxa"/>
            <w:vAlign w:val="bottom"/>
          </w:tcPr>
          <w:p>
            <w:pPr>
              <w:jc w:val="center"/>
              <w:ind w:right="912"/>
              <w:spacing w:after="0"/>
              <w:rPr>
                <w:sz w:val="20"/>
                <w:szCs w:val="20"/>
                <w:color w:val="auto"/>
              </w:rPr>
            </w:pPr>
            <w:r>
              <w:rPr>
                <w:rFonts w:ascii="Arial" w:cs="Arial" w:eastAsia="Arial" w:hAnsi="Arial"/>
                <w:sz w:val="22"/>
                <w:szCs w:val="22"/>
                <w:color w:val="auto"/>
                <w:w w:val="95"/>
              </w:rPr>
              <w:t>ARTICLE 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8480" w:type="dxa"/>
            <w:vAlign w:val="bottom"/>
          </w:tcPr>
          <w:p>
            <w:pPr>
              <w:jc w:val="center"/>
              <w:ind w:right="912"/>
              <w:spacing w:after="0"/>
              <w:rPr>
                <w:sz w:val="20"/>
                <w:szCs w:val="20"/>
                <w:color w:val="auto"/>
              </w:rPr>
            </w:pPr>
            <w:r>
              <w:rPr>
                <w:rFonts w:ascii="Arial" w:cs="Arial" w:eastAsia="Arial" w:hAnsi="Arial"/>
                <w:sz w:val="22"/>
                <w:szCs w:val="22"/>
                <w:color w:val="auto"/>
                <w:w w:val="95"/>
              </w:rPr>
              <w:t>LEGAL DEFEASANCE AND COVENANT DEFEASANCE</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0"/>
                <w:szCs w:val="20"/>
                <w:color w:val="auto"/>
              </w:rPr>
            </w:pPr>
            <w:r>
              <w:rPr>
                <w:rFonts w:ascii="Arial" w:cs="Arial" w:eastAsia="Arial" w:hAnsi="Arial"/>
                <w:sz w:val="22"/>
                <w:szCs w:val="22"/>
                <w:color w:val="auto"/>
              </w:rPr>
              <w:t>Section 8.01</w:t>
            </w:r>
          </w:p>
        </w:tc>
        <w:tc>
          <w:tcPr>
            <w:tcW w:w="8480" w:type="dxa"/>
            <w:vAlign w:val="bottom"/>
          </w:tcPr>
          <w:p>
            <w:pPr>
              <w:ind w:left="480"/>
              <w:spacing w:after="0"/>
              <w:rPr>
                <w:sz w:val="20"/>
                <w:szCs w:val="20"/>
                <w:color w:val="auto"/>
              </w:rPr>
            </w:pPr>
            <w:r>
              <w:rPr>
                <w:rFonts w:ascii="Arial" w:cs="Arial" w:eastAsia="Arial" w:hAnsi="Arial"/>
                <w:sz w:val="22"/>
                <w:szCs w:val="22"/>
                <w:color w:val="auto"/>
              </w:rPr>
              <w:t>Option to Effect Legal Defeasance or Covenant Defeasance</w:t>
            </w:r>
          </w:p>
        </w:tc>
        <w:tc>
          <w:tcPr>
            <w:tcW w:w="860" w:type="dxa"/>
            <w:vAlign w:val="bottom"/>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8.02</w:t>
            </w:r>
          </w:p>
        </w:tc>
        <w:tc>
          <w:tcPr>
            <w:tcW w:w="8480" w:type="dxa"/>
            <w:vAlign w:val="bottom"/>
          </w:tcPr>
          <w:p>
            <w:pPr>
              <w:ind w:left="480"/>
              <w:spacing w:after="0"/>
              <w:rPr>
                <w:sz w:val="20"/>
                <w:szCs w:val="20"/>
                <w:color w:val="auto"/>
              </w:rPr>
            </w:pPr>
            <w:r>
              <w:rPr>
                <w:rFonts w:ascii="Arial" w:cs="Arial" w:eastAsia="Arial" w:hAnsi="Arial"/>
                <w:sz w:val="22"/>
                <w:szCs w:val="22"/>
                <w:color w:val="auto"/>
              </w:rPr>
              <w:t>Legal Defeasance and Discharge</w:t>
            </w:r>
          </w:p>
        </w:tc>
        <w:tc>
          <w:tcPr>
            <w:tcW w:w="860" w:type="dxa"/>
            <w:vAlign w:val="bottom"/>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8.03</w:t>
            </w:r>
          </w:p>
        </w:tc>
        <w:tc>
          <w:tcPr>
            <w:tcW w:w="8480" w:type="dxa"/>
            <w:vAlign w:val="bottom"/>
          </w:tcPr>
          <w:p>
            <w:pPr>
              <w:ind w:left="480"/>
              <w:spacing w:after="0"/>
              <w:rPr>
                <w:sz w:val="20"/>
                <w:szCs w:val="20"/>
                <w:color w:val="auto"/>
              </w:rPr>
            </w:pPr>
            <w:r>
              <w:rPr>
                <w:rFonts w:ascii="Arial" w:cs="Arial" w:eastAsia="Arial" w:hAnsi="Arial"/>
                <w:sz w:val="22"/>
                <w:szCs w:val="22"/>
                <w:color w:val="auto"/>
              </w:rPr>
              <w:t>Covenant Defeasance</w:t>
            </w:r>
          </w:p>
        </w:tc>
        <w:tc>
          <w:tcPr>
            <w:tcW w:w="860" w:type="dxa"/>
            <w:vAlign w:val="bottom"/>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8.04</w:t>
            </w:r>
          </w:p>
        </w:tc>
        <w:tc>
          <w:tcPr>
            <w:tcW w:w="8480" w:type="dxa"/>
            <w:vAlign w:val="bottom"/>
          </w:tcPr>
          <w:p>
            <w:pPr>
              <w:ind w:left="480"/>
              <w:spacing w:after="0"/>
              <w:rPr>
                <w:sz w:val="20"/>
                <w:szCs w:val="20"/>
                <w:color w:val="auto"/>
              </w:rPr>
            </w:pPr>
            <w:r>
              <w:rPr>
                <w:rFonts w:ascii="Arial" w:cs="Arial" w:eastAsia="Arial" w:hAnsi="Arial"/>
                <w:sz w:val="22"/>
                <w:szCs w:val="22"/>
                <w:color w:val="auto"/>
              </w:rPr>
              <w:t>Conditions to Legal or Covenant Defeasance</w:t>
            </w:r>
          </w:p>
        </w:tc>
        <w:tc>
          <w:tcPr>
            <w:tcW w:w="860" w:type="dxa"/>
            <w:vAlign w:val="bottom"/>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216"/>
        </w:trPr>
        <w:tc>
          <w:tcPr>
            <w:tcW w:w="1660" w:type="dxa"/>
            <w:vAlign w:val="bottom"/>
          </w:tcPr>
          <w:p>
            <w:pPr>
              <w:spacing w:after="0" w:line="216" w:lineRule="exact"/>
              <w:rPr>
                <w:sz w:val="20"/>
                <w:szCs w:val="20"/>
                <w:color w:val="auto"/>
              </w:rPr>
            </w:pPr>
            <w:r>
              <w:rPr>
                <w:rFonts w:ascii="Arial" w:cs="Arial" w:eastAsia="Arial" w:hAnsi="Arial"/>
                <w:sz w:val="22"/>
                <w:szCs w:val="22"/>
                <w:color w:val="auto"/>
              </w:rPr>
              <w:t>Section 8.05</w:t>
            </w:r>
          </w:p>
        </w:tc>
        <w:tc>
          <w:tcPr>
            <w:tcW w:w="8480" w:type="dxa"/>
            <w:vAlign w:val="bottom"/>
          </w:tcPr>
          <w:p>
            <w:pPr>
              <w:ind w:left="480"/>
              <w:spacing w:after="0" w:line="216" w:lineRule="exact"/>
              <w:rPr>
                <w:sz w:val="20"/>
                <w:szCs w:val="20"/>
                <w:color w:val="auto"/>
              </w:rPr>
            </w:pPr>
            <w:r>
              <w:rPr>
                <w:rFonts w:ascii="Arial" w:cs="Arial" w:eastAsia="Arial" w:hAnsi="Arial"/>
                <w:sz w:val="22"/>
                <w:szCs w:val="22"/>
                <w:color w:val="auto"/>
                <w:w w:val="94"/>
              </w:rPr>
              <w:t>Deposited Money and Government Securities to be Held in Trust; Other Miscellaneous</w:t>
            </w: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8480" w:type="dxa"/>
            <w:vAlign w:val="bottom"/>
          </w:tcPr>
          <w:p>
            <w:pPr>
              <w:ind w:left="480"/>
              <w:spacing w:after="0"/>
              <w:rPr>
                <w:sz w:val="20"/>
                <w:szCs w:val="20"/>
                <w:color w:val="auto"/>
              </w:rPr>
            </w:pPr>
            <w:r>
              <w:rPr>
                <w:rFonts w:ascii="Arial" w:cs="Arial" w:eastAsia="Arial" w:hAnsi="Arial"/>
                <w:sz w:val="22"/>
                <w:szCs w:val="22"/>
                <w:color w:val="auto"/>
              </w:rPr>
              <w:t>Provisions</w:t>
            </w: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8.06</w:t>
            </w:r>
          </w:p>
        </w:tc>
        <w:tc>
          <w:tcPr>
            <w:tcW w:w="8480" w:type="dxa"/>
            <w:vAlign w:val="bottom"/>
          </w:tcPr>
          <w:p>
            <w:pPr>
              <w:ind w:left="480"/>
              <w:spacing w:after="0"/>
              <w:rPr>
                <w:sz w:val="20"/>
                <w:szCs w:val="20"/>
                <w:color w:val="auto"/>
              </w:rPr>
            </w:pPr>
            <w:r>
              <w:rPr>
                <w:rFonts w:ascii="Arial" w:cs="Arial" w:eastAsia="Arial" w:hAnsi="Arial"/>
                <w:sz w:val="22"/>
                <w:szCs w:val="22"/>
                <w:color w:val="auto"/>
              </w:rPr>
              <w:t>Repayment to Issuer</w:t>
            </w:r>
          </w:p>
        </w:tc>
        <w:tc>
          <w:tcPr>
            <w:tcW w:w="860" w:type="dxa"/>
            <w:vAlign w:val="bottom"/>
          </w:tcPr>
          <w:p>
            <w:pPr>
              <w:jc w:val="right"/>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Section 8.07</w:t>
            </w:r>
          </w:p>
        </w:tc>
        <w:tc>
          <w:tcPr>
            <w:tcW w:w="8480" w:type="dxa"/>
            <w:vAlign w:val="bottom"/>
          </w:tcPr>
          <w:p>
            <w:pPr>
              <w:ind w:left="480"/>
              <w:spacing w:after="0"/>
              <w:rPr>
                <w:sz w:val="20"/>
                <w:szCs w:val="20"/>
                <w:color w:val="auto"/>
              </w:rPr>
            </w:pPr>
            <w:r>
              <w:rPr>
                <w:rFonts w:ascii="Arial" w:cs="Arial" w:eastAsia="Arial" w:hAnsi="Arial"/>
                <w:sz w:val="22"/>
                <w:szCs w:val="22"/>
                <w:color w:val="auto"/>
              </w:rPr>
              <w:t>Reinstatement</w:t>
            </w:r>
          </w:p>
        </w:tc>
        <w:tc>
          <w:tcPr>
            <w:tcW w:w="860" w:type="dxa"/>
            <w:vAlign w:val="bottom"/>
          </w:tcPr>
          <w:p>
            <w:pPr>
              <w:jc w:val="right"/>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4"/>
                <w:szCs w:val="24"/>
                <w:color w:val="auto"/>
              </w:rPr>
            </w:pPr>
          </w:p>
        </w:tc>
        <w:tc>
          <w:tcPr>
            <w:tcW w:w="8480" w:type="dxa"/>
            <w:vAlign w:val="bottom"/>
          </w:tcPr>
          <w:p>
            <w:pPr>
              <w:jc w:val="center"/>
              <w:ind w:right="912"/>
              <w:spacing w:after="0"/>
              <w:rPr>
                <w:sz w:val="20"/>
                <w:szCs w:val="20"/>
                <w:color w:val="auto"/>
              </w:rPr>
            </w:pPr>
            <w:r>
              <w:rPr>
                <w:rFonts w:ascii="Arial" w:cs="Arial" w:eastAsia="Arial" w:hAnsi="Arial"/>
                <w:sz w:val="22"/>
                <w:szCs w:val="22"/>
                <w:color w:val="auto"/>
                <w:w w:val="95"/>
              </w:rPr>
              <w:t>ARTICLE 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8480" w:type="dxa"/>
            <w:vAlign w:val="bottom"/>
          </w:tcPr>
          <w:p>
            <w:pPr>
              <w:jc w:val="center"/>
              <w:ind w:right="912"/>
              <w:spacing w:after="0"/>
              <w:rPr>
                <w:sz w:val="20"/>
                <w:szCs w:val="20"/>
                <w:color w:val="auto"/>
              </w:rPr>
            </w:pPr>
            <w:r>
              <w:rPr>
                <w:rFonts w:ascii="Arial" w:cs="Arial" w:eastAsia="Arial" w:hAnsi="Arial"/>
                <w:sz w:val="22"/>
                <w:szCs w:val="22"/>
                <w:color w:val="auto"/>
                <w:w w:val="95"/>
              </w:rPr>
              <w:t>AMENDMENT, SUPPLEMENT AND WAIVER</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0"/>
                <w:szCs w:val="20"/>
                <w:color w:val="auto"/>
              </w:rPr>
            </w:pPr>
            <w:r>
              <w:rPr>
                <w:rFonts w:ascii="Arial" w:cs="Arial" w:eastAsia="Arial" w:hAnsi="Arial"/>
                <w:sz w:val="22"/>
                <w:szCs w:val="22"/>
                <w:color w:val="auto"/>
              </w:rPr>
              <w:t>Section 9.01</w:t>
            </w:r>
          </w:p>
        </w:tc>
        <w:tc>
          <w:tcPr>
            <w:tcW w:w="8480" w:type="dxa"/>
            <w:vAlign w:val="bottom"/>
          </w:tcPr>
          <w:p>
            <w:pPr>
              <w:ind w:left="480"/>
              <w:spacing w:after="0"/>
              <w:rPr>
                <w:sz w:val="20"/>
                <w:szCs w:val="20"/>
                <w:color w:val="auto"/>
              </w:rPr>
            </w:pPr>
            <w:r>
              <w:rPr>
                <w:rFonts w:ascii="Arial" w:cs="Arial" w:eastAsia="Arial" w:hAnsi="Arial"/>
                <w:sz w:val="22"/>
                <w:szCs w:val="22"/>
                <w:color w:val="auto"/>
              </w:rPr>
              <w:t>Without Consent of Holders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9.02</w:t>
            </w:r>
          </w:p>
        </w:tc>
        <w:tc>
          <w:tcPr>
            <w:tcW w:w="8480" w:type="dxa"/>
            <w:vAlign w:val="bottom"/>
          </w:tcPr>
          <w:p>
            <w:pPr>
              <w:ind w:left="480"/>
              <w:spacing w:after="0"/>
              <w:rPr>
                <w:sz w:val="20"/>
                <w:szCs w:val="20"/>
                <w:color w:val="auto"/>
              </w:rPr>
            </w:pPr>
            <w:r>
              <w:rPr>
                <w:rFonts w:ascii="Arial" w:cs="Arial" w:eastAsia="Arial" w:hAnsi="Arial"/>
                <w:sz w:val="22"/>
                <w:szCs w:val="22"/>
                <w:color w:val="auto"/>
              </w:rPr>
              <w:t>With Consent of Holders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9.03</w:t>
            </w:r>
          </w:p>
        </w:tc>
        <w:tc>
          <w:tcPr>
            <w:tcW w:w="8480" w:type="dxa"/>
            <w:vAlign w:val="bottom"/>
          </w:tcPr>
          <w:p>
            <w:pPr>
              <w:ind w:left="480"/>
              <w:spacing w:after="0"/>
              <w:rPr>
                <w:sz w:val="20"/>
                <w:szCs w:val="20"/>
                <w:color w:val="auto"/>
              </w:rPr>
            </w:pPr>
            <w:r>
              <w:rPr>
                <w:rFonts w:ascii="Arial" w:cs="Arial" w:eastAsia="Arial" w:hAnsi="Arial"/>
                <w:sz w:val="22"/>
                <w:szCs w:val="22"/>
                <w:color w:val="auto"/>
              </w:rPr>
              <w:t>Revocation and Effect of Consents</w:t>
            </w:r>
          </w:p>
        </w:tc>
        <w:tc>
          <w:tcPr>
            <w:tcW w:w="860" w:type="dxa"/>
            <w:vAlign w:val="bottom"/>
          </w:tcPr>
          <w:p>
            <w:pPr>
              <w:jc w:val="right"/>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9.04</w:t>
            </w:r>
          </w:p>
        </w:tc>
        <w:tc>
          <w:tcPr>
            <w:tcW w:w="8480" w:type="dxa"/>
            <w:vAlign w:val="bottom"/>
          </w:tcPr>
          <w:p>
            <w:pPr>
              <w:ind w:left="480"/>
              <w:spacing w:after="0"/>
              <w:rPr>
                <w:sz w:val="20"/>
                <w:szCs w:val="20"/>
                <w:color w:val="auto"/>
              </w:rPr>
            </w:pPr>
            <w:r>
              <w:rPr>
                <w:rFonts w:ascii="Arial" w:cs="Arial" w:eastAsia="Arial" w:hAnsi="Arial"/>
                <w:sz w:val="22"/>
                <w:szCs w:val="22"/>
                <w:color w:val="auto"/>
              </w:rPr>
              <w:t>Notation on or Exchange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9.05</w:t>
            </w:r>
          </w:p>
        </w:tc>
        <w:tc>
          <w:tcPr>
            <w:tcW w:w="8480" w:type="dxa"/>
            <w:vAlign w:val="bottom"/>
          </w:tcPr>
          <w:p>
            <w:pPr>
              <w:ind w:left="480"/>
              <w:spacing w:after="0"/>
              <w:rPr>
                <w:sz w:val="20"/>
                <w:szCs w:val="20"/>
                <w:color w:val="auto"/>
              </w:rPr>
            </w:pPr>
            <w:r>
              <w:rPr>
                <w:rFonts w:ascii="Arial" w:cs="Arial" w:eastAsia="Arial" w:hAnsi="Arial"/>
                <w:sz w:val="22"/>
                <w:szCs w:val="22"/>
                <w:color w:val="auto"/>
              </w:rPr>
              <w:t>Trustee to Sign Amendments, etc.</w:t>
            </w:r>
          </w:p>
        </w:tc>
        <w:tc>
          <w:tcPr>
            <w:tcW w:w="86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Section 9.06</w:t>
            </w:r>
          </w:p>
        </w:tc>
        <w:tc>
          <w:tcPr>
            <w:tcW w:w="8480" w:type="dxa"/>
            <w:vAlign w:val="bottom"/>
          </w:tcPr>
          <w:p>
            <w:pPr>
              <w:ind w:left="480"/>
              <w:spacing w:after="0"/>
              <w:rPr>
                <w:sz w:val="20"/>
                <w:szCs w:val="20"/>
                <w:color w:val="auto"/>
              </w:rPr>
            </w:pPr>
            <w:r>
              <w:rPr>
                <w:rFonts w:ascii="Arial" w:cs="Arial" w:eastAsia="Arial" w:hAnsi="Arial"/>
                <w:sz w:val="22"/>
                <w:szCs w:val="22"/>
                <w:color w:val="auto"/>
              </w:rPr>
              <w:t>Effect of Supplemental Indentures</w:t>
            </w:r>
          </w:p>
        </w:tc>
        <w:tc>
          <w:tcPr>
            <w:tcW w:w="86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563"/>
        </w:trPr>
        <w:tc>
          <w:tcPr>
            <w:tcW w:w="1660" w:type="dxa"/>
            <w:vAlign w:val="bottom"/>
          </w:tcPr>
          <w:p>
            <w:pPr>
              <w:spacing w:after="0"/>
              <w:rPr>
                <w:sz w:val="24"/>
                <w:szCs w:val="24"/>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3"/>
              </w:rPr>
              <w:t>ARTICLE 10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4"/>
              </w:rPr>
              <w:t>GUARANTEES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0"/>
                <w:szCs w:val="20"/>
                <w:color w:val="auto"/>
              </w:rPr>
            </w:pPr>
            <w:r>
              <w:rPr>
                <w:rFonts w:ascii="Arial" w:cs="Arial" w:eastAsia="Arial" w:hAnsi="Arial"/>
                <w:sz w:val="22"/>
                <w:szCs w:val="22"/>
                <w:color w:val="auto"/>
              </w:rPr>
              <w:t>Section 10.01</w:t>
            </w:r>
          </w:p>
        </w:tc>
        <w:tc>
          <w:tcPr>
            <w:tcW w:w="8480" w:type="dxa"/>
            <w:vAlign w:val="bottom"/>
          </w:tcPr>
          <w:p>
            <w:pPr>
              <w:ind w:left="480"/>
              <w:spacing w:after="0"/>
              <w:rPr>
                <w:sz w:val="20"/>
                <w:szCs w:val="20"/>
                <w:color w:val="auto"/>
              </w:rPr>
            </w:pPr>
            <w:r>
              <w:rPr>
                <w:rFonts w:ascii="Arial" w:cs="Arial" w:eastAsia="Arial" w:hAnsi="Arial"/>
                <w:sz w:val="22"/>
                <w:szCs w:val="22"/>
                <w:color w:val="auto"/>
              </w:rPr>
              <w:t>Guarantee</w:t>
            </w:r>
          </w:p>
        </w:tc>
        <w:tc>
          <w:tcPr>
            <w:tcW w:w="86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10.02</w:t>
            </w:r>
          </w:p>
        </w:tc>
        <w:tc>
          <w:tcPr>
            <w:tcW w:w="8480" w:type="dxa"/>
            <w:vAlign w:val="bottom"/>
          </w:tcPr>
          <w:p>
            <w:pPr>
              <w:ind w:left="480"/>
              <w:spacing w:after="0"/>
              <w:rPr>
                <w:sz w:val="20"/>
                <w:szCs w:val="20"/>
                <w:color w:val="auto"/>
              </w:rPr>
            </w:pPr>
            <w:r>
              <w:rPr>
                <w:rFonts w:ascii="Arial" w:cs="Arial" w:eastAsia="Arial" w:hAnsi="Arial"/>
                <w:sz w:val="22"/>
                <w:szCs w:val="22"/>
                <w:color w:val="auto"/>
              </w:rPr>
              <w:t>Limitation on Guarantor Liability</w:t>
            </w:r>
          </w:p>
        </w:tc>
        <w:tc>
          <w:tcPr>
            <w:tcW w:w="860" w:type="dxa"/>
            <w:vAlign w:val="bottom"/>
          </w:tcPr>
          <w:p>
            <w:pPr>
              <w:jc w:val="right"/>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10.03</w:t>
            </w:r>
          </w:p>
        </w:tc>
        <w:tc>
          <w:tcPr>
            <w:tcW w:w="8480" w:type="dxa"/>
            <w:vAlign w:val="bottom"/>
          </w:tcPr>
          <w:p>
            <w:pPr>
              <w:ind w:left="480"/>
              <w:spacing w:after="0"/>
              <w:rPr>
                <w:sz w:val="20"/>
                <w:szCs w:val="20"/>
                <w:color w:val="auto"/>
              </w:rPr>
            </w:pPr>
            <w:r>
              <w:rPr>
                <w:rFonts w:ascii="Arial" w:cs="Arial" w:eastAsia="Arial" w:hAnsi="Arial"/>
                <w:sz w:val="22"/>
                <w:szCs w:val="22"/>
                <w:color w:val="auto"/>
              </w:rPr>
              <w:t>Guarantee Evidenced by Indenture</w:t>
            </w:r>
          </w:p>
        </w:tc>
        <w:tc>
          <w:tcPr>
            <w:tcW w:w="860" w:type="dxa"/>
            <w:vAlign w:val="bottom"/>
          </w:tcPr>
          <w:p>
            <w:pPr>
              <w:jc w:val="right"/>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Section 10.04</w:t>
            </w:r>
          </w:p>
        </w:tc>
        <w:tc>
          <w:tcPr>
            <w:tcW w:w="8480" w:type="dxa"/>
            <w:vAlign w:val="bottom"/>
          </w:tcPr>
          <w:p>
            <w:pPr>
              <w:ind w:left="480"/>
              <w:spacing w:after="0"/>
              <w:rPr>
                <w:sz w:val="20"/>
                <w:szCs w:val="20"/>
                <w:color w:val="auto"/>
              </w:rPr>
            </w:pPr>
            <w:r>
              <w:rPr>
                <w:rFonts w:ascii="Arial" w:cs="Arial" w:eastAsia="Arial" w:hAnsi="Arial"/>
                <w:sz w:val="22"/>
                <w:szCs w:val="22"/>
                <w:color w:val="auto"/>
              </w:rPr>
              <w:t>Releases</w:t>
            </w:r>
          </w:p>
        </w:tc>
        <w:tc>
          <w:tcPr>
            <w:tcW w:w="860" w:type="dxa"/>
            <w:vAlign w:val="bottom"/>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563"/>
        </w:trPr>
        <w:tc>
          <w:tcPr>
            <w:tcW w:w="1660" w:type="dxa"/>
            <w:vAlign w:val="bottom"/>
          </w:tcPr>
          <w:p>
            <w:pPr>
              <w:spacing w:after="0"/>
              <w:rPr>
                <w:sz w:val="24"/>
                <w:szCs w:val="24"/>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3"/>
              </w:rPr>
              <w:t>ARTICLE 11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4"/>
              </w:rPr>
              <w:t>SATISFACTION AND DISCHARGE</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0"/>
                <w:szCs w:val="20"/>
                <w:color w:val="auto"/>
              </w:rPr>
            </w:pPr>
            <w:r>
              <w:rPr>
                <w:rFonts w:ascii="Arial" w:cs="Arial" w:eastAsia="Arial" w:hAnsi="Arial"/>
                <w:sz w:val="22"/>
                <w:szCs w:val="22"/>
                <w:color w:val="auto"/>
              </w:rPr>
              <w:t>Section 11.01</w:t>
            </w:r>
          </w:p>
        </w:tc>
        <w:tc>
          <w:tcPr>
            <w:tcW w:w="8480" w:type="dxa"/>
            <w:vAlign w:val="bottom"/>
          </w:tcPr>
          <w:p>
            <w:pPr>
              <w:ind w:left="480"/>
              <w:spacing w:after="0"/>
              <w:rPr>
                <w:sz w:val="20"/>
                <w:szCs w:val="20"/>
                <w:color w:val="auto"/>
              </w:rPr>
            </w:pPr>
            <w:r>
              <w:rPr>
                <w:rFonts w:ascii="Arial" w:cs="Arial" w:eastAsia="Arial" w:hAnsi="Arial"/>
                <w:sz w:val="22"/>
                <w:szCs w:val="22"/>
                <w:color w:val="auto"/>
              </w:rPr>
              <w:t>Satisfaction and Discharge</w:t>
            </w:r>
          </w:p>
        </w:tc>
        <w:tc>
          <w:tcPr>
            <w:tcW w:w="860" w:type="dxa"/>
            <w:vAlign w:val="bottom"/>
          </w:tcPr>
          <w:p>
            <w:pPr>
              <w:jc w:val="right"/>
              <w:spacing w:after="0"/>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Section 11.02</w:t>
            </w:r>
          </w:p>
        </w:tc>
        <w:tc>
          <w:tcPr>
            <w:tcW w:w="8480" w:type="dxa"/>
            <w:vAlign w:val="bottom"/>
          </w:tcPr>
          <w:p>
            <w:pPr>
              <w:ind w:left="480"/>
              <w:spacing w:after="0"/>
              <w:rPr>
                <w:sz w:val="20"/>
                <w:szCs w:val="20"/>
                <w:color w:val="auto"/>
              </w:rPr>
            </w:pPr>
            <w:r>
              <w:rPr>
                <w:rFonts w:ascii="Arial" w:cs="Arial" w:eastAsia="Arial" w:hAnsi="Arial"/>
                <w:sz w:val="22"/>
                <w:szCs w:val="22"/>
                <w:color w:val="auto"/>
              </w:rPr>
              <w:t>Application of Trust Money</w:t>
            </w:r>
          </w:p>
        </w:tc>
        <w:tc>
          <w:tcPr>
            <w:tcW w:w="86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4"/>
                <w:szCs w:val="24"/>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3"/>
              </w:rPr>
              <w:t>ARTICLE 12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8480" w:type="dxa"/>
            <w:vAlign w:val="bottom"/>
          </w:tcPr>
          <w:p>
            <w:pPr>
              <w:jc w:val="center"/>
              <w:ind w:right="932"/>
              <w:spacing w:after="0"/>
              <w:rPr>
                <w:sz w:val="20"/>
                <w:szCs w:val="20"/>
                <w:color w:val="auto"/>
              </w:rPr>
            </w:pPr>
            <w:r>
              <w:rPr>
                <w:rFonts w:ascii="Arial" w:cs="Arial" w:eastAsia="Arial" w:hAnsi="Arial"/>
                <w:sz w:val="22"/>
                <w:szCs w:val="22"/>
                <w:color w:val="auto"/>
                <w:w w:val="96"/>
              </w:rPr>
              <w:t>MISCELLANEOUS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9"/>
        </w:trPr>
        <w:tc>
          <w:tcPr>
            <w:tcW w:w="1660" w:type="dxa"/>
            <w:vAlign w:val="bottom"/>
          </w:tcPr>
          <w:p>
            <w:pPr>
              <w:spacing w:after="0"/>
              <w:rPr>
                <w:sz w:val="20"/>
                <w:szCs w:val="20"/>
                <w:color w:val="auto"/>
              </w:rPr>
            </w:pPr>
            <w:r>
              <w:rPr>
                <w:rFonts w:ascii="Arial" w:cs="Arial" w:eastAsia="Arial" w:hAnsi="Arial"/>
                <w:sz w:val="22"/>
                <w:szCs w:val="22"/>
                <w:color w:val="auto"/>
              </w:rPr>
              <w:t>Section 12.01</w:t>
            </w:r>
          </w:p>
        </w:tc>
        <w:tc>
          <w:tcPr>
            <w:tcW w:w="8480" w:type="dxa"/>
            <w:vAlign w:val="bottom"/>
          </w:tcPr>
          <w:p>
            <w:pPr>
              <w:ind w:left="480"/>
              <w:spacing w:after="0"/>
              <w:rPr>
                <w:sz w:val="20"/>
                <w:szCs w:val="20"/>
                <w:color w:val="auto"/>
              </w:rPr>
            </w:pPr>
            <w:r>
              <w:rPr>
                <w:rFonts w:ascii="Arial" w:cs="Arial" w:eastAsia="Arial" w:hAnsi="Arial"/>
                <w:sz w:val="22"/>
                <w:szCs w:val="22"/>
                <w:color w:val="auto"/>
              </w:rPr>
              <w:t>[Reserved]</w:t>
            </w:r>
          </w:p>
        </w:tc>
        <w:tc>
          <w:tcPr>
            <w:tcW w:w="86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12.02</w:t>
            </w:r>
          </w:p>
        </w:tc>
        <w:tc>
          <w:tcPr>
            <w:tcW w:w="8480" w:type="dxa"/>
            <w:vAlign w:val="bottom"/>
          </w:tcPr>
          <w:p>
            <w:pPr>
              <w:ind w:left="480"/>
              <w:spacing w:after="0"/>
              <w:rPr>
                <w:sz w:val="20"/>
                <w:szCs w:val="20"/>
                <w:color w:val="auto"/>
              </w:rPr>
            </w:pPr>
            <w:r>
              <w:rPr>
                <w:rFonts w:ascii="Arial" w:cs="Arial" w:eastAsia="Arial" w:hAnsi="Arial"/>
                <w:sz w:val="22"/>
                <w:szCs w:val="22"/>
                <w:color w:val="auto"/>
              </w:rPr>
              <w:t>Notices</w:t>
            </w:r>
          </w:p>
        </w:tc>
        <w:tc>
          <w:tcPr>
            <w:tcW w:w="86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12.03</w:t>
            </w:r>
          </w:p>
        </w:tc>
        <w:tc>
          <w:tcPr>
            <w:tcW w:w="8480" w:type="dxa"/>
            <w:vAlign w:val="bottom"/>
          </w:tcPr>
          <w:p>
            <w:pPr>
              <w:ind w:left="480"/>
              <w:spacing w:after="0"/>
              <w:rPr>
                <w:sz w:val="20"/>
                <w:szCs w:val="20"/>
                <w:color w:val="auto"/>
              </w:rPr>
            </w:pPr>
            <w:r>
              <w:rPr>
                <w:rFonts w:ascii="Arial" w:cs="Arial" w:eastAsia="Arial" w:hAnsi="Arial"/>
                <w:sz w:val="22"/>
                <w:szCs w:val="22"/>
                <w:color w:val="auto"/>
              </w:rPr>
              <w:t>Benefit of Indenture</w:t>
            </w:r>
          </w:p>
        </w:tc>
        <w:tc>
          <w:tcPr>
            <w:tcW w:w="860" w:type="dxa"/>
            <w:vAlign w:val="bottom"/>
          </w:tcPr>
          <w:p>
            <w:pPr>
              <w:jc w:val="right"/>
              <w:spacing w:after="0"/>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12.04</w:t>
            </w:r>
          </w:p>
        </w:tc>
        <w:tc>
          <w:tcPr>
            <w:tcW w:w="8480" w:type="dxa"/>
            <w:vAlign w:val="bottom"/>
          </w:tcPr>
          <w:p>
            <w:pPr>
              <w:ind w:left="480"/>
              <w:spacing w:after="0"/>
              <w:rPr>
                <w:sz w:val="20"/>
                <w:szCs w:val="20"/>
                <w:color w:val="auto"/>
              </w:rPr>
            </w:pPr>
            <w:r>
              <w:rPr>
                <w:rFonts w:ascii="Arial" w:cs="Arial" w:eastAsia="Arial" w:hAnsi="Arial"/>
                <w:sz w:val="22"/>
                <w:szCs w:val="22"/>
                <w:color w:val="auto"/>
              </w:rPr>
              <w:t>Certificate of Opinion as to Conditions Precedent</w:t>
            </w:r>
          </w:p>
        </w:tc>
        <w:tc>
          <w:tcPr>
            <w:tcW w:w="860" w:type="dxa"/>
            <w:vAlign w:val="bottom"/>
          </w:tcPr>
          <w:p>
            <w:pPr>
              <w:jc w:val="right"/>
              <w:spacing w:after="0"/>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12.05</w:t>
            </w:r>
          </w:p>
        </w:tc>
        <w:tc>
          <w:tcPr>
            <w:tcW w:w="8480" w:type="dxa"/>
            <w:vAlign w:val="bottom"/>
          </w:tcPr>
          <w:p>
            <w:pPr>
              <w:ind w:left="480"/>
              <w:spacing w:after="0"/>
              <w:rPr>
                <w:sz w:val="20"/>
                <w:szCs w:val="20"/>
                <w:color w:val="auto"/>
              </w:rPr>
            </w:pPr>
            <w:r>
              <w:rPr>
                <w:rFonts w:ascii="Arial" w:cs="Arial" w:eastAsia="Arial" w:hAnsi="Arial"/>
                <w:sz w:val="22"/>
                <w:szCs w:val="22"/>
                <w:color w:val="auto"/>
              </w:rPr>
              <w:t>Statements Required in Certificate or Opinion</w:t>
            </w:r>
          </w:p>
        </w:tc>
        <w:tc>
          <w:tcPr>
            <w:tcW w:w="860" w:type="dxa"/>
            <w:vAlign w:val="bottom"/>
          </w:tcPr>
          <w:p>
            <w:pPr>
              <w:jc w:val="right"/>
              <w:spacing w:after="0"/>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12.06</w:t>
            </w:r>
          </w:p>
        </w:tc>
        <w:tc>
          <w:tcPr>
            <w:tcW w:w="8480" w:type="dxa"/>
            <w:vAlign w:val="bottom"/>
          </w:tcPr>
          <w:p>
            <w:pPr>
              <w:ind w:left="480"/>
              <w:spacing w:after="0"/>
              <w:rPr>
                <w:sz w:val="20"/>
                <w:szCs w:val="20"/>
                <w:color w:val="auto"/>
              </w:rPr>
            </w:pPr>
            <w:r>
              <w:rPr>
                <w:rFonts w:ascii="Arial" w:cs="Arial" w:eastAsia="Arial" w:hAnsi="Arial"/>
                <w:sz w:val="22"/>
                <w:szCs w:val="22"/>
                <w:color w:val="auto"/>
              </w:rPr>
              <w:t>Rules by Trustee and Agents</w:t>
            </w:r>
          </w:p>
        </w:tc>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12.07</w:t>
            </w:r>
          </w:p>
        </w:tc>
        <w:tc>
          <w:tcPr>
            <w:tcW w:w="8480" w:type="dxa"/>
            <w:vAlign w:val="bottom"/>
          </w:tcPr>
          <w:p>
            <w:pPr>
              <w:ind w:left="480"/>
              <w:spacing w:after="0"/>
              <w:rPr>
                <w:sz w:val="20"/>
                <w:szCs w:val="20"/>
                <w:color w:val="auto"/>
              </w:rPr>
            </w:pPr>
            <w:r>
              <w:rPr>
                <w:rFonts w:ascii="Arial" w:cs="Arial" w:eastAsia="Arial" w:hAnsi="Arial"/>
                <w:sz w:val="22"/>
                <w:szCs w:val="22"/>
                <w:color w:val="auto"/>
              </w:rPr>
              <w:t>No Personal Liability of Directors, Officers, Employees and Members</w:t>
            </w:r>
          </w:p>
        </w:tc>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12.08</w:t>
            </w:r>
          </w:p>
        </w:tc>
        <w:tc>
          <w:tcPr>
            <w:tcW w:w="8480" w:type="dxa"/>
            <w:vAlign w:val="bottom"/>
          </w:tcPr>
          <w:p>
            <w:pPr>
              <w:ind w:left="480"/>
              <w:spacing w:after="0"/>
              <w:rPr>
                <w:sz w:val="20"/>
                <w:szCs w:val="20"/>
                <w:color w:val="auto"/>
              </w:rPr>
            </w:pPr>
            <w:r>
              <w:rPr>
                <w:rFonts w:ascii="Arial" w:cs="Arial" w:eastAsia="Arial" w:hAnsi="Arial"/>
                <w:sz w:val="22"/>
                <w:szCs w:val="22"/>
                <w:color w:val="auto"/>
              </w:rPr>
              <w:t>Governing Law; Jurisdiction</w:t>
            </w:r>
          </w:p>
        </w:tc>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12.09</w:t>
            </w:r>
          </w:p>
        </w:tc>
        <w:tc>
          <w:tcPr>
            <w:tcW w:w="8480" w:type="dxa"/>
            <w:vAlign w:val="bottom"/>
          </w:tcPr>
          <w:p>
            <w:pPr>
              <w:ind w:left="480"/>
              <w:spacing w:after="0"/>
              <w:rPr>
                <w:sz w:val="20"/>
                <w:szCs w:val="20"/>
                <w:color w:val="auto"/>
              </w:rPr>
            </w:pPr>
            <w:r>
              <w:rPr>
                <w:rFonts w:ascii="Arial" w:cs="Arial" w:eastAsia="Arial" w:hAnsi="Arial"/>
                <w:sz w:val="22"/>
                <w:szCs w:val="22"/>
                <w:color w:val="auto"/>
              </w:rPr>
              <w:t>No Adverse Interpretation of Other Agreements</w:t>
            </w:r>
          </w:p>
        </w:tc>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22"/>
                <w:szCs w:val="22"/>
                <w:color w:val="auto"/>
              </w:rPr>
              <w:t>Section 12.10</w:t>
            </w:r>
          </w:p>
        </w:tc>
        <w:tc>
          <w:tcPr>
            <w:tcW w:w="8480" w:type="dxa"/>
            <w:vAlign w:val="bottom"/>
          </w:tcPr>
          <w:p>
            <w:pPr>
              <w:ind w:left="480"/>
              <w:spacing w:after="0"/>
              <w:rPr>
                <w:sz w:val="20"/>
                <w:szCs w:val="20"/>
                <w:color w:val="auto"/>
              </w:rPr>
            </w:pPr>
            <w:r>
              <w:rPr>
                <w:rFonts w:ascii="Arial" w:cs="Arial" w:eastAsia="Arial" w:hAnsi="Arial"/>
                <w:sz w:val="22"/>
                <w:szCs w:val="22"/>
                <w:color w:val="auto"/>
              </w:rPr>
              <w:t>Successors</w:t>
            </w:r>
          </w:p>
        </w:tc>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Section 12.11</w:t>
            </w:r>
          </w:p>
        </w:tc>
        <w:tc>
          <w:tcPr>
            <w:tcW w:w="8480" w:type="dxa"/>
            <w:vAlign w:val="bottom"/>
          </w:tcPr>
          <w:p>
            <w:pPr>
              <w:ind w:left="480"/>
              <w:spacing w:after="0"/>
              <w:rPr>
                <w:sz w:val="20"/>
                <w:szCs w:val="20"/>
                <w:color w:val="auto"/>
              </w:rPr>
            </w:pPr>
            <w:r>
              <w:rPr>
                <w:rFonts w:ascii="Arial" w:cs="Arial" w:eastAsia="Arial" w:hAnsi="Arial"/>
                <w:sz w:val="22"/>
                <w:szCs w:val="22"/>
                <w:color w:val="auto"/>
              </w:rPr>
              <w:t>Severability; Entire Agreement</w:t>
            </w:r>
          </w:p>
        </w:tc>
        <w:tc>
          <w:tcPr>
            <w:tcW w:w="860" w:type="dxa"/>
            <w:vAlign w:val="bottom"/>
          </w:tcPr>
          <w:p>
            <w:pPr>
              <w:jc w:val="right"/>
              <w:spacing w:after="0"/>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bl>
    <w:p>
      <w:pPr>
        <w:sectPr>
          <w:pgSz w:w="11900" w:h="16838" w:orient="portrait"/>
          <w:cols w:equalWidth="0" w:num="1">
            <w:col w:w="11000"/>
          </w:cols>
          <w:pgMar w:left="560" w:top="1419" w:right="339" w:bottom="194"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87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0"/>
        </w:trPr>
        <w:tc>
          <w:tcPr>
            <w:tcW w:w="158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720" w:type="dxa"/>
            <w:vAlign w:val="bottom"/>
          </w:tcPr>
          <w:p>
            <w:pPr>
              <w:jc w:val="center"/>
              <w:ind w:left="213"/>
              <w:spacing w:after="0"/>
              <w:rPr>
                <w:sz w:val="20"/>
                <w:szCs w:val="20"/>
                <w:color w:val="auto"/>
              </w:rPr>
            </w:pPr>
            <w:r>
              <w:rPr>
                <w:rFonts w:ascii="Arial" w:cs="Arial" w:eastAsia="Arial" w:hAnsi="Arial"/>
                <w:sz w:val="20"/>
                <w:szCs w:val="20"/>
                <w:i w:val="1"/>
                <w:iCs w:val="1"/>
                <w:color w:val="auto"/>
                <w:w w:val="85"/>
              </w:rPr>
              <w:t>Page</w:t>
            </w:r>
          </w:p>
        </w:tc>
      </w:tr>
      <w:tr>
        <w:trPr>
          <w:trHeight w:val="542"/>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12.12</w:t>
            </w:r>
          </w:p>
        </w:tc>
        <w:tc>
          <w:tcPr>
            <w:tcW w:w="8920" w:type="dxa"/>
            <w:vAlign w:val="bottom"/>
          </w:tcPr>
          <w:p>
            <w:pPr>
              <w:ind w:left="780"/>
              <w:spacing w:after="0"/>
              <w:rPr>
                <w:sz w:val="20"/>
                <w:szCs w:val="20"/>
                <w:color w:val="auto"/>
              </w:rPr>
            </w:pPr>
            <w:r>
              <w:rPr>
                <w:rFonts w:ascii="Arial" w:cs="Arial" w:eastAsia="Arial" w:hAnsi="Arial"/>
                <w:sz w:val="22"/>
                <w:szCs w:val="22"/>
                <w:color w:val="auto"/>
              </w:rPr>
              <w:t>Counterpart Originals</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106</w:t>
            </w:r>
          </w:p>
        </w:tc>
      </w:tr>
      <w:tr>
        <w:trPr>
          <w:trHeight w:val="270"/>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12.13</w:t>
            </w:r>
          </w:p>
        </w:tc>
        <w:tc>
          <w:tcPr>
            <w:tcW w:w="8920" w:type="dxa"/>
            <w:vAlign w:val="bottom"/>
          </w:tcPr>
          <w:p>
            <w:pPr>
              <w:ind w:left="780"/>
              <w:spacing w:after="0"/>
              <w:rPr>
                <w:sz w:val="20"/>
                <w:szCs w:val="20"/>
                <w:color w:val="auto"/>
              </w:rPr>
            </w:pPr>
            <w:r>
              <w:rPr>
                <w:rFonts w:ascii="Arial" w:cs="Arial" w:eastAsia="Arial" w:hAnsi="Arial"/>
                <w:sz w:val="22"/>
                <w:szCs w:val="22"/>
                <w:color w:val="auto"/>
              </w:rPr>
              <w:t>Table of Contents, Headings, etc.</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106</w:t>
            </w:r>
          </w:p>
        </w:tc>
      </w:tr>
      <w:tr>
        <w:trPr>
          <w:trHeight w:val="270"/>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12.14</w:t>
            </w:r>
          </w:p>
        </w:tc>
        <w:tc>
          <w:tcPr>
            <w:tcW w:w="8920" w:type="dxa"/>
            <w:vAlign w:val="bottom"/>
          </w:tcPr>
          <w:p>
            <w:pPr>
              <w:ind w:left="780"/>
              <w:spacing w:after="0"/>
              <w:rPr>
                <w:sz w:val="20"/>
                <w:szCs w:val="20"/>
                <w:color w:val="auto"/>
              </w:rPr>
            </w:pPr>
            <w:r>
              <w:rPr>
                <w:rFonts w:ascii="Arial" w:cs="Arial" w:eastAsia="Arial" w:hAnsi="Arial"/>
                <w:sz w:val="22"/>
                <w:szCs w:val="22"/>
                <w:color w:val="auto"/>
              </w:rPr>
              <w:t>Payment Due Other Than a Business Day</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106</w:t>
            </w:r>
          </w:p>
        </w:tc>
      </w:tr>
      <w:tr>
        <w:trPr>
          <w:trHeight w:val="270"/>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12.15</w:t>
            </w:r>
          </w:p>
        </w:tc>
        <w:tc>
          <w:tcPr>
            <w:tcW w:w="8920" w:type="dxa"/>
            <w:vAlign w:val="bottom"/>
          </w:tcPr>
          <w:p>
            <w:pPr>
              <w:ind w:left="780"/>
              <w:spacing w:after="0"/>
              <w:rPr>
                <w:sz w:val="20"/>
                <w:szCs w:val="20"/>
                <w:color w:val="auto"/>
              </w:rPr>
            </w:pPr>
            <w:r>
              <w:rPr>
                <w:rFonts w:ascii="Arial" w:cs="Arial" w:eastAsia="Arial" w:hAnsi="Arial"/>
                <w:sz w:val="22"/>
                <w:szCs w:val="22"/>
                <w:color w:val="auto"/>
              </w:rPr>
              <w:t>Action by Holders</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106</w:t>
            </w:r>
          </w:p>
        </w:tc>
      </w:tr>
      <w:tr>
        <w:trPr>
          <w:trHeight w:val="270"/>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12.16</w:t>
            </w:r>
          </w:p>
        </w:tc>
        <w:tc>
          <w:tcPr>
            <w:tcW w:w="8920" w:type="dxa"/>
            <w:vAlign w:val="bottom"/>
          </w:tcPr>
          <w:p>
            <w:pPr>
              <w:ind w:left="780"/>
              <w:spacing w:after="0"/>
              <w:rPr>
                <w:sz w:val="20"/>
                <w:szCs w:val="20"/>
                <w:color w:val="auto"/>
              </w:rPr>
            </w:pPr>
            <w:r>
              <w:rPr>
                <w:rFonts w:ascii="Arial" w:cs="Arial" w:eastAsia="Arial" w:hAnsi="Arial"/>
                <w:sz w:val="22"/>
                <w:szCs w:val="22"/>
                <w:color w:val="auto"/>
              </w:rPr>
              <w:t>Waiver of Jury Trial</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108</w:t>
            </w:r>
          </w:p>
        </w:tc>
      </w:tr>
      <w:tr>
        <w:trPr>
          <w:trHeight w:val="270"/>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12.17</w:t>
            </w:r>
          </w:p>
        </w:tc>
        <w:tc>
          <w:tcPr>
            <w:tcW w:w="8920" w:type="dxa"/>
            <w:vAlign w:val="bottom"/>
          </w:tcPr>
          <w:p>
            <w:pPr>
              <w:ind w:left="780"/>
              <w:spacing w:after="0"/>
              <w:rPr>
                <w:sz w:val="20"/>
                <w:szCs w:val="20"/>
                <w:color w:val="auto"/>
              </w:rPr>
            </w:pPr>
            <w:r>
              <w:rPr>
                <w:rFonts w:ascii="Arial" w:cs="Arial" w:eastAsia="Arial" w:hAnsi="Arial"/>
                <w:sz w:val="22"/>
                <w:szCs w:val="22"/>
                <w:color w:val="auto"/>
              </w:rPr>
              <w:t>Electronic Delivery</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108</w:t>
            </w:r>
          </w:p>
        </w:tc>
      </w:tr>
      <w:tr>
        <w:trPr>
          <w:trHeight w:val="274"/>
        </w:trPr>
        <w:tc>
          <w:tcPr>
            <w:tcW w:w="1580" w:type="dxa"/>
            <w:vAlign w:val="bottom"/>
          </w:tcPr>
          <w:p>
            <w:pPr>
              <w:ind w:left="220"/>
              <w:spacing w:after="0"/>
              <w:rPr>
                <w:sz w:val="20"/>
                <w:szCs w:val="20"/>
                <w:color w:val="auto"/>
              </w:rPr>
            </w:pPr>
            <w:r>
              <w:rPr>
                <w:rFonts w:ascii="Arial" w:cs="Arial" w:eastAsia="Arial" w:hAnsi="Arial"/>
                <w:sz w:val="22"/>
                <w:szCs w:val="22"/>
                <w:color w:val="auto"/>
                <w:w w:val="99"/>
              </w:rPr>
              <w:t>Section 12.18</w:t>
            </w:r>
          </w:p>
        </w:tc>
        <w:tc>
          <w:tcPr>
            <w:tcW w:w="8920" w:type="dxa"/>
            <w:vAlign w:val="bottom"/>
          </w:tcPr>
          <w:p>
            <w:pPr>
              <w:ind w:left="780"/>
              <w:spacing w:after="0"/>
              <w:rPr>
                <w:sz w:val="20"/>
                <w:szCs w:val="20"/>
                <w:color w:val="auto"/>
              </w:rPr>
            </w:pPr>
            <w:r>
              <w:rPr>
                <w:rFonts w:ascii="Arial" w:cs="Arial" w:eastAsia="Arial" w:hAnsi="Arial"/>
                <w:sz w:val="22"/>
                <w:szCs w:val="22"/>
                <w:color w:val="auto"/>
              </w:rPr>
              <w:t>Language of Notices. Etc.</w:t>
            </w:r>
          </w:p>
        </w:tc>
        <w:tc>
          <w:tcPr>
            <w:tcW w:w="720" w:type="dxa"/>
            <w:vAlign w:val="bottom"/>
          </w:tcPr>
          <w:p>
            <w:pPr>
              <w:jc w:val="center"/>
              <w:ind w:left="253"/>
              <w:spacing w:after="0"/>
              <w:rPr>
                <w:sz w:val="20"/>
                <w:szCs w:val="20"/>
                <w:color w:val="auto"/>
              </w:rPr>
            </w:pPr>
            <w:r>
              <w:rPr>
                <w:rFonts w:ascii="Arial" w:cs="Arial" w:eastAsia="Arial" w:hAnsi="Arial"/>
                <w:sz w:val="22"/>
                <w:szCs w:val="22"/>
                <w:color w:val="auto"/>
                <w:w w:val="87"/>
              </w:rPr>
              <w:t>109</w:t>
            </w:r>
          </w:p>
        </w:tc>
      </w:tr>
      <w:tr>
        <w:trPr>
          <w:trHeight w:val="574"/>
        </w:trPr>
        <w:tc>
          <w:tcPr>
            <w:tcW w:w="1580" w:type="dxa"/>
            <w:vAlign w:val="bottom"/>
          </w:tcPr>
          <w:p>
            <w:pPr>
              <w:spacing w:after="0"/>
              <w:rPr>
                <w:sz w:val="24"/>
                <w:szCs w:val="24"/>
                <w:color w:val="auto"/>
              </w:rPr>
            </w:pPr>
          </w:p>
        </w:tc>
        <w:tc>
          <w:tcPr>
            <w:tcW w:w="8920" w:type="dxa"/>
            <w:vAlign w:val="bottom"/>
          </w:tcPr>
          <w:p>
            <w:pPr>
              <w:ind w:left="3580"/>
              <w:spacing w:after="0"/>
              <w:rPr>
                <w:sz w:val="20"/>
                <w:szCs w:val="20"/>
                <w:color w:val="auto"/>
              </w:rPr>
            </w:pPr>
            <w:r>
              <w:rPr>
                <w:rFonts w:ascii="Arial" w:cs="Arial" w:eastAsia="Arial" w:hAnsi="Arial"/>
                <w:sz w:val="20"/>
                <w:szCs w:val="20"/>
                <w:color w:val="auto"/>
              </w:rPr>
              <w:t>EXHIBITS</w:t>
            </w:r>
          </w:p>
        </w:tc>
        <w:tc>
          <w:tcPr>
            <w:tcW w:w="720" w:type="dxa"/>
            <w:vAlign w:val="bottom"/>
          </w:tcPr>
          <w:p>
            <w:pPr>
              <w:spacing w:after="0"/>
              <w:rPr>
                <w:sz w:val="24"/>
                <w:szCs w:val="24"/>
                <w:color w:val="auto"/>
              </w:rPr>
            </w:pPr>
          </w:p>
        </w:tc>
      </w:tr>
      <w:tr>
        <w:trPr>
          <w:trHeight w:val="492"/>
        </w:trPr>
        <w:tc>
          <w:tcPr>
            <w:tcW w:w="1580" w:type="dxa"/>
            <w:vAlign w:val="bottom"/>
          </w:tcPr>
          <w:p>
            <w:pPr>
              <w:spacing w:after="0"/>
              <w:rPr>
                <w:sz w:val="20"/>
                <w:szCs w:val="20"/>
                <w:color w:val="auto"/>
              </w:rPr>
            </w:pPr>
            <w:r>
              <w:rPr>
                <w:rFonts w:ascii="Arial" w:cs="Arial" w:eastAsia="Arial" w:hAnsi="Arial"/>
                <w:sz w:val="20"/>
                <w:szCs w:val="20"/>
                <w:color w:val="auto"/>
              </w:rPr>
              <w:t>Exhibit A</w:t>
            </w:r>
          </w:p>
        </w:tc>
        <w:tc>
          <w:tcPr>
            <w:tcW w:w="8920" w:type="dxa"/>
            <w:vAlign w:val="bottom"/>
          </w:tcPr>
          <w:p>
            <w:pPr>
              <w:ind w:left="160"/>
              <w:spacing w:after="0"/>
              <w:rPr>
                <w:sz w:val="20"/>
                <w:szCs w:val="20"/>
                <w:color w:val="auto"/>
              </w:rPr>
            </w:pPr>
            <w:r>
              <w:rPr>
                <w:rFonts w:ascii="Arial" w:cs="Arial" w:eastAsia="Arial" w:hAnsi="Arial"/>
                <w:sz w:val="20"/>
                <w:szCs w:val="20"/>
                <w:color w:val="auto"/>
              </w:rPr>
              <w:t>FORM OF NOTE</w:t>
            </w:r>
          </w:p>
        </w:tc>
        <w:tc>
          <w:tcPr>
            <w:tcW w:w="720" w:type="dxa"/>
            <w:vAlign w:val="bottom"/>
          </w:tcPr>
          <w:p>
            <w:pPr>
              <w:spacing w:after="0"/>
              <w:rPr>
                <w:sz w:val="24"/>
                <w:szCs w:val="24"/>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Exhibit B</w:t>
            </w:r>
          </w:p>
        </w:tc>
        <w:tc>
          <w:tcPr>
            <w:tcW w:w="8920" w:type="dxa"/>
            <w:vAlign w:val="bottom"/>
          </w:tcPr>
          <w:p>
            <w:pPr>
              <w:ind w:left="160"/>
              <w:spacing w:after="0"/>
              <w:rPr>
                <w:sz w:val="20"/>
                <w:szCs w:val="20"/>
                <w:color w:val="auto"/>
              </w:rPr>
            </w:pPr>
            <w:r>
              <w:rPr>
                <w:rFonts w:ascii="Arial" w:cs="Arial" w:eastAsia="Arial" w:hAnsi="Arial"/>
                <w:sz w:val="20"/>
                <w:szCs w:val="20"/>
                <w:color w:val="auto"/>
              </w:rPr>
              <w:t>FORM OF CERTIFICATE OF TRANSFER</w:t>
            </w:r>
          </w:p>
        </w:tc>
        <w:tc>
          <w:tcPr>
            <w:tcW w:w="7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Exhibit C</w:t>
            </w:r>
          </w:p>
        </w:tc>
        <w:tc>
          <w:tcPr>
            <w:tcW w:w="8920" w:type="dxa"/>
            <w:vAlign w:val="bottom"/>
          </w:tcPr>
          <w:p>
            <w:pPr>
              <w:ind w:left="160"/>
              <w:spacing w:after="0"/>
              <w:rPr>
                <w:sz w:val="20"/>
                <w:szCs w:val="20"/>
                <w:color w:val="auto"/>
              </w:rPr>
            </w:pPr>
            <w:r>
              <w:rPr>
                <w:rFonts w:ascii="Arial" w:cs="Arial" w:eastAsia="Arial" w:hAnsi="Arial"/>
                <w:sz w:val="20"/>
                <w:szCs w:val="20"/>
                <w:color w:val="auto"/>
              </w:rPr>
              <w:t>FORM OF CERTIFICATE OF EXCHANGE</w:t>
            </w:r>
          </w:p>
        </w:tc>
        <w:tc>
          <w:tcPr>
            <w:tcW w:w="7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Exhibit D</w:t>
            </w:r>
          </w:p>
        </w:tc>
        <w:tc>
          <w:tcPr>
            <w:tcW w:w="8920" w:type="dxa"/>
            <w:vAlign w:val="bottom"/>
          </w:tcPr>
          <w:p>
            <w:pPr>
              <w:ind w:left="160"/>
              <w:spacing w:after="0"/>
              <w:rPr>
                <w:sz w:val="20"/>
                <w:szCs w:val="20"/>
                <w:color w:val="auto"/>
              </w:rPr>
            </w:pPr>
            <w:r>
              <w:rPr>
                <w:rFonts w:ascii="Arial" w:cs="Arial" w:eastAsia="Arial" w:hAnsi="Arial"/>
                <w:sz w:val="20"/>
                <w:szCs w:val="20"/>
                <w:color w:val="auto"/>
              </w:rPr>
              <w:t>FORM OF CERTIFICATE FROM ACQUIRING INSTITUTIONAL ACCREDITED INVESTOR</w:t>
            </w:r>
          </w:p>
        </w:tc>
        <w:tc>
          <w:tcPr>
            <w:tcW w:w="720" w:type="dxa"/>
            <w:vAlign w:val="bottom"/>
          </w:tcPr>
          <w:p>
            <w:pPr>
              <w:spacing w:after="0"/>
              <w:rPr>
                <w:sz w:val="21"/>
                <w:szCs w:val="21"/>
                <w:color w:val="auto"/>
              </w:rPr>
            </w:pPr>
          </w:p>
        </w:tc>
      </w:t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Exhibit E</w:t>
            </w:r>
          </w:p>
        </w:tc>
        <w:tc>
          <w:tcPr>
            <w:tcW w:w="8920" w:type="dxa"/>
            <w:vAlign w:val="bottom"/>
          </w:tcPr>
          <w:p>
            <w:pPr>
              <w:ind w:left="160"/>
              <w:spacing w:after="0"/>
              <w:rPr>
                <w:sz w:val="20"/>
                <w:szCs w:val="20"/>
                <w:color w:val="auto"/>
              </w:rPr>
            </w:pPr>
            <w:r>
              <w:rPr>
                <w:rFonts w:ascii="Arial" w:cs="Arial" w:eastAsia="Arial" w:hAnsi="Arial"/>
                <w:sz w:val="20"/>
                <w:szCs w:val="20"/>
                <w:color w:val="auto"/>
                <w:w w:val="98"/>
              </w:rPr>
              <w:t>FORM OF SUPPLEMENTAL INDENTURE TO BE DELIVERED BY SUBSEQUENT GUARANTORS</w:t>
            </w:r>
          </w:p>
        </w:tc>
        <w:tc>
          <w:tcPr>
            <w:tcW w:w="7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20"/>
          </w:cols>
          <w:pgMar w:left="340" w:top="1419" w:right="339" w:bottom="1440" w:gutter="0" w:footer="0" w:header="0"/>
        </w:sectPr>
      </w:pPr>
    </w:p>
    <w:bookmarkStart w:id="12" w:name="page13"/>
    <w:bookmarkEnd w:id="12"/>
    <w:p>
      <w:pPr>
        <w:spacing w:after="0" w:line="18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INDENTURE dated as of January 20, 2021 among California Resources Corporation, a Delaware corporation (the “</w:t>
      </w:r>
      <w:r>
        <w:rPr>
          <w:rFonts w:ascii="Arial" w:cs="Arial" w:eastAsia="Arial" w:hAnsi="Arial"/>
          <w:sz w:val="20"/>
          <w:szCs w:val="20"/>
          <w:i w:val="1"/>
          <w:iCs w:val="1"/>
          <w:color w:val="auto"/>
        </w:rPr>
        <w:t>Issuer</w:t>
      </w:r>
      <w:r>
        <w:rPr>
          <w:rFonts w:ascii="Arial" w:cs="Arial" w:eastAsia="Arial" w:hAnsi="Arial"/>
          <w:sz w:val="20"/>
          <w:szCs w:val="20"/>
          <w:color w:val="auto"/>
        </w:rPr>
        <w:t>”), the Guarantors (as defined) and Wilmington Trust, National Association, as trustee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the Guarantors and the Trustee agree as follows for the benefit of each other and for the equal and ratable benefit of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Holders (as defined) of the 7.125% Senior Notes due 2026 (as further defined herein,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1</w:t>
      </w:r>
    </w:p>
    <w:p>
      <w:pPr>
        <w:jc w:val="center"/>
        <w:ind w:right="-79"/>
        <w:spacing w:after="0" w:line="227" w:lineRule="auto"/>
        <w:rPr>
          <w:sz w:val="20"/>
          <w:szCs w:val="20"/>
          <w:color w:val="auto"/>
        </w:rPr>
      </w:pPr>
      <w:r>
        <w:rPr>
          <w:rFonts w:ascii="Arial" w:cs="Arial" w:eastAsia="Arial" w:hAnsi="Arial"/>
          <w:sz w:val="20"/>
          <w:szCs w:val="20"/>
          <w:color w:val="auto"/>
        </w:rPr>
        <w:t>DEFINITIONS AND INCORPORATION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 REFERENCE</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Acquired Debt</w:t>
      </w:r>
      <w:r>
        <w:rPr>
          <w:rFonts w:ascii="Arial" w:cs="Arial" w:eastAsia="Arial" w:hAnsi="Arial"/>
          <w:sz w:val="20"/>
          <w:szCs w:val="20"/>
          <w:color w:val="auto"/>
        </w:rPr>
        <w:t>” means, with respect to any specified Person:</w:t>
      </w:r>
    </w:p>
    <w:p>
      <w:pPr>
        <w:spacing w:after="0" w:line="189" w:lineRule="exact"/>
        <w:rPr>
          <w:sz w:val="20"/>
          <w:szCs w:val="20"/>
          <w:color w:val="auto"/>
        </w:rPr>
      </w:pPr>
    </w:p>
    <w:p>
      <w:pPr>
        <w:jc w:val="both"/>
        <w:ind w:left="660" w:right="60" w:firstLine="644"/>
        <w:spacing w:after="0" w:line="254" w:lineRule="auto"/>
        <w:tabs>
          <w:tab w:leader="none" w:pos="1737" w:val="left"/>
        </w:tabs>
        <w:numPr>
          <w:ilvl w:val="0"/>
          <w:numId w:val="2"/>
        </w:numPr>
        <w:rPr>
          <w:rFonts w:ascii="Arial" w:cs="Arial" w:eastAsia="Arial" w:hAnsi="Arial"/>
          <w:sz w:val="19"/>
          <w:szCs w:val="19"/>
          <w:color w:val="auto"/>
        </w:rPr>
      </w:pPr>
      <w:r>
        <w:rPr>
          <w:rFonts w:ascii="Arial" w:cs="Arial" w:eastAsia="Arial" w:hAnsi="Arial"/>
          <w:sz w:val="19"/>
          <w:szCs w:val="19"/>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43" w:lineRule="exact"/>
        <w:rPr>
          <w:rFonts w:ascii="Arial" w:cs="Arial" w:eastAsia="Arial" w:hAnsi="Arial"/>
          <w:sz w:val="19"/>
          <w:szCs w:val="19"/>
          <w:color w:val="auto"/>
        </w:rPr>
      </w:pPr>
    </w:p>
    <w:p>
      <w:pPr>
        <w:ind w:left="1740" w:hanging="436"/>
        <w:spacing w:after="0"/>
        <w:tabs>
          <w:tab w:leader="none" w:pos="1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Indebtedness secured by a Lien encumbering any asset acquired by such specified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Assets</w:t>
      </w:r>
      <w:r>
        <w:rPr>
          <w:rFonts w:ascii="Arial" w:cs="Arial" w:eastAsia="Arial" w:hAnsi="Arial"/>
          <w:sz w:val="20"/>
          <w:szCs w:val="20"/>
          <w:color w:val="auto"/>
        </w:rPr>
        <w:t>” means:</w:t>
      </w:r>
    </w:p>
    <w:p>
      <w:pPr>
        <w:spacing w:after="0" w:line="189" w:lineRule="exact"/>
        <w:rPr>
          <w:sz w:val="20"/>
          <w:szCs w:val="20"/>
          <w:color w:val="auto"/>
        </w:rPr>
      </w:pPr>
    </w:p>
    <w:p>
      <w:pPr>
        <w:ind w:left="1740" w:hanging="436"/>
        <w:spacing w:after="0"/>
        <w:tabs>
          <w:tab w:leader="none" w:pos="1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assets used or useful in the Oil and Gas Business, other than Indebtedness or Capital Stock;</w:t>
      </w:r>
    </w:p>
    <w:p>
      <w:pPr>
        <w:spacing w:after="0" w:line="175" w:lineRule="exact"/>
        <w:rPr>
          <w:rFonts w:ascii="Arial" w:cs="Arial" w:eastAsia="Arial" w:hAnsi="Arial"/>
          <w:sz w:val="20"/>
          <w:szCs w:val="20"/>
          <w:color w:val="auto"/>
        </w:rPr>
      </w:pPr>
    </w:p>
    <w:p>
      <w:pPr>
        <w:ind w:left="660" w:right="160" w:firstLine="644"/>
        <w:spacing w:after="0" w:line="246" w:lineRule="auto"/>
        <w:tabs>
          <w:tab w:leader="none" w:pos="1737"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Capital Stock of a Person that becomes a Restricted Subsidiary as a result of the acquisition of such Capital Stock by the Issuer or any of its Restricted Subsidiaries; or</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Stock constituting a minority interest in any Person that at such time is a Restricted Subsidiary;</w:t>
      </w:r>
    </w:p>
    <w:p>
      <w:pPr>
        <w:spacing w:after="0" w:line="189" w:lineRule="exact"/>
        <w:rPr>
          <w:sz w:val="20"/>
          <w:szCs w:val="20"/>
          <w:color w:val="auto"/>
        </w:rPr>
      </w:pPr>
    </w:p>
    <w:p>
      <w:pPr>
        <w:ind w:left="660" w:right="160"/>
        <w:spacing w:after="0" w:line="246"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any such Restricted Subsidiary described in clause (2) or (3) above is primarily engaged in the Oil and Gas</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w:t>
      </w:r>
    </w:p>
    <w:p>
      <w:pPr>
        <w:spacing w:after="0" w:line="150"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Notes</w:t>
      </w:r>
      <w:r>
        <w:rPr>
          <w:rFonts w:ascii="Arial" w:cs="Arial" w:eastAsia="Arial" w:hAnsi="Arial"/>
          <w:sz w:val="20"/>
          <w:szCs w:val="20"/>
          <w:color w:val="auto"/>
        </w:rPr>
        <w:t>” means additional Notes (other than the Initial Notes) issued under this Indenture in accordance with Sections 2.02, 2.13 and 4.09, as part of the same series as the Initial Notes.</w:t>
      </w:r>
    </w:p>
    <w:p>
      <w:pPr>
        <w:spacing w:after="0" w:line="163" w:lineRule="exact"/>
        <w:rPr>
          <w:sz w:val="20"/>
          <w:szCs w:val="20"/>
          <w:color w:val="auto"/>
        </w:rPr>
      </w:pPr>
    </w:p>
    <w:p>
      <w:pPr>
        <w:ind w:left="660" w:right="2100"/>
        <w:spacing w:after="0" w:line="45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Adjusted Consolidated Net Tangible Assets</w:t>
      </w:r>
      <w:r>
        <w:rPr>
          <w:rFonts w:ascii="Arial" w:cs="Arial" w:eastAsia="Arial" w:hAnsi="Arial"/>
          <w:sz w:val="20"/>
          <w:szCs w:val="20"/>
          <w:color w:val="auto"/>
        </w:rPr>
        <w:t>” means (without duplication), as of the date of determination, (a) the sum of:</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80"/>
          </w:cols>
          <w:pgMar w:left="320" w:top="1440" w:right="399" w:bottom="1440" w:gutter="0" w:footer="0" w:header="0"/>
        </w:sectPr>
      </w:pPr>
    </w:p>
    <w:bookmarkStart w:id="13" w:name="page14"/>
    <w:bookmarkEnd w:id="13"/>
    <w:p>
      <w:pPr>
        <w:spacing w:after="0" w:line="182" w:lineRule="exact"/>
        <w:rPr>
          <w:sz w:val="20"/>
          <w:szCs w:val="20"/>
          <w:color w:val="auto"/>
        </w:rPr>
      </w:pPr>
    </w:p>
    <w:p>
      <w:pPr>
        <w:ind w:left="840" w:right="60" w:hanging="656"/>
        <w:spacing w:after="0" w:line="242" w:lineRule="auto"/>
        <w:tabs>
          <w:tab w:leader="none" w:pos="57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Arial" w:cs="Arial" w:eastAsia="Arial" w:hAnsi="Arial"/>
          <w:sz w:val="19"/>
          <w:szCs w:val="19"/>
          <w:i w:val="1"/>
          <w:iCs w:val="1"/>
          <w:color w:val="auto"/>
        </w:rPr>
        <w:t>increased by</w:t>
      </w:r>
      <w:r>
        <w:rPr>
          <w:rFonts w:ascii="Arial" w:cs="Arial" w:eastAsia="Arial" w:hAnsi="Arial"/>
          <w:sz w:val="19"/>
          <w:szCs w:val="19"/>
          <w:color w:val="auto"/>
        </w:rPr>
        <w:t>, as of the date of determination, the estimated discounted future net revenues calculated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SEC guidelines from:</w:t>
      </w:r>
    </w:p>
    <w:p>
      <w:pPr>
        <w:spacing w:after="0" w:line="154" w:lineRule="exact"/>
        <w:rPr>
          <w:rFonts w:ascii="Arial" w:cs="Arial" w:eastAsia="Arial" w:hAnsi="Arial"/>
          <w:sz w:val="19"/>
          <w:szCs w:val="19"/>
          <w:color w:val="auto"/>
        </w:rPr>
      </w:pPr>
    </w:p>
    <w:p>
      <w:pPr>
        <w:ind w:left="1480" w:right="280" w:hanging="648"/>
        <w:spacing w:after="0" w:line="246" w:lineRule="auto"/>
        <w:tabs>
          <w:tab w:leader="none" w:pos="1305" w:val="left"/>
        </w:tabs>
        <w:numPr>
          <w:ilvl w:val="1"/>
          <w:numId w:val="4"/>
        </w:numPr>
        <w:rPr>
          <w:rFonts w:ascii="Arial" w:cs="Arial" w:eastAsia="Arial" w:hAnsi="Arial"/>
          <w:sz w:val="20"/>
          <w:szCs w:val="20"/>
          <w:color w:val="auto"/>
        </w:rPr>
      </w:pPr>
      <w:r>
        <w:rPr>
          <w:rFonts w:ascii="Arial" w:cs="Arial" w:eastAsia="Arial" w:hAnsi="Arial"/>
          <w:sz w:val="20"/>
          <w:szCs w:val="20"/>
          <w:color w:val="auto"/>
        </w:rPr>
        <w:t>estimated proved oil and natural gas reserves of the Issuer and its Restricted Subsidiaries acquired since the date of such year-end or quarterly reserve report, and</w:t>
      </w:r>
    </w:p>
    <w:p>
      <w:pPr>
        <w:spacing w:after="0" w:line="163" w:lineRule="exact"/>
        <w:rPr>
          <w:rFonts w:ascii="Arial" w:cs="Arial" w:eastAsia="Arial" w:hAnsi="Arial"/>
          <w:sz w:val="20"/>
          <w:szCs w:val="20"/>
          <w:color w:val="auto"/>
        </w:rPr>
      </w:pPr>
    </w:p>
    <w:p>
      <w:pPr>
        <w:ind w:left="1480" w:right="160" w:hanging="648"/>
        <w:spacing w:after="0" w:line="244" w:lineRule="auto"/>
        <w:tabs>
          <w:tab w:leader="none" w:pos="1294" w:val="left"/>
        </w:tabs>
        <w:numPr>
          <w:ilvl w:val="1"/>
          <w:numId w:val="4"/>
        </w:numPr>
        <w:rPr>
          <w:rFonts w:ascii="Arial" w:cs="Arial" w:eastAsia="Arial" w:hAnsi="Arial"/>
          <w:sz w:val="19"/>
          <w:szCs w:val="19"/>
          <w:color w:val="auto"/>
        </w:rPr>
      </w:pPr>
      <w:r>
        <w:rPr>
          <w:rFonts w:ascii="Arial" w:cs="Arial" w:eastAsia="Arial" w:hAnsi="Arial"/>
          <w:sz w:val="19"/>
          <w:szCs w:val="19"/>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decreased by</w:t>
      </w:r>
      <w:r>
        <w:rPr>
          <w:rFonts w:ascii="Arial" w:cs="Arial" w:eastAsia="Arial" w:hAnsi="Arial"/>
          <w:sz w:val="19"/>
          <w:szCs w:val="19"/>
          <w:color w:val="auto"/>
        </w:rPr>
        <w:t>, as of the date of determination, the estimated discounted future net revenue attributable to:</w:t>
      </w:r>
    </w:p>
    <w:p>
      <w:pPr>
        <w:spacing w:after="0" w:line="187" w:lineRule="exact"/>
        <w:rPr>
          <w:sz w:val="20"/>
          <w:szCs w:val="20"/>
          <w:color w:val="auto"/>
        </w:rPr>
      </w:pPr>
    </w:p>
    <w:p>
      <w:pPr>
        <w:ind w:left="1480" w:right="420" w:hanging="648"/>
        <w:spacing w:after="0" w:line="368" w:lineRule="auto"/>
        <w:tabs>
          <w:tab w:leader="none" w:pos="1294"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estimated proved oil and natural gas reserves of the Issuer and its Restricted Subsidiaries reflected in such reserve report produced or disposed of since the date of such year-end or quarterly reserve report, and</w:t>
      </w:r>
    </w:p>
    <w:p>
      <w:pPr>
        <w:spacing w:after="0" w:line="70" w:lineRule="exact"/>
        <w:rPr>
          <w:rFonts w:ascii="Arial" w:cs="Arial" w:eastAsia="Arial" w:hAnsi="Arial"/>
          <w:sz w:val="16"/>
          <w:szCs w:val="16"/>
          <w:color w:val="auto"/>
        </w:rPr>
      </w:pPr>
    </w:p>
    <w:p>
      <w:pPr>
        <w:ind w:left="1480" w:right="40" w:hanging="648"/>
        <w:spacing w:after="0" w:line="267" w:lineRule="auto"/>
        <w:tabs>
          <w:tab w:leader="none" w:pos="1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145" w:lineRule="exact"/>
        <w:rPr>
          <w:sz w:val="20"/>
          <w:szCs w:val="20"/>
          <w:color w:val="auto"/>
        </w:rPr>
      </w:pPr>
    </w:p>
    <w:p>
      <w:pPr>
        <w:ind w:left="840"/>
        <w:spacing w:after="0" w:line="234" w:lineRule="auto"/>
        <w:rPr>
          <w:sz w:val="20"/>
          <w:szCs w:val="20"/>
          <w:color w:val="auto"/>
        </w:rPr>
      </w:pPr>
      <w:r>
        <w:rPr>
          <w:rFonts w:ascii="Arial" w:cs="Arial" w:eastAsia="Arial" w:hAnsi="Arial"/>
          <w:sz w:val="20"/>
          <w:szCs w:val="20"/>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156" w:lineRule="exact"/>
        <w:rPr>
          <w:sz w:val="20"/>
          <w:szCs w:val="20"/>
          <w:color w:val="auto"/>
        </w:rPr>
      </w:pPr>
    </w:p>
    <w:p>
      <w:pPr>
        <w:ind w:left="840" w:right="60" w:hanging="656"/>
        <w:spacing w:after="0" w:line="234" w:lineRule="auto"/>
        <w:tabs>
          <w:tab w:leader="none" w:pos="632"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00"/>
          </w:cols>
          <w:pgMar w:left="1440" w:top="1440" w:right="359" w:bottom="1440" w:gutter="0" w:footer="0" w:header="0"/>
        </w:sectPr>
      </w:pPr>
    </w:p>
    <w:bookmarkStart w:id="14" w:name="page15"/>
    <w:bookmarkEnd w:id="14"/>
    <w:p>
      <w:pPr>
        <w:spacing w:after="0" w:line="182" w:lineRule="exact"/>
        <w:rPr>
          <w:sz w:val="20"/>
          <w:szCs w:val="20"/>
          <w:color w:val="auto"/>
        </w:rPr>
      </w:pPr>
    </w:p>
    <w:p>
      <w:pPr>
        <w:jc w:val="right"/>
        <w:ind w:left="1960" w:right="200" w:hanging="656"/>
        <w:spacing w:after="0" w:line="368" w:lineRule="auto"/>
        <w:tabs>
          <w:tab w:leader="none" w:pos="180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Consolidated Net Working Capital of the Issuer and its Restricted Subsidiaries as of a date no earlier than the last day of the Issuer’s most recent quarterly or annual period for which internal financial statements are available; and</w:t>
      </w:r>
    </w:p>
    <w:p>
      <w:pPr>
        <w:spacing w:after="0" w:line="56" w:lineRule="exact"/>
        <w:rPr>
          <w:rFonts w:ascii="Arial" w:cs="Arial" w:eastAsia="Arial" w:hAnsi="Arial"/>
          <w:sz w:val="16"/>
          <w:szCs w:val="16"/>
          <w:color w:val="auto"/>
        </w:rPr>
      </w:pPr>
    </w:p>
    <w:p>
      <w:pPr>
        <w:ind w:left="1780" w:hanging="476"/>
        <w:spacing w:after="0"/>
        <w:tabs>
          <w:tab w:leader="none" w:pos="17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greater of:</w:t>
      </w:r>
    </w:p>
    <w:p>
      <w:pPr>
        <w:spacing w:after="0" w:line="188" w:lineRule="exact"/>
        <w:rPr>
          <w:rFonts w:ascii="Arial" w:cs="Arial" w:eastAsia="Arial" w:hAnsi="Arial"/>
          <w:sz w:val="20"/>
          <w:szCs w:val="20"/>
          <w:color w:val="auto"/>
        </w:rPr>
      </w:pPr>
    </w:p>
    <w:p>
      <w:pPr>
        <w:ind w:left="2420" w:hanging="468"/>
        <w:spacing w:after="0"/>
        <w:tabs>
          <w:tab w:leader="none" w:pos="242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net book value and</w:t>
      </w:r>
    </w:p>
    <w:p>
      <w:pPr>
        <w:spacing w:after="0" w:line="188" w:lineRule="exact"/>
        <w:rPr>
          <w:rFonts w:ascii="Arial" w:cs="Arial" w:eastAsia="Arial" w:hAnsi="Arial"/>
          <w:sz w:val="20"/>
          <w:szCs w:val="20"/>
          <w:color w:val="auto"/>
        </w:rPr>
      </w:pPr>
    </w:p>
    <w:p>
      <w:pPr>
        <w:ind w:left="2600" w:right="120" w:hanging="648"/>
        <w:spacing w:after="0" w:line="246" w:lineRule="auto"/>
        <w:tabs>
          <w:tab w:leader="none" w:pos="2414"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appraised value, as estimated by independent appraisers, of other tangible assets (including Investments in unconsolidated Subsidiaries)</w:t>
      </w:r>
    </w:p>
    <w:p>
      <w:pPr>
        <w:spacing w:after="0" w:line="150" w:lineRule="exact"/>
        <w:rPr>
          <w:sz w:val="20"/>
          <w:szCs w:val="20"/>
          <w:color w:val="auto"/>
        </w:rPr>
      </w:pPr>
    </w:p>
    <w:p>
      <w:pPr>
        <w:ind w:left="1300"/>
        <w:spacing w:after="0" w:line="234" w:lineRule="auto"/>
        <w:rPr>
          <w:sz w:val="20"/>
          <w:szCs w:val="20"/>
          <w:color w:val="auto"/>
        </w:rPr>
      </w:pPr>
      <w:r>
        <w:rPr>
          <w:rFonts w:ascii="Arial" w:cs="Arial" w:eastAsia="Arial" w:hAnsi="Arial"/>
          <w:sz w:val="20"/>
          <w:szCs w:val="20"/>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no such appraisal has been performed, the Issuer shall not be required to obtain such an appraisal and only clause (iv)(A) of this definition shall apply,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minus</w:t>
      </w:r>
      <w:r>
        <w:rPr>
          <w:rFonts w:ascii="Arial" w:cs="Arial" w:eastAsia="Arial" w:hAnsi="Arial"/>
          <w:sz w:val="20"/>
          <w:szCs w:val="20"/>
          <w:color w:val="auto"/>
        </w:rPr>
        <w:t>, to the extent not otherwise taken into account in the immediately preceding clause (a),</w:t>
      </w:r>
    </w:p>
    <w:p>
      <w:pPr>
        <w:spacing w:after="0" w:line="1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sum of:</w:t>
      </w:r>
    </w:p>
    <w:p>
      <w:pPr>
        <w:spacing w:after="0" w:line="175" w:lineRule="exact"/>
        <w:rPr>
          <w:rFonts w:ascii="Arial" w:cs="Arial" w:eastAsia="Arial" w:hAnsi="Arial"/>
          <w:sz w:val="20"/>
          <w:szCs w:val="20"/>
          <w:color w:val="auto"/>
        </w:rPr>
      </w:pPr>
    </w:p>
    <w:p>
      <w:pPr>
        <w:ind w:left="1680" w:hanging="376"/>
        <w:spacing w:after="0"/>
        <w:tabs>
          <w:tab w:leader="none" w:pos="1680" w:val="left"/>
        </w:tabs>
        <w:numPr>
          <w:ilvl w:val="1"/>
          <w:numId w:val="8"/>
        </w:numPr>
        <w:rPr>
          <w:rFonts w:ascii="Arial" w:cs="Arial" w:eastAsia="Arial" w:hAnsi="Arial"/>
          <w:sz w:val="20"/>
          <w:szCs w:val="20"/>
          <w:color w:val="auto"/>
        </w:rPr>
      </w:pPr>
      <w:r>
        <w:rPr>
          <w:rFonts w:ascii="Arial" w:cs="Arial" w:eastAsia="Arial" w:hAnsi="Arial"/>
          <w:sz w:val="20"/>
          <w:szCs w:val="20"/>
          <w:color w:val="auto"/>
        </w:rPr>
        <w:t>minority interests;</w:t>
      </w:r>
    </w:p>
    <w:p>
      <w:pPr>
        <w:spacing w:after="0" w:line="188" w:lineRule="exact"/>
        <w:rPr>
          <w:rFonts w:ascii="Arial" w:cs="Arial" w:eastAsia="Arial" w:hAnsi="Arial"/>
          <w:sz w:val="20"/>
          <w:szCs w:val="20"/>
          <w:color w:val="auto"/>
        </w:rPr>
      </w:pPr>
    </w:p>
    <w:p>
      <w:pPr>
        <w:ind w:left="1960" w:right="20" w:hanging="656"/>
        <w:spacing w:after="0" w:line="234" w:lineRule="auto"/>
        <w:tabs>
          <w:tab w:leader="none" w:pos="1752"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(a)(iii) of this definition;</w:t>
      </w:r>
    </w:p>
    <w:p>
      <w:pPr>
        <w:spacing w:after="0" w:line="169" w:lineRule="exact"/>
        <w:rPr>
          <w:rFonts w:ascii="Arial" w:cs="Arial" w:eastAsia="Arial" w:hAnsi="Arial"/>
          <w:sz w:val="20"/>
          <w:szCs w:val="20"/>
          <w:color w:val="auto"/>
        </w:rPr>
      </w:pPr>
    </w:p>
    <w:p>
      <w:pPr>
        <w:ind w:left="1960" w:right="260" w:hanging="656"/>
        <w:spacing w:after="0" w:line="310" w:lineRule="auto"/>
        <w:tabs>
          <w:tab w:leader="none" w:pos="1807"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102" w:lineRule="exact"/>
        <w:rPr>
          <w:rFonts w:ascii="Arial" w:cs="Arial" w:eastAsia="Arial" w:hAnsi="Arial"/>
          <w:sz w:val="16"/>
          <w:szCs w:val="16"/>
          <w:color w:val="auto"/>
        </w:rPr>
      </w:pPr>
    </w:p>
    <w:p>
      <w:pPr>
        <w:ind w:left="1960" w:right="40" w:hanging="656"/>
        <w:spacing w:after="0" w:line="246" w:lineRule="auto"/>
        <w:tabs>
          <w:tab w:leader="none" w:pos="1796"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63" w:lineRule="exact"/>
        <w:rPr>
          <w:sz w:val="20"/>
          <w:szCs w:val="20"/>
          <w:color w:val="auto"/>
        </w:rPr>
      </w:pPr>
    </w:p>
    <w:p>
      <w:pPr>
        <w:jc w:val="both"/>
        <w:ind w:right="180" w:firstLine="648"/>
        <w:spacing w:after="0" w:line="237" w:lineRule="auto"/>
        <w:rPr>
          <w:sz w:val="20"/>
          <w:szCs w:val="20"/>
          <w:color w:val="auto"/>
        </w:rPr>
      </w:pPr>
      <w:r>
        <w:rPr>
          <w:rFonts w:ascii="Arial" w:cs="Arial" w:eastAsia="Arial" w:hAnsi="Arial"/>
          <w:sz w:val="20"/>
          <w:szCs w:val="20"/>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69" w:lineRule="exact"/>
        <w:rPr>
          <w:sz w:val="20"/>
          <w:szCs w:val="20"/>
          <w:color w:val="auto"/>
        </w:rPr>
      </w:pPr>
    </w:p>
    <w:p>
      <w:pPr>
        <w:ind w:right="8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2"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Agent</w:t>
      </w:r>
      <w:r>
        <w:rPr>
          <w:rFonts w:ascii="Arial" w:cs="Arial" w:eastAsia="Arial" w:hAnsi="Arial"/>
          <w:sz w:val="20"/>
          <w:szCs w:val="20"/>
          <w:color w:val="auto"/>
        </w:rPr>
        <w:t>” means any Registrar or Paying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Premium</w:t>
      </w:r>
      <w:r>
        <w:rPr>
          <w:rFonts w:ascii="Arial" w:cs="Arial" w:eastAsia="Arial" w:hAnsi="Arial"/>
          <w:sz w:val="20"/>
          <w:szCs w:val="20"/>
          <w:color w:val="auto"/>
        </w:rPr>
        <w:t>” means, with respect to any Note on any redemption date, the greater of:</w:t>
      </w:r>
    </w:p>
    <w:p>
      <w:pPr>
        <w:spacing w:after="0" w:line="189" w:lineRule="exact"/>
        <w:rPr>
          <w:sz w:val="20"/>
          <w:szCs w:val="20"/>
          <w:color w:val="auto"/>
        </w:rPr>
      </w:pPr>
    </w:p>
    <w:p>
      <w:pPr>
        <w:ind w:left="1740" w:hanging="436"/>
        <w:spacing w:after="0"/>
        <w:tabs>
          <w:tab w:leader="none" w:pos="1740" w:val="left"/>
        </w:tabs>
        <w:numPr>
          <w:ilvl w:val="0"/>
          <w:numId w:val="9"/>
        </w:numPr>
        <w:rPr>
          <w:rFonts w:ascii="Arial" w:cs="Arial" w:eastAsia="Arial" w:hAnsi="Arial"/>
          <w:sz w:val="20"/>
          <w:szCs w:val="20"/>
          <w:color w:val="auto"/>
        </w:rPr>
      </w:pPr>
      <w:r>
        <w:rPr>
          <w:rFonts w:ascii="Arial" w:cs="Arial" w:eastAsia="Arial" w:hAnsi="Arial"/>
          <w:sz w:val="20"/>
          <w:szCs w:val="20"/>
          <w:color w:val="auto"/>
        </w:rPr>
        <w:t>1.0% of the principal amount of the Note; and</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excess of:</w:t>
      </w:r>
    </w:p>
    <w:p>
      <w:pPr>
        <w:spacing w:after="0" w:line="188" w:lineRule="exact"/>
        <w:rPr>
          <w:rFonts w:ascii="Arial" w:cs="Arial" w:eastAsia="Arial" w:hAnsi="Arial"/>
          <w:sz w:val="20"/>
          <w:szCs w:val="20"/>
          <w:color w:val="auto"/>
        </w:rPr>
      </w:pPr>
    </w:p>
    <w:p>
      <w:pPr>
        <w:ind w:left="1300" w:right="60" w:firstLine="652"/>
        <w:spacing w:after="0" w:line="263" w:lineRule="auto"/>
        <w:tabs>
          <w:tab w:leader="none" w:pos="236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February 1, 2023 (such redemption price being set forth in the table appearing in Section 3.07(d)) plus (ii) all required interest payments due on the Note through February 1, 2023 (in each case, excluding accrued but unpaid interest to the redemption date), computed using a discount rate equal to the Treasury Rate as of such redemption date plus 50 basis points discounted to the redemption date on a semi-annual basis (assuming a 360-day year consisting of twelve 30-day months), over</w:t>
      </w:r>
    </w:p>
    <w:p>
      <w:pPr>
        <w:spacing w:after="0" w:line="148" w:lineRule="exact"/>
        <w:rPr>
          <w:rFonts w:ascii="Arial" w:cs="Arial" w:eastAsia="Arial" w:hAnsi="Arial"/>
          <w:sz w:val="18"/>
          <w:szCs w:val="18"/>
          <w:color w:val="auto"/>
        </w:rPr>
      </w:pPr>
    </w:p>
    <w:p>
      <w:pPr>
        <w:ind w:left="2380" w:hanging="428"/>
        <w:spacing w:after="0"/>
        <w:tabs>
          <w:tab w:leader="none" w:pos="238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principal amount of the Note.</w:t>
      </w:r>
    </w:p>
    <w:p>
      <w:pPr>
        <w:spacing w:after="0" w:line="175"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Procedures</w:t>
      </w:r>
      <w:r>
        <w:rPr>
          <w:rFonts w:ascii="Arial" w:cs="Arial" w:eastAsia="Arial" w:hAnsi="Arial"/>
          <w:sz w:val="20"/>
          <w:szCs w:val="20"/>
          <w:color w:val="auto"/>
        </w:rPr>
        <w:t>” means, with respect to any transfer or exchange of or for beneficial interests in any Global Note, the rules and procedures of the Depositary, Euroclear and Clearstream that apply to such transfer or exchange.</w:t>
      </w:r>
    </w:p>
    <w:p>
      <w:pPr>
        <w:spacing w:after="0" w:line="163" w:lineRule="exact"/>
        <w:rPr>
          <w:sz w:val="20"/>
          <w:szCs w:val="20"/>
          <w:color w:val="auto"/>
        </w:rPr>
      </w:pPr>
    </w:p>
    <w:p>
      <w:pPr>
        <w:ind w:right="10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as determined in good faith by the Issuer</w:t>
      </w:r>
      <w:r>
        <w:rPr>
          <w:rFonts w:ascii="Arial" w:cs="Arial" w:eastAsia="Arial" w:hAnsi="Arial"/>
          <w:sz w:val="20"/>
          <w:szCs w:val="20"/>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Asset Sale</w:t>
      </w:r>
      <w:r>
        <w:rPr>
          <w:rFonts w:ascii="Arial" w:cs="Arial" w:eastAsia="Arial" w:hAnsi="Arial"/>
          <w:sz w:val="20"/>
          <w:szCs w:val="20"/>
          <w:color w:val="auto"/>
        </w:rPr>
        <w:t>” means:</w:t>
      </w:r>
    </w:p>
    <w:p>
      <w:pPr>
        <w:spacing w:after="0" w:line="175" w:lineRule="exact"/>
        <w:rPr>
          <w:sz w:val="20"/>
          <w:szCs w:val="20"/>
          <w:color w:val="auto"/>
        </w:rPr>
      </w:pPr>
    </w:p>
    <w:p>
      <w:pPr>
        <w:ind w:left="660" w:right="680" w:firstLine="644"/>
        <w:spacing w:after="0" w:line="272" w:lineRule="auto"/>
        <w:tabs>
          <w:tab w:leader="none" w:pos="1737"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sale, lease (other than operating leases entered into in the ordinary course of business), conveyance or other disposition of any assets or rights by the Issuer or any of the Issuer’s Restricted Subsidiaries; and</w:t>
      </w:r>
    </w:p>
    <w:p>
      <w:pPr>
        <w:spacing w:after="0" w:line="139" w:lineRule="exact"/>
        <w:rPr>
          <w:rFonts w:ascii="Arial" w:cs="Arial" w:eastAsia="Arial" w:hAnsi="Arial"/>
          <w:sz w:val="19"/>
          <w:szCs w:val="19"/>
          <w:color w:val="auto"/>
        </w:rPr>
      </w:pPr>
    </w:p>
    <w:p>
      <w:pPr>
        <w:ind w:left="660" w:firstLine="644"/>
        <w:spacing w:after="0" w:line="234" w:lineRule="auto"/>
        <w:tabs>
          <w:tab w:leader="none" w:pos="1737"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170" w:lineRule="exact"/>
        <w:rPr>
          <w:sz w:val="20"/>
          <w:szCs w:val="20"/>
          <w:color w:val="auto"/>
        </w:rPr>
      </w:pPr>
    </w:p>
    <w:p>
      <w:pPr>
        <w:ind w:left="660" w:right="100"/>
        <w:spacing w:after="0" w:line="237"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 the case of (1) or (2), the sale, assignment, transfer, conveyance, lease or other disposition of all or substantially all</w:t>
      </w:r>
      <w:r>
        <w:rPr>
          <w:rFonts w:ascii="Arial" w:cs="Arial" w:eastAsia="Arial" w:hAnsi="Arial"/>
          <w:sz w:val="20"/>
          <w:szCs w:val="20"/>
          <w:i w:val="1"/>
          <w:iCs w:val="1"/>
          <w:color w:val="auto"/>
        </w:rPr>
        <w:t xml:space="preserve"> </w:t>
      </w:r>
      <w:r>
        <w:rPr>
          <w:rFonts w:ascii="Arial" w:cs="Arial" w:eastAsia="Arial" w:hAnsi="Arial"/>
          <w:sz w:val="20"/>
          <w:szCs w:val="20"/>
          <w:color w:val="auto"/>
        </w:rPr>
        <w:t>of the properties or assets of the Issuer and its Subsidiaries (including by way of a merger or consolidation) will be governed by Section 4.15 and/or by Section 5.01 and not by the provisions of Section 4.10;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preceding, none of the following items will be deemed to be an Asset Sale: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82" w:lineRule="exact"/>
        <w:rPr>
          <w:sz w:val="20"/>
          <w:szCs w:val="20"/>
          <w:color w:val="auto"/>
        </w:rPr>
      </w:pPr>
    </w:p>
    <w:p>
      <w:pPr>
        <w:ind w:right="460" w:firstLine="644"/>
        <w:spacing w:after="0" w:line="246" w:lineRule="auto"/>
        <w:tabs>
          <w:tab w:leader="none" w:pos="1077"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single transaction or series of related transactions that involves assets or Equity Interests having a Fair Market Value of less than $20.0 million;</w:t>
      </w:r>
    </w:p>
    <w:p>
      <w:pPr>
        <w:spacing w:after="0" w:line="149" w:lineRule="exact"/>
        <w:rPr>
          <w:rFonts w:ascii="Arial" w:cs="Arial" w:eastAsia="Arial" w:hAnsi="Arial"/>
          <w:sz w:val="20"/>
          <w:szCs w:val="20"/>
          <w:color w:val="auto"/>
        </w:rPr>
      </w:pPr>
    </w:p>
    <w:p>
      <w:pPr>
        <w:ind w:left="1080" w:hanging="436"/>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transfer of assets between or among the Issuer and its Restricted Subsidiaries;</w:t>
      </w:r>
    </w:p>
    <w:p>
      <w:pPr>
        <w:spacing w:after="0" w:line="188" w:lineRule="exact"/>
        <w:rPr>
          <w:rFonts w:ascii="Arial" w:cs="Arial" w:eastAsia="Arial" w:hAnsi="Arial"/>
          <w:sz w:val="20"/>
          <w:szCs w:val="20"/>
          <w:color w:val="auto"/>
        </w:rPr>
      </w:pPr>
    </w:p>
    <w:p>
      <w:pPr>
        <w:ind w:left="1080" w:hanging="436"/>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issuance or sale of Equity Interests by a Restricted Subsidiary of the Issuer to the Issuer or to a Restricted Subsidiary</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the Issuer;</w:t>
      </w:r>
    </w:p>
    <w:p>
      <w:pPr>
        <w:spacing w:after="0" w:line="172" w:lineRule="exact"/>
        <w:rPr>
          <w:rFonts w:ascii="Arial" w:cs="Arial" w:eastAsia="Arial" w:hAnsi="Arial"/>
          <w:sz w:val="16"/>
          <w:szCs w:val="16"/>
          <w:color w:val="auto"/>
        </w:rPr>
      </w:pPr>
    </w:p>
    <w:p>
      <w:pPr>
        <w:jc w:val="both"/>
        <w:ind w:right="20" w:firstLine="644"/>
        <w:spacing w:after="0" w:line="248" w:lineRule="auto"/>
        <w:tabs>
          <w:tab w:leader="none" w:pos="1077"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149" w:lineRule="exact"/>
        <w:rPr>
          <w:rFonts w:ascii="Arial" w:cs="Arial" w:eastAsia="Arial" w:hAnsi="Arial"/>
          <w:sz w:val="19"/>
          <w:szCs w:val="19"/>
          <w:color w:val="auto"/>
        </w:rPr>
      </w:pPr>
    </w:p>
    <w:p>
      <w:pPr>
        <w:ind w:firstLine="644"/>
        <w:spacing w:after="0" w:line="300" w:lineRule="auto"/>
        <w:tabs>
          <w:tab w:leader="none" w:pos="10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117" w:lineRule="exact"/>
        <w:rPr>
          <w:rFonts w:ascii="Arial" w:cs="Arial" w:eastAsia="Arial" w:hAnsi="Arial"/>
          <w:sz w:val="18"/>
          <w:szCs w:val="18"/>
          <w:color w:val="auto"/>
        </w:rPr>
      </w:pPr>
    </w:p>
    <w:p>
      <w:pPr>
        <w:ind w:right="360" w:firstLine="644"/>
        <w:spacing w:after="0" w:line="246" w:lineRule="auto"/>
        <w:tabs>
          <w:tab w:leader="none" w:pos="1077"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licenses and sublicenses by the Issuer or any of its Restricted Subsidiaries of software, intellectual property or other general intangibles in the ordinary course of business;</w:t>
      </w:r>
    </w:p>
    <w:p>
      <w:pPr>
        <w:spacing w:after="0" w:line="163" w:lineRule="exact"/>
        <w:rPr>
          <w:rFonts w:ascii="Arial" w:cs="Arial" w:eastAsia="Arial" w:hAnsi="Arial"/>
          <w:sz w:val="20"/>
          <w:szCs w:val="20"/>
          <w:color w:val="auto"/>
        </w:rPr>
      </w:pPr>
    </w:p>
    <w:p>
      <w:pPr>
        <w:ind w:left="1080" w:hanging="43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surrender or waiver of contract rights or settlement, release, recovery on or surrender of contract, tort or other</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claims;</w:t>
      </w:r>
    </w:p>
    <w:p>
      <w:pPr>
        <w:spacing w:after="0" w:line="159" w:lineRule="exact"/>
        <w:rPr>
          <w:rFonts w:ascii="Arial" w:cs="Arial" w:eastAsia="Arial" w:hAnsi="Arial"/>
          <w:sz w:val="18"/>
          <w:szCs w:val="18"/>
          <w:color w:val="auto"/>
        </w:rPr>
      </w:pPr>
    </w:p>
    <w:p>
      <w:pPr>
        <w:ind w:right="300" w:firstLine="644"/>
        <w:spacing w:after="0" w:line="300" w:lineRule="auto"/>
        <w:tabs>
          <w:tab w:leader="none" w:pos="10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117" w:lineRule="exact"/>
        <w:rPr>
          <w:rFonts w:ascii="Arial" w:cs="Arial" w:eastAsia="Arial" w:hAnsi="Arial"/>
          <w:sz w:val="18"/>
          <w:szCs w:val="18"/>
          <w:color w:val="auto"/>
        </w:rPr>
      </w:pPr>
    </w:p>
    <w:p>
      <w:pPr>
        <w:ind w:left="1080" w:hanging="43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 or other financial instruments (other than Oil and Gas Hedging</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Contracts);</w:t>
      </w:r>
    </w:p>
    <w:p>
      <w:pPr>
        <w:spacing w:after="0" w:line="172" w:lineRule="exact"/>
        <w:rPr>
          <w:rFonts w:ascii="Arial" w:cs="Arial" w:eastAsia="Arial" w:hAnsi="Arial"/>
          <w:sz w:val="18"/>
          <w:szCs w:val="18"/>
          <w:color w:val="auto"/>
        </w:rPr>
      </w:pPr>
    </w:p>
    <w:p>
      <w:pPr>
        <w:ind w:right="120" w:firstLine="644"/>
        <w:spacing w:after="0" w:line="300"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103" w:lineRule="exact"/>
        <w:rPr>
          <w:rFonts w:ascii="Arial" w:cs="Arial" w:eastAsia="Arial" w:hAnsi="Arial"/>
          <w:sz w:val="18"/>
          <w:szCs w:val="18"/>
          <w:color w:val="auto"/>
        </w:rPr>
      </w:pPr>
    </w:p>
    <w:p>
      <w:pPr>
        <w:ind w:left="1160" w:hanging="516"/>
        <w:spacing w:after="0"/>
        <w:tabs>
          <w:tab w:leader="none" w:pos="11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sale or other disposition of Hydrocarbons or other mineral products in the ordinary course of business;</w:t>
      </w:r>
    </w:p>
    <w:p>
      <w:pPr>
        <w:spacing w:after="0" w:line="188" w:lineRule="exact"/>
        <w:rPr>
          <w:rFonts w:ascii="Arial" w:cs="Arial" w:eastAsia="Arial" w:hAnsi="Arial"/>
          <w:sz w:val="20"/>
          <w:szCs w:val="20"/>
          <w:color w:val="auto"/>
        </w:rPr>
      </w:pPr>
    </w:p>
    <w:p>
      <w:pPr>
        <w:ind w:left="1180" w:hanging="536"/>
        <w:spacing w:after="0"/>
        <w:tabs>
          <w:tab w:leader="none" w:pos="11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 Asset Swap;</w:t>
      </w:r>
    </w:p>
    <w:p>
      <w:pPr>
        <w:spacing w:after="0" w:line="188" w:lineRule="exact"/>
        <w:rPr>
          <w:rFonts w:ascii="Arial" w:cs="Arial" w:eastAsia="Arial" w:hAnsi="Arial"/>
          <w:sz w:val="20"/>
          <w:szCs w:val="20"/>
          <w:color w:val="auto"/>
        </w:rPr>
      </w:pPr>
    </w:p>
    <w:p>
      <w:pPr>
        <w:ind w:right="20" w:firstLine="644"/>
        <w:spacing w:after="0" w:line="272" w:lineRule="auto"/>
        <w:tabs>
          <w:tab w:leader="none" w:pos="1175"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dispositions of crude oil and natural gas properties (whether or not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any such disposition such properties do not have associated with them any proved reserves;</w:t>
      </w:r>
    </w:p>
    <w:p>
      <w:pPr>
        <w:spacing w:after="0" w:line="125" w:lineRule="exact"/>
        <w:rPr>
          <w:rFonts w:ascii="Arial" w:cs="Arial" w:eastAsia="Arial" w:hAnsi="Arial"/>
          <w:sz w:val="19"/>
          <w:szCs w:val="19"/>
          <w:color w:val="auto"/>
        </w:rPr>
      </w:pPr>
    </w:p>
    <w:p>
      <w:pPr>
        <w:ind w:right="280" w:firstLine="644"/>
        <w:spacing w:after="0" w:line="310" w:lineRule="auto"/>
        <w:tabs>
          <w:tab w:leader="none" w:pos="11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any Production Payments and Reserve Sales;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440" w:right="339" w:bottom="1440" w:gutter="0" w:footer="0" w:header="0"/>
        </w:sectPr>
      </w:pPr>
    </w:p>
    <w:bookmarkStart w:id="17" w:name="page18"/>
    <w:bookmarkEnd w:id="17"/>
    <w:p>
      <w:pPr>
        <w:spacing w:after="0" w:line="182" w:lineRule="exact"/>
        <w:rPr>
          <w:sz w:val="20"/>
          <w:szCs w:val="20"/>
          <w:color w:val="auto"/>
        </w:rPr>
      </w:pPr>
    </w:p>
    <w:p>
      <w:pPr>
        <w:ind w:left="660" w:right="20" w:firstLine="644"/>
        <w:spacing w:after="0" w:line="246" w:lineRule="auto"/>
        <w:tabs>
          <w:tab w:leader="none" w:pos="1835"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disposition of assets or Equity Interests received in settlement of debts owing to a Person as a result of foreclosure, perfection or enforcement of any Lien or debt, which debts were owing to such Person; and</w:t>
      </w:r>
    </w:p>
    <w:p>
      <w:pPr>
        <w:spacing w:after="0" w:line="149" w:lineRule="exact"/>
        <w:rPr>
          <w:rFonts w:ascii="Arial" w:cs="Arial" w:eastAsia="Arial" w:hAnsi="Arial"/>
          <w:sz w:val="20"/>
          <w:szCs w:val="20"/>
          <w:color w:val="auto"/>
        </w:rPr>
      </w:pPr>
    </w:p>
    <w:p>
      <w:pPr>
        <w:ind w:left="1840" w:hanging="536"/>
        <w:spacing w:after="0"/>
        <w:tabs>
          <w:tab w:leader="none" w:pos="1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sale of Equity Interests in, or Indebtedness or other securities of, an Unrestricted Subsidiary.</w:t>
      </w:r>
    </w:p>
    <w:p>
      <w:pPr>
        <w:spacing w:after="0" w:line="189"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Swap</w:t>
      </w:r>
      <w:r>
        <w:rPr>
          <w:rFonts w:ascii="Arial" w:cs="Arial" w:eastAsia="Arial" w:hAnsi="Arial"/>
          <w:sz w:val="16"/>
          <w:szCs w:val="16"/>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Fair Market Value of the properties or assets traded or exchanged by the Issuer or such Restricted Subsidiary (together with any cash or Cash Equivalents) is reasonably equivalent to the Fair Market Value of the properties or assets (together with any cash or Cash Equivalents) to be received by the Issuer or such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net cash or Cash Equivalents received must be applied in accordance with Section 4.10 if then in effect as if the Asset Swap were an Asset Sale.</w:t>
      </w:r>
    </w:p>
    <w:p>
      <w:pPr>
        <w:spacing w:after="0" w:line="12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such sale and leaseback transaction results in a Finance Lease Obligation, the amount of Indebtedness represented thereby</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determined in accordance with the definition of “Finance Lease Obligation.”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Bankruptcy Law</w:t>
      </w:r>
      <w:r>
        <w:rPr>
          <w:rFonts w:ascii="Arial" w:cs="Arial" w:eastAsia="Arial" w:hAnsi="Arial"/>
          <w:sz w:val="20"/>
          <w:szCs w:val="20"/>
          <w:color w:val="auto"/>
        </w:rPr>
        <w:t>” means Title 11, U.S. Code or any similar federal or state law for the relief of debtors.</w:t>
      </w:r>
    </w:p>
    <w:p>
      <w:pPr>
        <w:spacing w:after="0" w:line="18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Board of Directors</w:t>
      </w:r>
      <w:r>
        <w:rPr>
          <w:rFonts w:ascii="Arial" w:cs="Arial" w:eastAsia="Arial" w:hAnsi="Arial"/>
          <w:sz w:val="20"/>
          <w:szCs w:val="20"/>
          <w:color w:val="auto"/>
        </w:rPr>
        <w:t>” means:</w:t>
      </w:r>
    </w:p>
    <w:p>
      <w:pPr>
        <w:spacing w:after="0" w:line="175" w:lineRule="exact"/>
        <w:rPr>
          <w:sz w:val="20"/>
          <w:szCs w:val="20"/>
          <w:color w:val="auto"/>
        </w:rPr>
      </w:pPr>
    </w:p>
    <w:p>
      <w:pPr>
        <w:ind w:left="660" w:right="160" w:firstLine="644"/>
        <w:spacing w:after="0" w:line="246" w:lineRule="auto"/>
        <w:tabs>
          <w:tab w:leader="none" w:pos="1737" w:val="left"/>
        </w:tabs>
        <w:numPr>
          <w:ilvl w:val="0"/>
          <w:numId w:val="13"/>
        </w:numPr>
        <w:rPr>
          <w:rFonts w:ascii="Arial" w:cs="Arial" w:eastAsia="Arial" w:hAnsi="Arial"/>
          <w:sz w:val="20"/>
          <w:szCs w:val="20"/>
          <w:color w:val="auto"/>
        </w:rPr>
      </w:pPr>
      <w:r>
        <w:rPr>
          <w:rFonts w:ascii="Arial" w:cs="Arial" w:eastAsia="Arial" w:hAnsi="Arial"/>
          <w:sz w:val="20"/>
          <w:szCs w:val="20"/>
          <w:color w:val="auto"/>
        </w:rPr>
        <w:t>with respect to a corporation, the board of directors of the corporation or any committee thereof duly authorized to act on behalf of such board;</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with respect to a limited partnership, the board of directors of the general partner of the partnership;</w:t>
      </w:r>
    </w:p>
    <w:p>
      <w:pPr>
        <w:spacing w:after="0" w:line="188" w:lineRule="exact"/>
        <w:rPr>
          <w:rFonts w:ascii="Arial" w:cs="Arial" w:eastAsia="Arial" w:hAnsi="Arial"/>
          <w:sz w:val="20"/>
          <w:szCs w:val="20"/>
          <w:color w:val="auto"/>
        </w:rPr>
      </w:pPr>
    </w:p>
    <w:p>
      <w:pPr>
        <w:ind w:left="660" w:right="740" w:firstLine="644"/>
        <w:spacing w:after="0" w:line="246" w:lineRule="auto"/>
        <w:tabs>
          <w:tab w:leader="none" w:pos="1737" w:val="left"/>
        </w:tabs>
        <w:numPr>
          <w:ilvl w:val="0"/>
          <w:numId w:val="13"/>
        </w:numPr>
        <w:rPr>
          <w:rFonts w:ascii="Arial" w:cs="Arial" w:eastAsia="Arial" w:hAnsi="Arial"/>
          <w:sz w:val="20"/>
          <w:szCs w:val="20"/>
          <w:color w:val="auto"/>
        </w:rPr>
      </w:pPr>
      <w:r>
        <w:rPr>
          <w:rFonts w:ascii="Arial" w:cs="Arial" w:eastAsia="Arial" w:hAnsi="Arial"/>
          <w:sz w:val="20"/>
          <w:szCs w:val="20"/>
          <w:color w:val="auto"/>
        </w:rPr>
        <w:t>with respect to a limited liability company, the managing member or members or any controlling committee of managing members thereof;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with respect to any other Person, the board or committee of such Person serving a similar function.</w:t>
      </w:r>
    </w:p>
    <w:p>
      <w:pPr>
        <w:spacing w:after="0" w:line="175"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Borrowing Base</w:t>
      </w:r>
      <w:r>
        <w:rPr>
          <w:rFonts w:ascii="Arial" w:cs="Arial" w:eastAsia="Arial" w:hAnsi="Arial"/>
          <w:sz w:val="19"/>
          <w:szCs w:val="19"/>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Business Day</w:t>
      </w:r>
      <w:r>
        <w:rPr>
          <w:rFonts w:ascii="Arial" w:cs="Arial" w:eastAsia="Arial" w:hAnsi="Arial"/>
          <w:sz w:val="20"/>
          <w:szCs w:val="20"/>
          <w:color w:val="auto"/>
        </w:rPr>
        <w:t>” means any day other than a Legal Holiday.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Capital Stock</w:t>
      </w:r>
      <w:r>
        <w:rPr>
          <w:rFonts w:ascii="Arial" w:cs="Arial" w:eastAsia="Arial" w:hAnsi="Arial"/>
          <w:sz w:val="20"/>
          <w:szCs w:val="20"/>
          <w:color w:val="auto"/>
        </w:rPr>
        <w:t>” means:</w:t>
      </w:r>
    </w:p>
    <w:p>
      <w:pPr>
        <w:spacing w:after="0" w:line="175" w:lineRule="exact"/>
        <w:rPr>
          <w:sz w:val="20"/>
          <w:szCs w:val="20"/>
          <w:color w:val="auto"/>
        </w:rPr>
      </w:pPr>
    </w:p>
    <w:p>
      <w:pPr>
        <w:ind w:left="1740" w:hanging="436"/>
        <w:spacing w:after="0"/>
        <w:tabs>
          <w:tab w:leader="none" w:pos="17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case of a corporation, corporate stock;</w:t>
      </w:r>
    </w:p>
    <w:p>
      <w:pPr>
        <w:spacing w:after="0" w:line="188" w:lineRule="exact"/>
        <w:rPr>
          <w:rFonts w:ascii="Arial" w:cs="Arial" w:eastAsia="Arial" w:hAnsi="Arial"/>
          <w:sz w:val="20"/>
          <w:szCs w:val="20"/>
          <w:color w:val="auto"/>
        </w:rPr>
      </w:pPr>
    </w:p>
    <w:p>
      <w:pPr>
        <w:ind w:left="660" w:right="240" w:firstLine="644"/>
        <w:spacing w:after="0" w:line="246" w:lineRule="auto"/>
        <w:tabs>
          <w:tab w:leader="none" w:pos="1737"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case of an association or business entity, any and all shares, interests, participations, rights or other equivalents (however designated) of corporate stock;</w:t>
      </w:r>
    </w:p>
    <w:p>
      <w:pPr>
        <w:spacing w:after="0" w:line="163" w:lineRule="exact"/>
        <w:rPr>
          <w:rFonts w:ascii="Arial" w:cs="Arial" w:eastAsia="Arial" w:hAnsi="Arial"/>
          <w:sz w:val="20"/>
          <w:szCs w:val="20"/>
          <w:color w:val="auto"/>
        </w:rPr>
      </w:pPr>
    </w:p>
    <w:p>
      <w:pPr>
        <w:ind w:left="660" w:right="920" w:firstLine="644"/>
        <w:spacing w:after="0" w:line="246" w:lineRule="auto"/>
        <w:tabs>
          <w:tab w:leader="none" w:pos="1737"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case of a partnership or limited liability company, partnership interests (whether general or limited) or membership interests; and</w:t>
      </w:r>
    </w:p>
    <w:p>
      <w:pPr>
        <w:spacing w:after="0" w:line="149" w:lineRule="exact"/>
        <w:rPr>
          <w:rFonts w:ascii="Arial" w:cs="Arial" w:eastAsia="Arial" w:hAnsi="Arial"/>
          <w:sz w:val="20"/>
          <w:szCs w:val="20"/>
          <w:color w:val="auto"/>
        </w:rPr>
      </w:pPr>
    </w:p>
    <w:p>
      <w:pPr>
        <w:ind w:left="660" w:firstLine="644"/>
        <w:spacing w:after="0" w:line="325" w:lineRule="auto"/>
        <w:tabs>
          <w:tab w:leader="none" w:pos="17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Cash Equivalents</w:t>
      </w:r>
      <w:r>
        <w:rPr>
          <w:rFonts w:ascii="Arial" w:cs="Arial" w:eastAsia="Arial" w:hAnsi="Arial"/>
          <w:sz w:val="20"/>
          <w:szCs w:val="20"/>
          <w:color w:val="auto"/>
        </w:rPr>
        <w:t>” means:</w:t>
      </w:r>
    </w:p>
    <w:p>
      <w:pPr>
        <w:spacing w:after="0" w:line="189" w:lineRule="exact"/>
        <w:rPr>
          <w:sz w:val="20"/>
          <w:szCs w:val="20"/>
          <w:color w:val="auto"/>
        </w:rPr>
      </w:pPr>
    </w:p>
    <w:p>
      <w:pPr>
        <w:ind w:left="1740" w:hanging="436"/>
        <w:spacing w:after="0"/>
        <w:tabs>
          <w:tab w:leader="none" w:pos="17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United States dollars;</w:t>
      </w:r>
    </w:p>
    <w:p>
      <w:pPr>
        <w:spacing w:after="0" w:line="175" w:lineRule="exact"/>
        <w:rPr>
          <w:rFonts w:ascii="Arial" w:cs="Arial" w:eastAsia="Arial" w:hAnsi="Arial"/>
          <w:sz w:val="20"/>
          <w:szCs w:val="20"/>
          <w:color w:val="auto"/>
        </w:rPr>
      </w:pPr>
    </w:p>
    <w:p>
      <w:pPr>
        <w:ind w:left="660" w:right="200" w:firstLine="644"/>
        <w:spacing w:after="0" w:line="237" w:lineRule="auto"/>
        <w:tabs>
          <w:tab w:leader="none" w:pos="17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United States government or any agency or instrumentality of the United States government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full faith and credit of the United States is pledged in support of those securities) having maturities of not more than one year from the date of acquisition;</w:t>
      </w:r>
    </w:p>
    <w:p>
      <w:pPr>
        <w:spacing w:after="0" w:line="169" w:lineRule="exact"/>
        <w:rPr>
          <w:rFonts w:ascii="Arial" w:cs="Arial" w:eastAsia="Arial" w:hAnsi="Arial"/>
          <w:sz w:val="20"/>
          <w:szCs w:val="20"/>
          <w:color w:val="auto"/>
        </w:rPr>
      </w:pPr>
    </w:p>
    <w:p>
      <w:pPr>
        <w:ind w:left="660" w:right="200" w:firstLine="644"/>
        <w:spacing w:after="0" w:line="254" w:lineRule="auto"/>
        <w:tabs>
          <w:tab w:leader="none" w:pos="1737" w:val="left"/>
        </w:tabs>
        <w:numPr>
          <w:ilvl w:val="0"/>
          <w:numId w:val="15"/>
        </w:numPr>
        <w:rPr>
          <w:rFonts w:ascii="Arial" w:cs="Arial" w:eastAsia="Arial" w:hAnsi="Arial"/>
          <w:sz w:val="19"/>
          <w:szCs w:val="19"/>
          <w:color w:val="auto"/>
        </w:rPr>
      </w:pPr>
      <w:r>
        <w:rPr>
          <w:rFonts w:ascii="Arial" w:cs="Arial" w:eastAsia="Arial" w:hAnsi="Arial"/>
          <w:sz w:val="19"/>
          <w:szCs w:val="19"/>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S&amp;P or Moody’s;</w:t>
      </w:r>
    </w:p>
    <w:p>
      <w:pPr>
        <w:spacing w:after="0" w:line="156" w:lineRule="exact"/>
        <w:rPr>
          <w:rFonts w:ascii="Arial" w:cs="Arial" w:eastAsia="Arial" w:hAnsi="Arial"/>
          <w:sz w:val="19"/>
          <w:szCs w:val="19"/>
          <w:color w:val="auto"/>
        </w:rPr>
      </w:pPr>
    </w:p>
    <w:p>
      <w:pPr>
        <w:ind w:left="660" w:firstLine="644"/>
        <w:spacing w:after="0" w:line="237" w:lineRule="auto"/>
        <w:tabs>
          <w:tab w:leader="none" w:pos="17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certificates of deposit, demand deposits and eurodollar time deposits with maturities of one year or less from the date of acquisition, bankers’ acceptances with maturities not exceeding six months and overnight bank deposits, in each case, with any domestic commercial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bank having capital and surplus in excess of $500.0 million or that is a lender under the Credit Agreement;</w:t>
      </w:r>
    </w:p>
    <w:p>
      <w:pPr>
        <w:spacing w:after="0" w:line="175" w:lineRule="exact"/>
        <w:rPr>
          <w:sz w:val="20"/>
          <w:szCs w:val="20"/>
          <w:color w:val="auto"/>
        </w:rPr>
      </w:pPr>
    </w:p>
    <w:p>
      <w:pPr>
        <w:jc w:val="both"/>
        <w:ind w:left="660" w:right="460" w:firstLine="644"/>
        <w:spacing w:after="0" w:line="300" w:lineRule="auto"/>
        <w:tabs>
          <w:tab w:leader="none" w:pos="17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(3) and (4) above entered into with any financial institution meeting the qualifications specified in clause (4) above;</w:t>
      </w:r>
    </w:p>
    <w:p>
      <w:pPr>
        <w:spacing w:after="0" w:line="117" w:lineRule="exact"/>
        <w:rPr>
          <w:rFonts w:ascii="Arial" w:cs="Arial" w:eastAsia="Arial" w:hAnsi="Arial"/>
          <w:sz w:val="18"/>
          <w:szCs w:val="18"/>
          <w:color w:val="auto"/>
        </w:rPr>
      </w:pPr>
    </w:p>
    <w:p>
      <w:pPr>
        <w:ind w:left="660" w:right="180" w:firstLine="644"/>
        <w:spacing w:after="0" w:line="246" w:lineRule="auto"/>
        <w:tabs>
          <w:tab w:leader="none" w:pos="1737" w:val="left"/>
        </w:tabs>
        <w:numPr>
          <w:ilvl w:val="1"/>
          <w:numId w:val="16"/>
        </w:numPr>
        <w:rPr>
          <w:rFonts w:ascii="Arial" w:cs="Arial" w:eastAsia="Arial" w:hAnsi="Arial"/>
          <w:sz w:val="20"/>
          <w:szCs w:val="20"/>
          <w:color w:val="auto"/>
        </w:rPr>
      </w:pPr>
      <w:r>
        <w:rPr>
          <w:rFonts w:ascii="Arial" w:cs="Arial" w:eastAsia="Arial" w:hAnsi="Arial"/>
          <w:sz w:val="20"/>
          <w:szCs w:val="20"/>
          <w:color w:val="auto"/>
        </w:rPr>
        <w:t>commercial paper having one of the two highest ratings obtainable from Moody’s or S&amp;P and, in each case, maturing within one year after the date of acquisition;</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w:t>
      </w:r>
    </w:p>
    <w:p>
      <w:pPr>
        <w:spacing w:after="0" w:line="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through (6) of this definition;</w:t>
      </w:r>
    </w:p>
    <w:p>
      <w:pPr>
        <w:spacing w:after="0" w:line="159" w:lineRule="exact"/>
        <w:rPr>
          <w:rFonts w:ascii="Arial" w:cs="Arial" w:eastAsia="Arial" w:hAnsi="Arial"/>
          <w:sz w:val="20"/>
          <w:szCs w:val="20"/>
          <w:color w:val="auto"/>
        </w:rPr>
      </w:pPr>
    </w:p>
    <w:p>
      <w:pPr>
        <w:ind w:left="660" w:right="80" w:firstLine="644"/>
        <w:spacing w:after="0" w:line="246" w:lineRule="auto"/>
        <w:tabs>
          <w:tab w:leader="none" w:pos="1737" w:val="left"/>
        </w:tabs>
        <w:numPr>
          <w:ilvl w:val="1"/>
          <w:numId w:val="17"/>
        </w:numPr>
        <w:rPr>
          <w:rFonts w:ascii="Arial" w:cs="Arial" w:eastAsia="Arial" w:hAnsi="Arial"/>
          <w:sz w:val="20"/>
          <w:szCs w:val="20"/>
          <w:color w:val="auto"/>
        </w:rPr>
      </w:pPr>
      <w:r>
        <w:rPr>
          <w:rFonts w:ascii="Arial" w:cs="Arial" w:eastAsia="Arial" w:hAnsi="Arial"/>
          <w:sz w:val="20"/>
          <w:szCs w:val="20"/>
          <w:color w:val="auto"/>
        </w:rPr>
        <w:t>with respect to any Subsidiary of the Issuer organized or operating outside the United States, investments denominated in local currency that are similar to the items specified in clauses (1) through (7) above; and</w:t>
      </w:r>
    </w:p>
    <w:p>
      <w:pPr>
        <w:spacing w:after="0" w:line="163" w:lineRule="exact"/>
        <w:rPr>
          <w:rFonts w:ascii="Arial" w:cs="Arial" w:eastAsia="Arial" w:hAnsi="Arial"/>
          <w:sz w:val="20"/>
          <w:szCs w:val="20"/>
          <w:color w:val="auto"/>
        </w:rPr>
      </w:pPr>
    </w:p>
    <w:p>
      <w:pPr>
        <w:ind w:left="660" w:right="180" w:firstLine="644"/>
        <w:spacing w:after="0" w:line="272" w:lineRule="auto"/>
        <w:tabs>
          <w:tab w:leader="none" w:pos="1737" w:val="left"/>
        </w:tabs>
        <w:numPr>
          <w:ilvl w:val="1"/>
          <w:numId w:val="17"/>
        </w:numPr>
        <w:rPr>
          <w:rFonts w:ascii="Arial" w:cs="Arial" w:eastAsia="Arial" w:hAnsi="Arial"/>
          <w:sz w:val="19"/>
          <w:szCs w:val="19"/>
          <w:color w:val="auto"/>
        </w:rPr>
      </w:pPr>
      <w:r>
        <w:rPr>
          <w:rFonts w:ascii="Arial" w:cs="Arial" w:eastAsia="Arial" w:hAnsi="Arial"/>
          <w:sz w:val="19"/>
          <w:szCs w:val="19"/>
          <w:color w:val="auto"/>
        </w:rPr>
        <w:t>marketable short-term money market and similar securities having a rating of at least P-2 or A-2 from either Moody’s or S&amp;P, respectively, and in each case maturing within 24 months after the date of the creation thereof.</w:t>
      </w:r>
    </w:p>
    <w:p>
      <w:pPr>
        <w:spacing w:after="0" w:line="139" w:lineRule="exact"/>
        <w:rPr>
          <w:sz w:val="20"/>
          <w:szCs w:val="20"/>
          <w:color w:val="auto"/>
        </w:rPr>
      </w:pPr>
    </w:p>
    <w:p>
      <w:pPr>
        <w:ind w:right="540" w:firstLine="648"/>
        <w:spacing w:after="0" w:line="36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Management Obligations</w:t>
      </w:r>
      <w:r>
        <w:rPr>
          <w:rFonts w:ascii="Arial" w:cs="Arial" w:eastAsia="Arial" w:hAnsi="Arial"/>
          <w:sz w:val="16"/>
          <w:szCs w:val="16"/>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of Control</w:t>
      </w:r>
      <w:r>
        <w:rPr>
          <w:rFonts w:ascii="Arial" w:cs="Arial" w:eastAsia="Arial" w:hAnsi="Arial"/>
          <w:sz w:val="20"/>
          <w:szCs w:val="20"/>
          <w:color w:val="auto"/>
        </w:rPr>
        <w:t>” means the occurrence of any of the following events:</w:t>
      </w:r>
    </w:p>
    <w:p>
      <w:pPr>
        <w:spacing w:after="0" w:line="189" w:lineRule="exact"/>
        <w:rPr>
          <w:sz w:val="20"/>
          <w:szCs w:val="20"/>
          <w:color w:val="auto"/>
        </w:rPr>
      </w:pPr>
    </w:p>
    <w:p>
      <w:pPr>
        <w:ind w:firstLine="656"/>
        <w:spacing w:after="0" w:line="231" w:lineRule="auto"/>
        <w:tabs>
          <w:tab w:leader="none" w:pos="107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170" w:lineRule="exact"/>
        <w:rPr>
          <w:rFonts w:ascii="Arial" w:cs="Arial" w:eastAsia="Arial" w:hAnsi="Arial"/>
          <w:sz w:val="20"/>
          <w:szCs w:val="20"/>
          <w:color w:val="auto"/>
        </w:rPr>
      </w:pPr>
    </w:p>
    <w:p>
      <w:pPr>
        <w:ind w:right="380" w:firstLine="656"/>
        <w:spacing w:after="0" w:line="272" w:lineRule="auto"/>
        <w:tabs>
          <w:tab w:leader="none" w:pos="107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125" w:lineRule="exact"/>
        <w:rPr>
          <w:rFonts w:ascii="Arial" w:cs="Arial" w:eastAsia="Arial" w:hAnsi="Arial"/>
          <w:sz w:val="19"/>
          <w:szCs w:val="19"/>
          <w:color w:val="auto"/>
        </w:rPr>
      </w:pPr>
    </w:p>
    <w:p>
      <w:pPr>
        <w:ind w:right="380" w:firstLine="656"/>
        <w:spacing w:after="0" w:line="246" w:lineRule="auto"/>
        <w:tabs>
          <w:tab w:leader="none" w:pos="1077"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Issuer is liquidated or dissolved or adopts a plan of liquidation or dissolution other than in a transaction which complies with the provisions described under Section 5.01.</w:t>
      </w:r>
    </w:p>
    <w:p>
      <w:pPr>
        <w:spacing w:after="0" w:line="16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of Control Triggering Event</w:t>
      </w:r>
      <w:r>
        <w:rPr>
          <w:rFonts w:ascii="Arial" w:cs="Arial" w:eastAsia="Arial" w:hAnsi="Arial"/>
          <w:sz w:val="20"/>
          <w:szCs w:val="20"/>
          <w:color w:val="auto"/>
        </w:rPr>
        <w:t>” means the occurrence of both a Change of Control and a Rating Decline.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Clearstream</w:t>
      </w:r>
      <w:r>
        <w:rPr>
          <w:rFonts w:ascii="Arial" w:cs="Arial" w:eastAsia="Arial" w:hAnsi="Arial"/>
          <w:sz w:val="20"/>
          <w:szCs w:val="20"/>
          <w:color w:val="auto"/>
        </w:rPr>
        <w:t>” means Clearstream Banking, 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and any successor statute or statutes thereto.</w:t>
      </w:r>
    </w:p>
    <w:p>
      <w:pPr>
        <w:spacing w:after="0" w:line="212"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Consolidated Cash Flow</w:t>
      </w:r>
      <w:r>
        <w:rPr>
          <w:rFonts w:ascii="Arial" w:cs="Arial" w:eastAsia="Arial" w:hAnsi="Arial"/>
          <w:sz w:val="20"/>
          <w:szCs w:val="20"/>
          <w:color w:val="auto"/>
        </w:rPr>
        <w:t xml:space="preserve">” means, with respect to any specified Person for any period, the Consolidated Net Income of such Person for such period </w:t>
      </w:r>
      <w:r>
        <w:rPr>
          <w:rFonts w:ascii="Arial" w:cs="Arial" w:eastAsia="Arial" w:hAnsi="Arial"/>
          <w:sz w:val="20"/>
          <w:szCs w:val="20"/>
          <w:i w:val="1"/>
          <w:iCs w:val="1"/>
          <w:color w:val="auto"/>
        </w:rPr>
        <w:t>plus</w:t>
      </w:r>
      <w:r>
        <w:rPr>
          <w:rFonts w:ascii="Arial" w:cs="Arial" w:eastAsia="Arial" w:hAnsi="Arial"/>
          <w:sz w:val="20"/>
          <w:szCs w:val="20"/>
          <w:color w:val="auto"/>
        </w:rPr>
        <w:t>, without duplication:</w:t>
      </w:r>
    </w:p>
    <w:p>
      <w:pPr>
        <w:spacing w:after="0" w:line="150" w:lineRule="exact"/>
        <w:rPr>
          <w:sz w:val="20"/>
          <w:szCs w:val="20"/>
          <w:color w:val="auto"/>
        </w:rPr>
      </w:pPr>
    </w:p>
    <w:p>
      <w:pPr>
        <w:ind w:left="660" w:right="60" w:firstLine="644"/>
        <w:spacing w:after="0" w:line="237"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an amount equal to any extraordinary expenses or loss plus any net loss realized by such Person or any of its Restricted Subsidiaries in connection with an Asset Sale, to the extent such expenses or losses were deducted in computing such Consolidated Net Income; </w:t>
      </w:r>
      <w:r>
        <w:rPr>
          <w:rFonts w:ascii="Arial" w:cs="Arial" w:eastAsia="Arial" w:hAnsi="Arial"/>
          <w:sz w:val="20"/>
          <w:szCs w:val="20"/>
          <w:i w:val="1"/>
          <w:iCs w:val="1"/>
          <w:color w:val="auto"/>
        </w:rPr>
        <w:t>plus</w:t>
      </w:r>
    </w:p>
    <w:p>
      <w:pPr>
        <w:spacing w:after="0" w:line="169" w:lineRule="exact"/>
        <w:rPr>
          <w:rFonts w:ascii="Arial" w:cs="Arial" w:eastAsia="Arial" w:hAnsi="Arial"/>
          <w:sz w:val="20"/>
          <w:szCs w:val="20"/>
          <w:color w:val="auto"/>
        </w:rPr>
      </w:pPr>
    </w:p>
    <w:p>
      <w:pPr>
        <w:ind w:left="660" w:firstLine="644"/>
        <w:spacing w:after="0" w:line="237"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Arial" w:cs="Arial" w:eastAsia="Arial" w:hAnsi="Arial"/>
          <w:sz w:val="20"/>
          <w:szCs w:val="20"/>
          <w:i w:val="1"/>
          <w:iCs w:val="1"/>
          <w:color w:val="auto"/>
        </w:rPr>
        <w:t>plus</w:t>
      </w:r>
    </w:p>
    <w:p>
      <w:pPr>
        <w:spacing w:after="0" w:line="169" w:lineRule="exact"/>
        <w:rPr>
          <w:rFonts w:ascii="Arial" w:cs="Arial" w:eastAsia="Arial" w:hAnsi="Arial"/>
          <w:sz w:val="20"/>
          <w:szCs w:val="20"/>
          <w:color w:val="auto"/>
        </w:rPr>
      </w:pPr>
    </w:p>
    <w:p>
      <w:pPr>
        <w:ind w:left="660" w:right="120" w:firstLine="644"/>
        <w:spacing w:after="0" w:line="246"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20"/>
          <w:szCs w:val="20"/>
          <w:i w:val="1"/>
          <w:iCs w:val="1"/>
          <w:color w:val="auto"/>
        </w:rPr>
        <w:t>plus</w:t>
      </w:r>
    </w:p>
    <w:p>
      <w:pPr>
        <w:spacing w:after="0" w:line="149" w:lineRule="exact"/>
        <w:rPr>
          <w:rFonts w:ascii="Arial" w:cs="Arial" w:eastAsia="Arial" w:hAnsi="Arial"/>
          <w:sz w:val="20"/>
          <w:szCs w:val="20"/>
          <w:color w:val="auto"/>
        </w:rPr>
      </w:pPr>
    </w:p>
    <w:p>
      <w:pPr>
        <w:ind w:left="660" w:right="60" w:firstLine="644"/>
        <w:spacing w:after="0" w:line="230"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Arial" w:cs="Arial" w:eastAsia="Arial" w:hAnsi="Arial"/>
          <w:sz w:val="20"/>
          <w:szCs w:val="20"/>
          <w:i w:val="1"/>
          <w:iCs w:val="1"/>
          <w:color w:val="auto"/>
        </w:rPr>
        <w:t>plus</w:t>
      </w:r>
    </w:p>
    <w:p>
      <w:pPr>
        <w:spacing w:after="0" w:line="171" w:lineRule="exact"/>
        <w:rPr>
          <w:rFonts w:ascii="Arial" w:cs="Arial" w:eastAsia="Arial" w:hAnsi="Arial"/>
          <w:sz w:val="20"/>
          <w:szCs w:val="20"/>
          <w:color w:val="auto"/>
        </w:rPr>
      </w:pPr>
    </w:p>
    <w:p>
      <w:pPr>
        <w:ind w:left="660" w:right="640" w:firstLine="644"/>
        <w:spacing w:after="0" w:line="246"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such Person accounts for its oil and gas operations using successful efforts or a similar method of accounting, consolidated exploration expense of such Person and its Restricted Subsidiaries; minus</w:t>
      </w:r>
    </w:p>
    <w:p>
      <w:pPr>
        <w:spacing w:after="0" w:line="163" w:lineRule="exact"/>
        <w:rPr>
          <w:rFonts w:ascii="Arial" w:cs="Arial" w:eastAsia="Arial" w:hAnsi="Arial"/>
          <w:sz w:val="20"/>
          <w:szCs w:val="20"/>
          <w:color w:val="auto"/>
        </w:rPr>
      </w:pPr>
    </w:p>
    <w:p>
      <w:pPr>
        <w:ind w:left="660" w:right="500" w:firstLine="644"/>
        <w:spacing w:after="0" w:line="246"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non-cash items increasing such Consolidated Net Income for such period, other than the accrual of revenue in the ordinary course of business; and </w:t>
      </w:r>
      <w:r>
        <w:rPr>
          <w:rFonts w:ascii="Arial" w:cs="Arial" w:eastAsia="Arial" w:hAnsi="Arial"/>
          <w:sz w:val="20"/>
          <w:szCs w:val="20"/>
          <w:i w:val="1"/>
          <w:iCs w:val="1"/>
          <w:color w:val="auto"/>
        </w:rPr>
        <w:t>minus</w:t>
      </w:r>
    </w:p>
    <w:p>
      <w:pPr>
        <w:spacing w:after="0" w:line="149" w:lineRule="exact"/>
        <w:rPr>
          <w:rFonts w:ascii="Arial" w:cs="Arial" w:eastAsia="Arial" w:hAnsi="Arial"/>
          <w:sz w:val="20"/>
          <w:szCs w:val="20"/>
          <w:color w:val="auto"/>
        </w:rPr>
      </w:pPr>
    </w:p>
    <w:p>
      <w:pPr>
        <w:ind w:left="660" w:right="100" w:firstLine="644"/>
        <w:spacing w:after="0" w:line="234" w:lineRule="auto"/>
        <w:tabs>
          <w:tab w:leader="none" w:pos="17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 each case, on a consolidated basis and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82" w:lineRule="exact"/>
        <w:rPr>
          <w:sz w:val="20"/>
          <w:szCs w:val="20"/>
          <w:color w:val="auto"/>
        </w:rPr>
      </w:pPr>
    </w:p>
    <w:p>
      <w:pPr>
        <w:ind w:right="240"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 Indebtedness</w:t>
      </w:r>
      <w:r>
        <w:rPr>
          <w:rFonts w:ascii="Arial" w:cs="Arial" w:eastAsia="Arial" w:hAnsi="Arial"/>
          <w:sz w:val="18"/>
          <w:szCs w:val="18"/>
          <w:color w:val="auto"/>
        </w:rPr>
        <w:t>” of any Person as of any date means the aggregate amount of Indebtedness for money borrowed and Finance Lease Obligations of such Person and its Restricted Subsidiaries, determined on a consolidated basis.</w:t>
      </w:r>
    </w:p>
    <w:p>
      <w:pPr>
        <w:spacing w:after="0" w:line="104"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Consolidated Net Income</w:t>
      </w:r>
      <w:r>
        <w:rPr>
          <w:rFonts w:ascii="Arial" w:cs="Arial" w:eastAsia="Arial" w:hAnsi="Arial"/>
          <w:sz w:val="20"/>
          <w:szCs w:val="20"/>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69" w:lineRule="exact"/>
        <w:rPr>
          <w:sz w:val="20"/>
          <w:szCs w:val="20"/>
          <w:color w:val="auto"/>
        </w:rPr>
      </w:pPr>
    </w:p>
    <w:p>
      <w:pPr>
        <w:jc w:val="both"/>
        <w:ind w:left="660" w:right="160" w:firstLine="644"/>
        <w:spacing w:after="0" w:line="248" w:lineRule="auto"/>
        <w:tabs>
          <w:tab w:leader="none" w:pos="1737"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net income (or loss)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 or, in the case of net loss, the amount of cash that has been contributed by the specified Person or Restricted Subsidiary to fund such loss;</w:t>
      </w:r>
    </w:p>
    <w:p>
      <w:pPr>
        <w:spacing w:after="0" w:line="163" w:lineRule="exact"/>
        <w:rPr>
          <w:rFonts w:ascii="Arial" w:cs="Arial" w:eastAsia="Arial" w:hAnsi="Arial"/>
          <w:sz w:val="19"/>
          <w:szCs w:val="19"/>
          <w:color w:val="auto"/>
        </w:rPr>
      </w:pPr>
    </w:p>
    <w:p>
      <w:pPr>
        <w:ind w:left="660" w:right="100" w:firstLine="644"/>
        <w:spacing w:after="0" w:line="232" w:lineRule="auto"/>
        <w:tabs>
          <w:tab w:leader="none" w:pos="17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157" w:lineRule="exact"/>
        <w:rPr>
          <w:rFonts w:ascii="Arial" w:cs="Arial" w:eastAsia="Arial" w:hAnsi="Arial"/>
          <w:sz w:val="20"/>
          <w:szCs w:val="20"/>
          <w:color w:val="auto"/>
        </w:rPr>
      </w:pPr>
    </w:p>
    <w:p>
      <w:pPr>
        <w:ind w:left="1740" w:hanging="436"/>
        <w:spacing w:after="0"/>
        <w:tabs>
          <w:tab w:leader="none" w:pos="1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 will be excluded;</w:t>
      </w:r>
    </w:p>
    <w:p>
      <w:pPr>
        <w:spacing w:after="0" w:line="188" w:lineRule="exact"/>
        <w:rPr>
          <w:rFonts w:ascii="Arial" w:cs="Arial" w:eastAsia="Arial" w:hAnsi="Arial"/>
          <w:sz w:val="20"/>
          <w:szCs w:val="20"/>
          <w:color w:val="auto"/>
        </w:rPr>
      </w:pPr>
    </w:p>
    <w:p>
      <w:pPr>
        <w:ind w:left="660" w:right="40" w:firstLine="644"/>
        <w:spacing w:after="0" w:line="232" w:lineRule="auto"/>
        <w:tabs>
          <w:tab w:leader="none" w:pos="17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gain (loss), net of taxes (less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170" w:lineRule="exact"/>
        <w:rPr>
          <w:rFonts w:ascii="Arial" w:cs="Arial" w:eastAsia="Arial" w:hAnsi="Arial"/>
          <w:sz w:val="20"/>
          <w:szCs w:val="20"/>
          <w:color w:val="auto"/>
        </w:rPr>
      </w:pPr>
    </w:p>
    <w:p>
      <w:pPr>
        <w:ind w:left="660" w:right="380" w:firstLine="644"/>
        <w:spacing w:after="0" w:line="267" w:lineRule="auto"/>
        <w:tabs>
          <w:tab w:leader="none" w:pos="17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131" w:lineRule="exact"/>
        <w:rPr>
          <w:rFonts w:ascii="Arial" w:cs="Arial" w:eastAsia="Arial" w:hAnsi="Arial"/>
          <w:sz w:val="18"/>
          <w:szCs w:val="18"/>
          <w:color w:val="auto"/>
        </w:rPr>
      </w:pPr>
    </w:p>
    <w:p>
      <w:pPr>
        <w:ind w:left="660" w:right="380" w:firstLine="644"/>
        <w:spacing w:after="0" w:line="246" w:lineRule="auto"/>
        <w:tabs>
          <w:tab w:leader="none" w:pos="17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“ceiling limitation” on oil and gas properties or other asset impairment writedowns on oil and gas properties or other non-current assets under GAAP or SEC guidelines will be excluded;</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non-cash equity compensation expenses, including under FASB ASC 718, will be excluded;</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deferred income tax provision will be excluded; and</w:t>
      </w:r>
    </w:p>
    <w:p>
      <w:pPr>
        <w:spacing w:after="0" w:line="175" w:lineRule="exact"/>
        <w:rPr>
          <w:rFonts w:ascii="Arial" w:cs="Arial" w:eastAsia="Arial" w:hAnsi="Arial"/>
          <w:sz w:val="20"/>
          <w:szCs w:val="20"/>
          <w:color w:val="auto"/>
        </w:rPr>
      </w:pPr>
    </w:p>
    <w:p>
      <w:pPr>
        <w:ind w:left="660" w:right="260" w:firstLine="644"/>
        <w:spacing w:after="0" w:line="246" w:lineRule="auto"/>
        <w:tabs>
          <w:tab w:leader="none" w:pos="17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unrealized non-cash gains or losses or charges in respect of Hedging Obligations (including those resulting from the application of FASB ASC 815) will be excluded.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82"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Net Working Capital</w:t>
      </w:r>
      <w:r>
        <w:rPr>
          <w:rFonts w:ascii="Arial" w:cs="Arial" w:eastAsia="Arial" w:hAnsi="Arial"/>
          <w:sz w:val="19"/>
          <w:szCs w:val="19"/>
          <w:color w:val="auto"/>
        </w:rPr>
        <w:t>” means (a) all current assets of the Issuer and its Restricted Subsidiaries except current assets from Oil and Gas Hedging Contracts, less (b) all current liabilities of the Issuer and its Restricted Subsidiaries, except (i) current liabilities included in Indebtedness, (ii) 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w:t>
      </w:r>
      <w:r>
        <w:rPr>
          <w:rFonts w:ascii="Arial" w:cs="Arial" w:eastAsia="Arial" w:hAnsi="Arial"/>
          <w:sz w:val="18"/>
          <w:szCs w:val="18"/>
          <w:color w:val="auto"/>
        </w:rPr>
        <w:t>” means, with respect to any Default or Event of Default, that such Default or Event of Default has not been cured or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waived.</w:t>
      </w:r>
    </w:p>
    <w:p>
      <w:pPr>
        <w:spacing w:after="0" w:line="173"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Corporate Trust Office of the Trustee</w:t>
      </w:r>
      <w:r>
        <w:rPr>
          <w:rFonts w:ascii="Arial" w:cs="Arial" w:eastAsia="Arial" w:hAnsi="Arial"/>
          <w:sz w:val="19"/>
          <w:szCs w:val="19"/>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63" w:lineRule="exact"/>
        <w:rPr>
          <w:sz w:val="20"/>
          <w:szCs w:val="20"/>
          <w:color w:val="auto"/>
        </w:rPr>
      </w:pPr>
    </w:p>
    <w:p>
      <w:pPr>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Credit Agreement</w:t>
      </w:r>
      <w:r>
        <w:rPr>
          <w:rFonts w:ascii="Arial" w:cs="Arial" w:eastAsia="Arial" w:hAnsi="Arial"/>
          <w:sz w:val="20"/>
          <w:szCs w:val="20"/>
          <w:color w:val="auto"/>
        </w:rPr>
        <w:t>” means the Credit Agreement dated as of October 27, 2020, as amended to the Issue Date among the Issuer, the guarantors party thereto, Citibank, N.A., as administrative agent, and the lenders and agents party thereto from time to time, as such agreement, in whole or in part, in one or more instances, as amended to date and as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157"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Custodian</w:t>
      </w:r>
      <w:r>
        <w:rPr>
          <w:rFonts w:ascii="Arial" w:cs="Arial" w:eastAsia="Arial" w:hAnsi="Arial"/>
          <w:sz w:val="20"/>
          <w:szCs w:val="20"/>
          <w:color w:val="auto"/>
        </w:rPr>
        <w:t>” means the Trustee, as custodian with respect to the Notes in global form, or any successor entity thereto.</w:t>
      </w:r>
    </w:p>
    <w:p>
      <w:pPr>
        <w:spacing w:after="0" w:line="189" w:lineRule="exact"/>
        <w:rPr>
          <w:sz w:val="20"/>
          <w:szCs w:val="20"/>
          <w:color w:val="auto"/>
        </w:rPr>
      </w:pPr>
    </w:p>
    <w:p>
      <w:pPr>
        <w:ind w:right="10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00"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Definitive Note</w:t>
      </w:r>
      <w:r>
        <w:rPr>
          <w:rFonts w:ascii="Arial" w:cs="Arial" w:eastAsia="Arial" w:hAnsi="Arial"/>
          <w:sz w:val="20"/>
          <w:szCs w:val="20"/>
          <w:color w:val="auto"/>
        </w:rPr>
        <w:t xml:space="preserve">” means a certificated Note registered in the name of the Holder thereof and issued in accordance with Section 2.06,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except that such Note shall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not bear the Global Note Legend and shall not have the “Schedule of Increases or Decreases of Interests in the Global Note” attached thereto.</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 Minimis Guaranteed Amount</w:t>
      </w:r>
      <w:r>
        <w:rPr>
          <w:rFonts w:ascii="Arial" w:cs="Arial" w:eastAsia="Arial" w:hAnsi="Arial"/>
          <w:sz w:val="20"/>
          <w:szCs w:val="20"/>
          <w:color w:val="auto"/>
        </w:rPr>
        <w:t>” means a principal amount of Indebtedness that does not exceed $15.0 million.</w:t>
      </w:r>
    </w:p>
    <w:p>
      <w:pPr>
        <w:spacing w:after="0" w:line="18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of non-cash consideration received by the Issuer or a Restricted Subsidiary in connection with an Asset Sale that is so designated as Designated Non-cash Consideration, less the amount of cash or Cash Equivalents received in connection with a subsequent sale of or collection on such Designated Non-cash Consideration.</w:t>
      </w:r>
    </w:p>
    <w:p>
      <w:pPr>
        <w:spacing w:after="0" w:line="139" w:lineRule="exact"/>
        <w:rPr>
          <w:sz w:val="20"/>
          <w:szCs w:val="20"/>
          <w:color w:val="auto"/>
        </w:rPr>
      </w:pPr>
    </w:p>
    <w:p>
      <w:pPr>
        <w:jc w:val="both"/>
        <w:ind w:right="24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Depositary</w:t>
      </w:r>
      <w:r>
        <w:rPr>
          <w:rFonts w:ascii="Arial" w:cs="Arial" w:eastAsia="Arial" w:hAnsi="Arial"/>
          <w:sz w:val="20"/>
          <w:szCs w:val="20"/>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provided that only the portion of Capital Stock which is mandatorily redeemable or matures or is redeemable at the option of the holder thereof prior to such date will be deemed to be Disqualified Stock; provided, further,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63" w:lineRule="exact"/>
        <w:rPr>
          <w:sz w:val="20"/>
          <w:szCs w:val="20"/>
          <w:color w:val="auto"/>
        </w:rPr>
      </w:pPr>
    </w:p>
    <w:p>
      <w:pPr>
        <w:ind w:right="6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Dollar-Denominated Production Payments</w:t>
      </w:r>
      <w:r>
        <w:rPr>
          <w:rFonts w:ascii="Arial" w:cs="Arial" w:eastAsia="Arial" w:hAnsi="Arial"/>
          <w:sz w:val="20"/>
          <w:szCs w:val="20"/>
          <w:color w:val="auto"/>
        </w:rPr>
        <w:t>” means production payment obligations recorded as liabilities in accordance with GAAP, together with all undertakings and obligations in connection therewith.</w:t>
      </w:r>
    </w:p>
    <w:p>
      <w:pPr>
        <w:spacing w:after="0" w:line="163" w:lineRule="exact"/>
        <w:rPr>
          <w:sz w:val="20"/>
          <w:szCs w:val="20"/>
          <w:color w:val="auto"/>
        </w:rPr>
      </w:pPr>
    </w:p>
    <w:p>
      <w:pPr>
        <w:ind w:right="28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EHP Assets</w:t>
      </w:r>
      <w:r>
        <w:rPr>
          <w:rFonts w:ascii="Arial" w:cs="Arial" w:eastAsia="Arial" w:hAnsi="Arial"/>
          <w:sz w:val="18"/>
          <w:szCs w:val="18"/>
          <w:color w:val="auto"/>
        </w:rPr>
        <w:t>” means the following assets owned by Elk Hills Power, LLC and located in Kern County, California: (i) that certain approximately 550 MW natural gas combined cycle electric generating facility, (ii) that certain approximately 200 MMSCFPD CGP-1 cryogenic gas processing facility, and (iii) those certain low temperature gas processing plants known as LTS-1 and LTS-2, in each case as they exist on the Issue Date, and excluding any additions or extensions to or expansions of any of the foregoing after the Issue Date.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Electronic Means</w:t>
      </w:r>
      <w:r>
        <w:rPr>
          <w:rFonts w:ascii="Arial" w:cs="Arial" w:eastAsia="Arial" w:hAnsi="Arial"/>
          <w:sz w:val="20"/>
          <w:szCs w:val="20"/>
          <w:color w:val="auto"/>
        </w:rPr>
        <w:t>” means the following communications methods: e-mail, facsimile transmission,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2" w:lineRule="exact"/>
        <w:rPr>
          <w:sz w:val="20"/>
          <w:szCs w:val="20"/>
          <w:color w:val="auto"/>
        </w:rPr>
      </w:pPr>
    </w:p>
    <w:p>
      <w:pPr>
        <w:ind w:right="380"/>
        <w:spacing w:after="0" w:line="272" w:lineRule="auto"/>
        <w:rPr>
          <w:sz w:val="20"/>
          <w:szCs w:val="20"/>
          <w:color w:val="auto"/>
        </w:rPr>
      </w:pPr>
      <w:r>
        <w:rPr>
          <w:rFonts w:ascii="Arial" w:cs="Arial" w:eastAsia="Arial" w:hAnsi="Arial"/>
          <w:sz w:val="19"/>
          <w:szCs w:val="19"/>
          <w:color w:val="auto"/>
        </w:rPr>
        <w:t>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26" w:lineRule="exact"/>
        <w:rPr>
          <w:sz w:val="20"/>
          <w:szCs w:val="20"/>
          <w:color w:val="auto"/>
        </w:rPr>
      </w:pPr>
    </w:p>
    <w:p>
      <w:pPr>
        <w:ind w:right="10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Equity Interests</w:t>
      </w:r>
      <w:r>
        <w:rPr>
          <w:rFonts w:ascii="Arial" w:cs="Arial" w:eastAsia="Arial" w:hAnsi="Arial"/>
          <w:sz w:val="19"/>
          <w:szCs w:val="19"/>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63" w:lineRule="exact"/>
        <w:rPr>
          <w:sz w:val="20"/>
          <w:szCs w:val="20"/>
          <w:color w:val="auto"/>
        </w:rPr>
      </w:pPr>
    </w:p>
    <w:p>
      <w:pPr>
        <w:ind w:right="14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Equity Offering</w:t>
      </w:r>
      <w:r>
        <w:rPr>
          <w:rFonts w:ascii="Arial" w:cs="Arial" w:eastAsia="Arial" w:hAnsi="Arial"/>
          <w:sz w:val="20"/>
          <w:szCs w:val="20"/>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Euroclear</w:t>
      </w:r>
      <w:r>
        <w:rPr>
          <w:rFonts w:ascii="Arial" w:cs="Arial" w:eastAsia="Arial" w:hAnsi="Arial"/>
          <w:sz w:val="20"/>
          <w:szCs w:val="20"/>
          <w:color w:val="auto"/>
        </w:rPr>
        <w:t>” means Euroclear Bank, S.A./N.V., as operator of the Euroclear system.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189" w:lineRule="exact"/>
        <w:rPr>
          <w:sz w:val="20"/>
          <w:szCs w:val="20"/>
          <w:color w:val="auto"/>
        </w:rPr>
      </w:pPr>
    </w:p>
    <w:p>
      <w:pPr>
        <w:ind w:right="76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Existing Indebtedness</w:t>
      </w:r>
      <w:r>
        <w:rPr>
          <w:rFonts w:ascii="Arial" w:cs="Arial" w:eastAsia="Arial" w:hAnsi="Arial"/>
          <w:sz w:val="19"/>
          <w:szCs w:val="19"/>
          <w:color w:val="auto"/>
        </w:rPr>
        <w:t>” means all Indebtedness of the Issuer and its Subsidiaries (other than Indebtedness under the Credit Agreement, the Notes and the Guarantees) in existence on the Issue Date, until such amounts are repaid.</w:t>
      </w:r>
    </w:p>
    <w:p>
      <w:pPr>
        <w:spacing w:after="0" w:line="139" w:lineRule="exact"/>
        <w:rPr>
          <w:sz w:val="20"/>
          <w:szCs w:val="20"/>
          <w:color w:val="auto"/>
        </w:rPr>
      </w:pPr>
    </w:p>
    <w:p>
      <w:pPr>
        <w:ind w:right="4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Fair Market Value</w:t>
      </w:r>
      <w:r>
        <w:rPr>
          <w:rFonts w:ascii="Arial" w:cs="Arial" w:eastAsia="Arial" w:hAnsi="Arial"/>
          <w:sz w:val="20"/>
          <w:szCs w:val="20"/>
          <w:color w:val="auto"/>
        </w:rPr>
        <w:t>” means the value that would be paid by a willing buyer to an unaffiliated willing seller in a transaction not involving distress or necessity of either party.</w:t>
      </w:r>
    </w:p>
    <w:p>
      <w:pPr>
        <w:spacing w:after="0" w:line="150"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Finance Lease Obligation</w:t>
      </w:r>
      <w:r>
        <w:rPr>
          <w:rFonts w:ascii="Arial" w:cs="Arial" w:eastAsia="Arial" w:hAnsi="Arial"/>
          <w:sz w:val="19"/>
          <w:szCs w:val="19"/>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16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8"/>
          <w:szCs w:val="18"/>
          <w:i w:val="1"/>
          <w:iCs w:val="1"/>
          <w:color w:val="auto"/>
        </w:rPr>
        <w:t>Calculation Date</w:t>
      </w:r>
      <w:r>
        <w:rPr>
          <w:rFonts w:ascii="Arial" w:cs="Arial" w:eastAsia="Arial" w:hAnsi="Arial"/>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 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60"/>
          </w:cols>
          <w:pgMar w:left="320" w:top="1440" w:right="419" w:bottom="1440" w:gutter="0" w:footer="0" w:header="0"/>
        </w:sectPr>
      </w:pPr>
    </w:p>
    <w:bookmarkStart w:id="25" w:name="page26"/>
    <w:bookmarkEnd w:id="25"/>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created after the end of such four fiscal quarters, the average daily balance of such Indebtedness during the period from the date of creation of such revolving Credit Facility to the date of such determination). If any Indebtedness bears a floating rate of interest and is being given pro forma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pro forma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for purposes of calculating the Fixed Charge Coverage Ratio:</w:t>
      </w:r>
    </w:p>
    <w:p>
      <w:pPr>
        <w:spacing w:after="0" w:line="189" w:lineRule="exact"/>
        <w:rPr>
          <w:sz w:val="20"/>
          <w:szCs w:val="20"/>
          <w:color w:val="auto"/>
        </w:rPr>
      </w:pPr>
    </w:p>
    <w:p>
      <w:pPr>
        <w:ind w:left="660" w:right="20" w:firstLine="644"/>
        <w:spacing w:after="0" w:line="243" w:lineRule="auto"/>
        <w:tabs>
          <w:tab w:leader="none" w:pos="1737" w:val="left"/>
        </w:tabs>
        <w:numPr>
          <w:ilvl w:val="0"/>
          <w:numId w:val="21"/>
        </w:numPr>
        <w:rPr>
          <w:rFonts w:ascii="Arial" w:cs="Arial" w:eastAsia="Arial" w:hAnsi="Arial"/>
          <w:sz w:val="19"/>
          <w:szCs w:val="19"/>
          <w:color w:val="auto"/>
        </w:rPr>
      </w:pPr>
      <w:r>
        <w:rPr>
          <w:rFonts w:ascii="Arial" w:cs="Arial" w:eastAsia="Arial" w:hAnsi="Arial"/>
          <w:sz w:val="19"/>
          <w:szCs w:val="19"/>
          <w:color w:val="auto"/>
        </w:rPr>
        <w:t>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pro forma effect as if they had occurred on the first day of the four-quarter reference period;</w:t>
      </w:r>
    </w:p>
    <w:p>
      <w:pPr>
        <w:spacing w:after="0" w:line="165" w:lineRule="exact"/>
        <w:rPr>
          <w:rFonts w:ascii="Arial" w:cs="Arial" w:eastAsia="Arial" w:hAnsi="Arial"/>
          <w:sz w:val="19"/>
          <w:szCs w:val="19"/>
          <w:color w:val="auto"/>
        </w:rPr>
      </w:pPr>
    </w:p>
    <w:p>
      <w:pPr>
        <w:jc w:val="both"/>
        <w:ind w:left="660" w:right="480" w:firstLine="644"/>
        <w:spacing w:after="0" w:line="237" w:lineRule="auto"/>
        <w:tabs>
          <w:tab w:leader="none" w:pos="1737"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155" w:lineRule="exact"/>
        <w:rPr>
          <w:rFonts w:ascii="Arial" w:cs="Arial" w:eastAsia="Arial" w:hAnsi="Arial"/>
          <w:sz w:val="20"/>
          <w:szCs w:val="20"/>
          <w:color w:val="auto"/>
        </w:rPr>
      </w:pPr>
    </w:p>
    <w:p>
      <w:pPr>
        <w:ind w:left="660" w:right="120" w:firstLine="644"/>
        <w:spacing w:after="0" w:line="234" w:lineRule="auto"/>
        <w:tabs>
          <w:tab w:leader="none" w:pos="1737"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69" w:lineRule="exact"/>
        <w:rPr>
          <w:rFonts w:ascii="Arial" w:cs="Arial" w:eastAsia="Arial" w:hAnsi="Arial"/>
          <w:sz w:val="20"/>
          <w:szCs w:val="20"/>
          <w:color w:val="auto"/>
        </w:rPr>
      </w:pPr>
    </w:p>
    <w:p>
      <w:pPr>
        <w:ind w:left="660" w:right="40" w:firstLine="644"/>
        <w:spacing w:after="0" w:line="272" w:lineRule="auto"/>
        <w:tabs>
          <w:tab w:leader="none" w:pos="1737"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139" w:lineRule="exact"/>
        <w:rPr>
          <w:rFonts w:ascii="Arial" w:cs="Arial" w:eastAsia="Arial" w:hAnsi="Arial"/>
          <w:sz w:val="19"/>
          <w:szCs w:val="19"/>
          <w:color w:val="auto"/>
        </w:rPr>
      </w:pPr>
    </w:p>
    <w:p>
      <w:pPr>
        <w:ind w:left="660" w:right="80" w:firstLine="644"/>
        <w:spacing w:after="0" w:line="300" w:lineRule="auto"/>
        <w:tabs>
          <w:tab w:leader="none" w:pos="17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that is not to be a Restricted Subsidiary of the specified Person immediately following the Calculation Date will be deemed not to have been a Restricted Subsidiary at any time during such four-quarter reference period;</w:t>
      </w:r>
    </w:p>
    <w:p>
      <w:pPr>
        <w:spacing w:after="0" w:line="103" w:lineRule="exact"/>
        <w:rPr>
          <w:rFonts w:ascii="Arial" w:cs="Arial" w:eastAsia="Arial" w:hAnsi="Arial"/>
          <w:sz w:val="18"/>
          <w:szCs w:val="18"/>
          <w:color w:val="auto"/>
        </w:rPr>
      </w:pPr>
    </w:p>
    <w:p>
      <w:pPr>
        <w:ind w:left="660" w:firstLine="644"/>
        <w:spacing w:after="0" w:line="234" w:lineRule="auto"/>
        <w:tabs>
          <w:tab w:leader="none" w:pos="1737"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interest income reasonably anticipated by such Person to be received during the applicable four-quarter reference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82" w:lineRule="exact"/>
        <w:rPr>
          <w:sz w:val="20"/>
          <w:szCs w:val="20"/>
          <w:color w:val="auto"/>
        </w:rPr>
      </w:pPr>
    </w:p>
    <w:p>
      <w:pPr>
        <w:ind w:left="660" w:firstLine="644"/>
        <w:spacing w:after="0" w:line="243" w:lineRule="auto"/>
        <w:tabs>
          <w:tab w:leader="none" w:pos="1737"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pro forma effect thereto as if such disposition or acquisition, contribution or Investment had occurred on the first day of such four-quarter reference period.</w:t>
      </w:r>
    </w:p>
    <w:p>
      <w:pPr>
        <w:spacing w:after="0" w:line="152"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 xml:space="preserve">For purposes of this definition, whenever pro forma effect is to be given to any calculation under this definition, the pro forma calculations will be determined in good faith by a responsible financial or accounting Officer of the Issuer, which determination shall be conclusive for all purposes under this Indenture;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Officer may in such Officer’s discretion include any reasonably identifiable and factually supportable pro forma changes to Consolidated Cash Flow or Fixed Charges, including any pro forma expense and cost reductions or synergies that have occurred or are reasonably expected to occur within the 12 months immediately following the Calculation Date (regardless of whether those cost savings or operating improvements could then be reflected in pro forma financial statements in accordance with Regulation S-X promulgated under the Securities Act or any other regulation or policy of the SEC related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Fixed Charges</w:t>
      </w:r>
      <w:r>
        <w:rPr>
          <w:rFonts w:ascii="Arial" w:cs="Arial" w:eastAsia="Arial" w:hAnsi="Arial"/>
          <w:sz w:val="20"/>
          <w:szCs w:val="20"/>
          <w:color w:val="auto"/>
        </w:rPr>
        <w:t>” means, with respect to any specified Person for any period, the sum, without duplication, of:</w:t>
      </w:r>
    </w:p>
    <w:p>
      <w:pPr>
        <w:spacing w:after="0" w:line="189" w:lineRule="exact"/>
        <w:rPr>
          <w:sz w:val="20"/>
          <w:szCs w:val="20"/>
          <w:color w:val="auto"/>
        </w:rPr>
      </w:pPr>
    </w:p>
    <w:p>
      <w:pPr>
        <w:ind w:firstLine="656"/>
        <w:spacing w:after="0" w:line="258" w:lineRule="auto"/>
        <w:tabs>
          <w:tab w:leader="none" w:pos="10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(less interest income) of such Person and its Restricted Subsidiaries for such period, whether paid or accrued (excluding (i) any interest attributable to Dollar-Denominated Production Payments, (ii) write-off of deferred financing costs and (iii) 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143"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right="140" w:firstLine="656"/>
        <w:spacing w:after="0" w:line="254" w:lineRule="auto"/>
        <w:tabs>
          <w:tab w:leader="none" w:pos="1077"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9"/>
          <w:szCs w:val="19"/>
          <w:i w:val="1"/>
          <w:iCs w:val="1"/>
          <w:color w:val="auto"/>
        </w:rPr>
        <w:t>plus</w:t>
      </w:r>
    </w:p>
    <w:p>
      <w:pPr>
        <w:spacing w:after="0" w:line="156" w:lineRule="exact"/>
        <w:rPr>
          <w:rFonts w:ascii="Arial" w:cs="Arial" w:eastAsia="Arial" w:hAnsi="Arial"/>
          <w:sz w:val="19"/>
          <w:szCs w:val="19"/>
          <w:color w:val="auto"/>
        </w:rPr>
      </w:pPr>
    </w:p>
    <w:p>
      <w:pPr>
        <w:jc w:val="both"/>
        <w:ind w:right="360" w:firstLine="656"/>
        <w:spacing w:after="0" w:line="254" w:lineRule="auto"/>
        <w:tabs>
          <w:tab w:leader="none" w:pos="1077"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in each case, on a consolidated basis and determined in accordance with GAAP.</w:t>
      </w:r>
    </w:p>
    <w:p>
      <w:pPr>
        <w:spacing w:after="0" w:line="175" w:lineRule="exact"/>
        <w:rPr>
          <w:sz w:val="20"/>
          <w:szCs w:val="20"/>
          <w:color w:val="auto"/>
        </w:rPr>
      </w:pPr>
    </w:p>
    <w:p>
      <w:pPr>
        <w:ind w:right="7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GAAP</w:t>
      </w:r>
      <w:r>
        <w:rPr>
          <w:rFonts w:ascii="Arial" w:cs="Arial" w:eastAsia="Arial" w:hAnsi="Arial"/>
          <w:sz w:val="20"/>
          <w:szCs w:val="20"/>
          <w:color w:val="auto"/>
        </w:rPr>
        <w:t>” means generally accepted accounting principles in the United States, which are in effect from time to time. All ratio computations based on GAAP contained in this Indenture will be computed in conformity with GAAP.</w:t>
      </w:r>
    </w:p>
    <w:p>
      <w:pPr>
        <w:spacing w:after="0" w:line="163"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Global Note Legend</w:t>
      </w:r>
      <w:r>
        <w:rPr>
          <w:rFonts w:ascii="Arial" w:cs="Arial" w:eastAsia="Arial" w:hAnsi="Arial"/>
          <w:sz w:val="20"/>
          <w:szCs w:val="20"/>
          <w:color w:val="auto"/>
        </w:rPr>
        <w:t>” means the legend set forth in Section 2.06(g)(2), which is required to be placed on all Global Notes issued under this Indenture.</w:t>
      </w:r>
    </w:p>
    <w:p>
      <w:pPr>
        <w:spacing w:after="0" w:line="163" w:lineRule="exact"/>
        <w:rPr>
          <w:sz w:val="20"/>
          <w:szCs w:val="20"/>
          <w:color w:val="auto"/>
        </w:rPr>
      </w:pPr>
    </w:p>
    <w:p>
      <w:pPr>
        <w:ind w:right="16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Global Notes</w:t>
      </w:r>
      <w:r>
        <w:rPr>
          <w:rFonts w:ascii="Arial" w:cs="Arial" w:eastAsia="Arial" w:hAnsi="Arial"/>
          <w:sz w:val="20"/>
          <w:szCs w:val="20"/>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56"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Government Securities</w:t>
      </w:r>
      <w:r>
        <w:rPr>
          <w:rFonts w:ascii="Arial" w:cs="Arial" w:eastAsia="Arial" w:hAnsi="Arial"/>
          <w:sz w:val="20"/>
          <w:szCs w:val="20"/>
          <w:color w:val="auto"/>
        </w:rPr>
        <w:t>” means direct obligations of, or obligations guaranteed by, the United States of America, and the payment for which the United States pledges its full faith and credit.</w:t>
      </w:r>
    </w:p>
    <w:p>
      <w:pPr>
        <w:spacing w:after="0" w:line="163" w:lineRule="exact"/>
        <w:rPr>
          <w:sz w:val="20"/>
          <w:szCs w:val="20"/>
          <w:color w:val="auto"/>
        </w:rPr>
      </w:pPr>
    </w:p>
    <w:p>
      <w:pPr>
        <w:ind w:right="3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w:t>
      </w:r>
      <w:r>
        <w:rPr>
          <w:rFonts w:ascii="Arial" w:cs="Arial" w:eastAsia="Arial" w:hAnsi="Arial"/>
          <w:sz w:val="20"/>
          <w:szCs w:val="20"/>
          <w:color w:val="auto"/>
        </w:rPr>
        <w:t>” means the guarantee by each Guarantor of the Issuer’s obligations under this Indenture and the Notes, as provided in Article 10.</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w:t>
      </w:r>
      <w:r>
        <w:rPr>
          <w:rFonts w:ascii="Arial" w:cs="Arial" w:eastAsia="Arial" w:hAnsi="Arial"/>
          <w:sz w:val="20"/>
          <w:szCs w:val="20"/>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57" w:lineRule="exact"/>
        <w:rPr>
          <w:sz w:val="20"/>
          <w:szCs w:val="20"/>
          <w:color w:val="auto"/>
        </w:rPr>
      </w:pPr>
    </w:p>
    <w:p>
      <w:pPr>
        <w:jc w:val="both"/>
        <w:ind w:right="16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Guarantors</w:t>
      </w:r>
      <w:r>
        <w:rPr>
          <w:rFonts w:ascii="Arial" w:cs="Arial" w:eastAsia="Arial" w:hAnsi="Arial"/>
          <w:sz w:val="20"/>
          <w:szCs w:val="20"/>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69" w:lineRule="exact"/>
        <w:rPr>
          <w:sz w:val="20"/>
          <w:szCs w:val="20"/>
          <w:color w:val="auto"/>
        </w:rPr>
      </w:pPr>
    </w:p>
    <w:p>
      <w:pPr>
        <w:ind w:right="6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Hedging Obligations</w:t>
      </w:r>
      <w:r>
        <w:rPr>
          <w:rFonts w:ascii="Arial" w:cs="Arial" w:eastAsia="Arial" w:hAnsi="Arial"/>
          <w:sz w:val="20"/>
          <w:szCs w:val="20"/>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Holder</w:t>
      </w:r>
      <w:r>
        <w:rPr>
          <w:rFonts w:ascii="Arial" w:cs="Arial" w:eastAsia="Arial" w:hAnsi="Arial"/>
          <w:sz w:val="20"/>
          <w:szCs w:val="20"/>
          <w:color w:val="auto"/>
        </w:rPr>
        <w:t>” means a Person in whose name a Note is registered.</w:t>
      </w:r>
    </w:p>
    <w:p>
      <w:pPr>
        <w:spacing w:after="0" w:line="175" w:lineRule="exact"/>
        <w:rPr>
          <w:sz w:val="20"/>
          <w:szCs w:val="20"/>
          <w:color w:val="auto"/>
        </w:rPr>
      </w:pPr>
    </w:p>
    <w:p>
      <w:pPr>
        <w:ind w:right="180"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Hydrocarbons</w:t>
      </w:r>
      <w:r>
        <w:rPr>
          <w:rFonts w:ascii="Arial" w:cs="Arial" w:eastAsia="Arial" w:hAnsi="Arial"/>
          <w:sz w:val="18"/>
          <w:szCs w:val="18"/>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resold to Institutional Accredited Investors.</w:t>
      </w:r>
    </w:p>
    <w:p>
      <w:pPr>
        <w:spacing w:after="0" w:line="157"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Indebtedness</w:t>
      </w:r>
      <w:r>
        <w:rPr>
          <w:rFonts w:ascii="Arial" w:cs="Arial" w:eastAsia="Arial" w:hAnsi="Arial"/>
          <w:sz w:val="20"/>
          <w:szCs w:val="20"/>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2" w:lineRule="exact"/>
        <w:rPr>
          <w:sz w:val="20"/>
          <w:szCs w:val="20"/>
          <w:color w:val="auto"/>
        </w:rPr>
      </w:pPr>
    </w:p>
    <w:p>
      <w:pPr>
        <w:ind w:left="1740" w:hanging="436"/>
        <w:spacing w:after="0"/>
        <w:tabs>
          <w:tab w:leader="none" w:pos="17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respect of borrowed money;</w:t>
      </w:r>
    </w:p>
    <w:p>
      <w:pPr>
        <w:spacing w:after="0" w:line="175" w:lineRule="exact"/>
        <w:rPr>
          <w:rFonts w:ascii="Arial" w:cs="Arial" w:eastAsia="Arial" w:hAnsi="Arial"/>
          <w:sz w:val="20"/>
          <w:szCs w:val="20"/>
          <w:color w:val="auto"/>
        </w:rPr>
      </w:pPr>
    </w:p>
    <w:p>
      <w:pPr>
        <w:ind w:left="660" w:firstLine="644"/>
        <w:spacing w:after="0" w:line="246" w:lineRule="auto"/>
        <w:tabs>
          <w:tab w:leader="none" w:pos="1737"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evidenced by bonds, notes, debentures or similar instruments or (b) constituting letters of credit (or reimbursement agreements in respect thereof) (other than obligations with respect to letters of credit securing obligations (other than obligations described in clauses (1), (2)(a), (3),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162" w:lineRule="exact"/>
        <w:rPr>
          <w:rFonts w:ascii="Arial" w:cs="Arial" w:eastAsia="Arial" w:hAnsi="Arial"/>
          <w:sz w:val="19"/>
          <w:szCs w:val="19"/>
          <w:color w:val="auto"/>
        </w:rPr>
      </w:pPr>
    </w:p>
    <w:p>
      <w:pPr>
        <w:ind w:left="1740" w:hanging="436"/>
        <w:spacing w:after="0"/>
        <w:tabs>
          <w:tab w:leader="none" w:pos="17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respect of bankers’ acceptances;</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representing Finance Lease Obligations or Attributable Debt in respect of sale and leaseback transactions;</w:t>
      </w:r>
    </w:p>
    <w:p>
      <w:pPr>
        <w:spacing w:after="0" w:line="175" w:lineRule="exact"/>
        <w:rPr>
          <w:rFonts w:ascii="Arial" w:cs="Arial" w:eastAsia="Arial" w:hAnsi="Arial"/>
          <w:sz w:val="20"/>
          <w:szCs w:val="20"/>
          <w:color w:val="auto"/>
        </w:rPr>
      </w:pPr>
    </w:p>
    <w:p>
      <w:pPr>
        <w:ind w:left="660" w:right="600" w:firstLine="644"/>
        <w:spacing w:after="0" w:line="246" w:lineRule="auto"/>
        <w:tabs>
          <w:tab w:leader="none" w:pos="1737"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representing the balance deferred and unpaid of the purchase price of any property or services due more than six months after such property is acquired or such services are completed; or</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representing any Hedging Obligations,</w:t>
      </w:r>
    </w:p>
    <w:p>
      <w:pPr>
        <w:spacing w:after="0" w:line="189"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62"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addition, “Indebtedness” of any Person shall include Indebtedness described in the preceding paragraph that would not appear as a liability on the balance sheet of such Person if:</w:t>
      </w:r>
    </w:p>
    <w:p>
      <w:pPr>
        <w:spacing w:after="0" w:line="163" w:lineRule="exact"/>
        <w:rPr>
          <w:sz w:val="20"/>
          <w:szCs w:val="20"/>
          <w:color w:val="auto"/>
        </w:rPr>
      </w:pPr>
    </w:p>
    <w:p>
      <w:pPr>
        <w:ind w:left="1740" w:hanging="436"/>
        <w:spacing w:after="0"/>
        <w:tabs>
          <w:tab w:leader="none" w:pos="1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Indebtedness is the obligation of a partnership that is a Joint Venture;</w:t>
      </w:r>
    </w:p>
    <w:p>
      <w:pPr>
        <w:spacing w:after="0" w:line="188" w:lineRule="exact"/>
        <w:rPr>
          <w:rFonts w:ascii="Arial" w:cs="Arial" w:eastAsia="Arial" w:hAnsi="Arial"/>
          <w:sz w:val="20"/>
          <w:szCs w:val="20"/>
          <w:color w:val="auto"/>
        </w:rPr>
      </w:pPr>
    </w:p>
    <w:p>
      <w:pPr>
        <w:ind w:left="660" w:right="680" w:firstLine="644"/>
        <w:spacing w:after="0" w:line="246" w:lineRule="auto"/>
        <w:tabs>
          <w:tab w:leader="none" w:pos="1737"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Person or a Restricted Subsidiary of such Person is a general partner of the Joint Venture (a “</w:t>
      </w:r>
      <w:r>
        <w:rPr>
          <w:rFonts w:ascii="Arial" w:cs="Arial" w:eastAsia="Arial" w:hAnsi="Arial"/>
          <w:sz w:val="20"/>
          <w:szCs w:val="20"/>
          <w:i w:val="1"/>
          <w:iCs w:val="1"/>
          <w:color w:val="auto"/>
        </w:rPr>
        <w:t>Joint Venture</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Partner</w:t>
      </w:r>
      <w:r>
        <w:rPr>
          <w:rFonts w:ascii="Arial" w:cs="Arial" w:eastAsia="Arial" w:hAnsi="Arial"/>
          <w:sz w:val="20"/>
          <w:szCs w:val="20"/>
          <w:color w:val="auto"/>
        </w:rPr>
        <w:t>”); and</w:t>
      </w:r>
    </w:p>
    <w:p>
      <w:pPr>
        <w:spacing w:after="0" w:line="149" w:lineRule="exact"/>
        <w:rPr>
          <w:rFonts w:ascii="Arial" w:cs="Arial" w:eastAsia="Arial" w:hAnsi="Arial"/>
          <w:sz w:val="20"/>
          <w:szCs w:val="20"/>
          <w:color w:val="auto"/>
        </w:rPr>
      </w:pPr>
    </w:p>
    <w:p>
      <w:pPr>
        <w:ind w:left="660" w:right="20" w:firstLine="644"/>
        <w:spacing w:after="0" w:line="368" w:lineRule="auto"/>
        <w:tabs>
          <w:tab w:leader="none" w:pos="17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70" w:lineRule="exact"/>
        <w:rPr>
          <w:rFonts w:ascii="Arial" w:cs="Arial" w:eastAsia="Arial" w:hAnsi="Arial"/>
          <w:sz w:val="16"/>
          <w:szCs w:val="16"/>
          <w:color w:val="auto"/>
        </w:rPr>
      </w:pPr>
    </w:p>
    <w:p>
      <w:pPr>
        <w:ind w:left="1300" w:right="60" w:firstLine="652"/>
        <w:spacing w:after="0" w:line="237" w:lineRule="auto"/>
        <w:tabs>
          <w:tab w:leader="none" w:pos="2365"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169" w:lineRule="exact"/>
        <w:rPr>
          <w:rFonts w:ascii="Arial" w:cs="Arial" w:eastAsia="Arial" w:hAnsi="Arial"/>
          <w:sz w:val="20"/>
          <w:szCs w:val="20"/>
          <w:color w:val="auto"/>
        </w:rPr>
      </w:pPr>
    </w:p>
    <w:p>
      <w:pPr>
        <w:ind w:left="1300" w:right="660" w:firstLine="652"/>
        <w:spacing w:after="0" w:line="246" w:lineRule="auto"/>
        <w:tabs>
          <w:tab w:leader="none" w:pos="2377" w:val="left"/>
        </w:tabs>
        <w:numPr>
          <w:ilvl w:val="1"/>
          <w:numId w:val="25"/>
        </w:numPr>
        <w:rPr>
          <w:rFonts w:ascii="Arial" w:cs="Arial" w:eastAsia="Arial" w:hAnsi="Arial"/>
          <w:sz w:val="20"/>
          <w:szCs w:val="20"/>
          <w:color w:val="auto"/>
        </w:rPr>
      </w:pPr>
      <w:r>
        <w:rPr>
          <w:rFonts w:ascii="Arial" w:cs="Arial" w:eastAsia="Arial" w:hAnsi="Arial"/>
          <w:sz w:val="20"/>
          <w:szCs w:val="20"/>
          <w:color w:val="auto"/>
        </w:rPr>
        <w:t>if less than the amount determined pursuant to clause (a) immediately above, the actual amount of such Indebtedness that is recourse to such Person or 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82" w:lineRule="exact"/>
        <w:rPr>
          <w:sz w:val="20"/>
          <w:szCs w:val="20"/>
          <w:color w:val="auto"/>
        </w:rPr>
      </w:pPr>
    </w:p>
    <w:p>
      <w:pPr>
        <w:ind w:left="1300" w:right="100"/>
        <w:spacing w:after="0" w:line="237" w:lineRule="auto"/>
        <w:rPr>
          <w:sz w:val="20"/>
          <w:szCs w:val="20"/>
          <w:color w:val="auto"/>
        </w:rPr>
      </w:pPr>
      <w:r>
        <w:rPr>
          <w:rFonts w:ascii="Arial" w:cs="Arial" w:eastAsia="Arial" w:hAnsi="Arial"/>
          <w:sz w:val="20"/>
          <w:szCs w:val="20"/>
          <w:color w:val="auto"/>
        </w:rPr>
        <w:t>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following shall not in any event constitute “Indebtedness”:</w:t>
      </w:r>
    </w:p>
    <w:p>
      <w:pPr>
        <w:spacing w:after="0" w:line="189" w:lineRule="exact"/>
        <w:rPr>
          <w:sz w:val="20"/>
          <w:szCs w:val="20"/>
          <w:color w:val="auto"/>
        </w:rPr>
      </w:pPr>
    </w:p>
    <w:p>
      <w:pPr>
        <w:ind w:left="660" w:right="80" w:firstLine="644"/>
        <w:spacing w:after="0" w:line="232" w:lineRule="auto"/>
        <w:tabs>
          <w:tab w:leader="none" w:pos="173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170" w:lineRule="exact"/>
        <w:rPr>
          <w:rFonts w:ascii="Arial" w:cs="Arial" w:eastAsia="Arial" w:hAnsi="Arial"/>
          <w:sz w:val="20"/>
          <w:szCs w:val="20"/>
          <w:color w:val="auto"/>
        </w:rPr>
      </w:pPr>
    </w:p>
    <w:p>
      <w:pPr>
        <w:ind w:left="660" w:firstLine="644"/>
        <w:spacing w:after="0" w:line="232" w:lineRule="auto"/>
        <w:tabs>
          <w:tab w:leader="none" w:pos="173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157" w:lineRule="exact"/>
        <w:rPr>
          <w:rFonts w:ascii="Arial" w:cs="Arial" w:eastAsia="Arial" w:hAnsi="Arial"/>
          <w:sz w:val="20"/>
          <w:szCs w:val="20"/>
          <w:color w:val="auto"/>
        </w:rPr>
      </w:pPr>
    </w:p>
    <w:p>
      <w:pPr>
        <w:ind w:left="660" w:right="260" w:firstLine="644"/>
        <w:spacing w:after="0" w:line="246" w:lineRule="auto"/>
        <w:tabs>
          <w:tab w:leader="none" w:pos="173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unrealized losses or charges in respect of Interest Rate Agreements or Oil and Gas Hedging Contracts (including those resulting from the application of FASB ASC 815);</w:t>
      </w:r>
    </w:p>
    <w:p>
      <w:pPr>
        <w:spacing w:after="0" w:line="163" w:lineRule="exact"/>
        <w:rPr>
          <w:rFonts w:ascii="Arial" w:cs="Arial" w:eastAsia="Arial" w:hAnsi="Arial"/>
          <w:sz w:val="20"/>
          <w:szCs w:val="20"/>
          <w:color w:val="auto"/>
        </w:rPr>
      </w:pPr>
    </w:p>
    <w:p>
      <w:pPr>
        <w:ind w:left="660" w:right="100" w:firstLine="644"/>
        <w:spacing w:after="0" w:line="246" w:lineRule="auto"/>
        <w:tabs>
          <w:tab w:leader="none" w:pos="173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contracts and other obligations, agreements, instruments or arrangements described in clauses (10), (18) and (19) of the definition of “Permitted Liens”; and</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Cash Management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Indenture</w:t>
      </w:r>
      <w:r>
        <w:rPr>
          <w:rFonts w:ascii="Arial" w:cs="Arial" w:eastAsia="Arial" w:hAnsi="Arial"/>
          <w:sz w:val="20"/>
          <w:szCs w:val="20"/>
          <w:color w:val="auto"/>
        </w:rPr>
        <w:t>” means this Indenture, as amended or supplemented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Indirect Participant</w:t>
      </w:r>
      <w:r>
        <w:rPr>
          <w:rFonts w:ascii="Arial" w:cs="Arial" w:eastAsia="Arial" w:hAnsi="Arial"/>
          <w:sz w:val="20"/>
          <w:szCs w:val="20"/>
          <w:color w:val="auto"/>
        </w:rPr>
        <w:t>” means a Person who holds a beneficial interest in a Global Note through a Participant.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$600,000,000 aggregate principal amount of Notes issued under this Indenture on the Issue Date.</w:t>
      </w:r>
    </w:p>
    <w:p>
      <w:pPr>
        <w:spacing w:after="0" w:line="198"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Purchasers</w:t>
      </w:r>
      <w:r>
        <w:rPr>
          <w:rFonts w:ascii="Arial" w:cs="Arial" w:eastAsia="Arial" w:hAnsi="Arial"/>
          <w:sz w:val="20"/>
          <w:szCs w:val="20"/>
          <w:color w:val="auto"/>
        </w:rPr>
        <w:t>” means Citigroup Global Markets Inc., RBC Capital Markets, LLC, MUFG Securities Americas Inc., Jefferies LLC, Mizuho Securities USA LLC, KeyBanc Capital Markets Inc. and J.P. Morgan Securities LLC.</w:t>
      </w:r>
    </w:p>
    <w:p>
      <w:pPr>
        <w:spacing w:after="0" w:line="163" w:lineRule="exact"/>
        <w:rPr>
          <w:sz w:val="20"/>
          <w:szCs w:val="20"/>
          <w:color w:val="auto"/>
        </w:rPr>
      </w:pPr>
    </w:p>
    <w:p>
      <w:pPr>
        <w:ind w:righ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Institutional Accredited Investor</w:t>
      </w:r>
      <w:r>
        <w:rPr>
          <w:rFonts w:ascii="Arial" w:cs="Arial" w:eastAsia="Arial" w:hAnsi="Arial"/>
          <w:sz w:val="20"/>
          <w:szCs w:val="20"/>
          <w:color w:val="auto"/>
        </w:rPr>
        <w:t>” means an institution that is an “accredited investor” as defined in Rule 501(a)(1), (2), (3) or (7) under the Securities Act that is not also a QIB.</w:t>
      </w:r>
    </w:p>
    <w:p>
      <w:pPr>
        <w:spacing w:after="0" w:line="163" w:lineRule="exact"/>
        <w:rPr>
          <w:sz w:val="20"/>
          <w:szCs w:val="20"/>
          <w:color w:val="auto"/>
        </w:rPr>
      </w:pPr>
    </w:p>
    <w:p>
      <w:pPr>
        <w:ind w:right="8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Rate Agreement</w:t>
      </w:r>
      <w:r>
        <w:rPr>
          <w:rFonts w:ascii="Arial" w:cs="Arial" w:eastAsia="Arial" w:hAnsi="Arial"/>
          <w:sz w:val="20"/>
          <w:szCs w:val="20"/>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56" w:lineRule="exact"/>
        <w:rPr>
          <w:sz w:val="20"/>
          <w:szCs w:val="20"/>
          <w:color w:val="auto"/>
        </w:rPr>
      </w:pPr>
    </w:p>
    <w:p>
      <w:pPr>
        <w:ind w:right="7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Investment</w:t>
      </w:r>
      <w:r>
        <w:rPr>
          <w:rFonts w:ascii="Arial" w:cs="Arial" w:eastAsia="Arial" w:hAnsi="Arial"/>
          <w:sz w:val="20"/>
          <w:szCs w:val="20"/>
          <w:color w:val="auto"/>
        </w:rPr>
        <w:t>” means, with respect to any Person, any direct or indirect investment by such Person in other Persons (including Affiliates) in the form of loans (including guarantees), advances or capital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 (3) advances to customers in the ordinary course of business that are recorded as accounts receivable on the balance sheet of the lender, prepaid expenses or deposits and extensions of trade credit on commercially reasonable terms in accordance 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 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54"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Investment Grade Rating</w:t>
      </w:r>
      <w:r>
        <w:rPr>
          <w:rFonts w:ascii="Arial" w:cs="Arial" w:eastAsia="Arial" w:hAnsi="Arial"/>
          <w:sz w:val="20"/>
          <w:szCs w:val="20"/>
          <w:color w:val="auto"/>
        </w:rPr>
        <w:t>” means a rating equal to or higher than Baa3 (or the equivalent) by Moody’s or BBB- (or the equivalent)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Issue Date</w:t>
      </w:r>
      <w:r>
        <w:rPr>
          <w:rFonts w:ascii="Arial" w:cs="Arial" w:eastAsia="Arial" w:hAnsi="Arial"/>
          <w:sz w:val="20"/>
          <w:szCs w:val="20"/>
          <w:color w:val="auto"/>
        </w:rPr>
        <w:t>” means January 20, 2021.</w:t>
      </w:r>
    </w:p>
    <w:p>
      <w:pPr>
        <w:spacing w:after="0" w:line="1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Joint Venture</w:t>
      </w:r>
      <w:r>
        <w:rPr>
          <w:rFonts w:ascii="Arial" w:cs="Arial" w:eastAsia="Arial" w:hAnsi="Arial"/>
          <w:sz w:val="20"/>
          <w:szCs w:val="20"/>
          <w:color w:val="auto"/>
        </w:rPr>
        <w:t>” means any Person that is not a direct or indirect Subsidiary of the Issuer in which the Issuer or any of its Restricted Subsidiaries makes any Investment.</w:t>
      </w:r>
    </w:p>
    <w:p>
      <w:pPr>
        <w:spacing w:after="0" w:line="150"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Legal Holiday</w:t>
      </w:r>
      <w:r>
        <w:rPr>
          <w:rFonts w:ascii="Arial" w:cs="Arial" w:eastAsia="Arial" w:hAnsi="Arial"/>
          <w:sz w:val="19"/>
          <w:szCs w:val="19"/>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39"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Lien</w:t>
      </w:r>
      <w:r>
        <w:rPr>
          <w:rFonts w:ascii="Arial" w:cs="Arial" w:eastAsia="Arial" w:hAnsi="Arial"/>
          <w:sz w:val="19"/>
          <w:szCs w:val="19"/>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63"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Midstream and Infrastructure Assets</w:t>
      </w:r>
      <w:r>
        <w:rPr>
          <w:rFonts w:ascii="Arial" w:cs="Arial" w:eastAsia="Arial" w:hAnsi="Arial"/>
          <w:sz w:val="19"/>
          <w:szCs w:val="19"/>
          <w:color w:val="auto"/>
        </w:rPr>
        <w:t>” means (i) assets (other than cash and Cash Equivalents)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lines and systems, and other assets commonly considered midstream assets or useful in connection with the conduct of midstream operations,</w:t>
      </w:r>
    </w:p>
    <w:p>
      <w:pPr>
        <w:spacing w:after="0" w:line="48" w:lineRule="exact"/>
        <w:rPr>
          <w:sz w:val="20"/>
          <w:szCs w:val="20"/>
          <w:color w:val="auto"/>
        </w:rPr>
      </w:pPr>
    </w:p>
    <w:p>
      <w:pPr>
        <w:ind w:firstLine="8"/>
        <w:spacing w:after="0" w:line="229" w:lineRule="auto"/>
        <w:tabs>
          <w:tab w:leader="none" w:pos="291"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power and cogeneration facilities, steam flood facilities, carbon capture and sequestration facilities, and any infrastructure or fixtures or assets related thereto, including machinery, valves, engines, boilers, tanks, parts, fittings, lines, cables, towers, rights of way and easements and (iii) 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Moody’s</w:t>
      </w:r>
      <w:r>
        <w:rPr>
          <w:rFonts w:ascii="Arial" w:cs="Arial" w:eastAsia="Arial" w:hAnsi="Arial"/>
          <w:sz w:val="20"/>
          <w:szCs w:val="20"/>
          <w:color w:val="auto"/>
        </w:rPr>
        <w:t>” means Moody’s Investors Service, Inc. and any successor to the ratings business thereof.</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Non-Recourse Debt</w:t>
      </w:r>
      <w:r>
        <w:rPr>
          <w:rFonts w:ascii="Arial" w:cs="Arial" w:eastAsia="Arial" w:hAnsi="Arial"/>
          <w:sz w:val="19"/>
          <w:szCs w:val="19"/>
          <w:color w:val="auto"/>
        </w:rPr>
        <w:t>” means, with respect to Indebtedness of any Unrestricted Subsidiary or Joint Venture, Indebtedness:</w:t>
      </w:r>
    </w:p>
    <w:p>
      <w:pPr>
        <w:spacing w:after="0" w:line="187" w:lineRule="exact"/>
        <w:rPr>
          <w:sz w:val="20"/>
          <w:szCs w:val="20"/>
          <w:color w:val="auto"/>
        </w:rPr>
      </w:pPr>
    </w:p>
    <w:p>
      <w:pPr>
        <w:jc w:val="both"/>
        <w:ind w:left="660" w:right="100" w:firstLine="644"/>
        <w:spacing w:after="0" w:line="234" w:lineRule="auto"/>
        <w:tabs>
          <w:tab w:leader="none" w:pos="1737" w:val="left"/>
        </w:tabs>
        <w:numPr>
          <w:ilvl w:val="0"/>
          <w:numId w:val="28"/>
        </w:numPr>
        <w:rPr>
          <w:rFonts w:ascii="Arial" w:cs="Arial" w:eastAsia="Arial" w:hAnsi="Arial"/>
          <w:sz w:val="20"/>
          <w:szCs w:val="20"/>
          <w:color w:val="auto"/>
        </w:rPr>
      </w:pPr>
      <w:r>
        <w:rPr>
          <w:rFonts w:ascii="Arial" w:cs="Arial" w:eastAsia="Arial" w:hAnsi="Arial"/>
          <w:sz w:val="20"/>
          <w:szCs w:val="20"/>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169" w:lineRule="exact"/>
        <w:rPr>
          <w:rFonts w:ascii="Arial" w:cs="Arial" w:eastAsia="Arial" w:hAnsi="Arial"/>
          <w:sz w:val="20"/>
          <w:szCs w:val="20"/>
          <w:color w:val="auto"/>
        </w:rPr>
      </w:pPr>
    </w:p>
    <w:p>
      <w:pPr>
        <w:ind w:left="660" w:right="320" w:firstLine="644"/>
        <w:spacing w:after="0" w:line="237" w:lineRule="auto"/>
        <w:tabs>
          <w:tab w:leader="none" w:pos="1737" w:val="left"/>
        </w:tabs>
        <w:numPr>
          <w:ilvl w:val="0"/>
          <w:numId w:val="28"/>
        </w:numPr>
        <w:rPr>
          <w:rFonts w:ascii="Arial" w:cs="Arial" w:eastAsia="Arial" w:hAnsi="Arial"/>
          <w:sz w:val="20"/>
          <w:szCs w:val="20"/>
          <w:color w:val="auto"/>
        </w:rPr>
      </w:pPr>
      <w:r>
        <w:rPr>
          <w:rFonts w:ascii="Arial" w:cs="Arial" w:eastAsia="Arial" w:hAnsi="Arial"/>
          <w:sz w:val="20"/>
          <w:szCs w:val="20"/>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Non-U.S. Person</w:t>
      </w:r>
      <w:r>
        <w:rPr>
          <w:rFonts w:ascii="Arial" w:cs="Arial" w:eastAsia="Arial" w:hAnsi="Arial"/>
          <w:sz w:val="20"/>
          <w:szCs w:val="20"/>
          <w:color w:val="auto"/>
        </w:rPr>
        <w:t>” means a Person who is not a U.S. Person.</w:t>
      </w:r>
    </w:p>
    <w:p>
      <w:pPr>
        <w:spacing w:after="0" w:line="175" w:lineRule="exact"/>
        <w:rPr>
          <w:sz w:val="20"/>
          <w:szCs w:val="20"/>
          <w:color w:val="auto"/>
        </w:rPr>
      </w:pPr>
    </w:p>
    <w:p>
      <w:pPr>
        <w:jc w:val="both"/>
        <w:ind w:right="1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Notes</w:t>
      </w:r>
      <w:r>
        <w:rPr>
          <w:rFonts w:ascii="Arial" w:cs="Arial" w:eastAsia="Arial" w:hAnsi="Arial"/>
          <w:sz w:val="20"/>
          <w:szCs w:val="20"/>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6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Obligations</w:t>
      </w:r>
      <w:r>
        <w:rPr>
          <w:rFonts w:ascii="Arial" w:cs="Arial" w:eastAsia="Arial" w:hAnsi="Arial"/>
          <w:sz w:val="20"/>
          <w:szCs w:val="20"/>
          <w:color w:val="auto"/>
        </w:rPr>
        <w:t>” means any principal, interest, penalties, fees, indemnifications, reimbursements, damages and other liabilities payable under the documentation governing any Indebtedness.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of the Issuer dated January 14, 2021 relating to the issuance of the Initial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159" w:lineRule="exact"/>
        <w:rPr>
          <w:sz w:val="20"/>
          <w:szCs w:val="20"/>
          <w:color w:val="auto"/>
        </w:rPr>
      </w:pPr>
    </w:p>
    <w:p>
      <w:pPr>
        <w:ind w:right="60"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Officer</w:t>
      </w:r>
      <w:r>
        <w:rPr>
          <w:rFonts w:ascii="Arial" w:cs="Arial" w:eastAsia="Arial" w:hAnsi="Arial"/>
          <w:sz w:val="20"/>
          <w:szCs w:val="20"/>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70" w:lineRule="exact"/>
        <w:rPr>
          <w:sz w:val="20"/>
          <w:szCs w:val="20"/>
          <w:color w:val="auto"/>
        </w:rPr>
      </w:pPr>
    </w:p>
    <w:p>
      <w:pPr>
        <w:ind w:right="280"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Issuer by two of its Officers, one of whom must be the principal executive officer, the principal financial officer or the principal accounting officer, that meets the requirements of Section 12.05.</w:t>
      </w:r>
    </w:p>
    <w:p>
      <w:pPr>
        <w:spacing w:after="0" w:line="117"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Oil and Gas Business</w:t>
      </w:r>
      <w:r>
        <w:rPr>
          <w:rFonts w:ascii="Arial" w:cs="Arial" w:eastAsia="Arial" w:hAnsi="Arial"/>
          <w:sz w:val="16"/>
          <w:szCs w:val="16"/>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carbon capture and sequestration and related activities, (iv) any business relating to exploration for or development, production, treatment, processing, storage, transportation or marketing of oil, gas and other minerals and products produced in association therewith, including steam and water, (v) any other activities conducted by the Issuer and its Subsidiaries on the Issue Date and (vi) any activity that, as determined in good faith by the Issuer, arises from, relates to or is ancillary, complementary or incidental to or necessary or appropriate for the activities described in clauses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(i) through (v) of this definition.</w:t>
      </w:r>
    </w:p>
    <w:p>
      <w:pPr>
        <w:spacing w:after="0" w:line="159" w:lineRule="exact"/>
        <w:rPr>
          <w:sz w:val="20"/>
          <w:szCs w:val="20"/>
          <w:color w:val="auto"/>
        </w:rPr>
      </w:pPr>
    </w:p>
    <w:p>
      <w:pPr>
        <w:ind w:right="8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Oil and Gas Hedging Contracts</w:t>
      </w:r>
      <w:r>
        <w:rPr>
          <w:rFonts w:ascii="Arial" w:cs="Arial" w:eastAsia="Arial" w:hAnsi="Arial"/>
          <w:sz w:val="20"/>
          <w:szCs w:val="20"/>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 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71" w:lineRule="exact"/>
        <w:rPr>
          <w:sz w:val="20"/>
          <w:szCs w:val="20"/>
          <w:color w:val="auto"/>
        </w:rPr>
      </w:pPr>
    </w:p>
    <w:p>
      <w:pPr>
        <w:jc w:val="both"/>
        <w:ind w:right="10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Oil and Gas Properties</w:t>
      </w:r>
      <w:r>
        <w:rPr>
          <w:rFonts w:ascii="Arial" w:cs="Arial" w:eastAsia="Arial" w:hAnsi="Arial"/>
          <w:sz w:val="20"/>
          <w:szCs w:val="20"/>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69" w:lineRule="exact"/>
        <w:rPr>
          <w:sz w:val="20"/>
          <w:szCs w:val="20"/>
          <w:color w:val="auto"/>
        </w:rPr>
      </w:pPr>
    </w:p>
    <w:p>
      <w:pPr>
        <w:jc w:val="both"/>
        <w:ind w:right="100"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04" w:lineRule="exact"/>
        <w:rPr>
          <w:sz w:val="20"/>
          <w:szCs w:val="20"/>
          <w:color w:val="auto"/>
        </w:rPr>
      </w:pPr>
    </w:p>
    <w:p>
      <w:pPr>
        <w:ind w:right="36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39"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Acquisition Indebtedness</w:t>
      </w:r>
      <w:r>
        <w:rPr>
          <w:rFonts w:ascii="Arial" w:cs="Arial" w:eastAsia="Arial" w:hAnsi="Arial"/>
          <w:sz w:val="19"/>
          <w:szCs w:val="19"/>
          <w:color w:val="auto"/>
        </w:rPr>
        <w:t>”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provided that on the date such Person became a Restricted Subsidiary or the date such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Person was merged or consolidated with or into the Issuer or any of its Restricted Subsidiaries, as applicable, either of:</w:t>
      </w:r>
    </w:p>
    <w:p>
      <w:pPr>
        <w:spacing w:after="0" w:line="175" w:lineRule="exact"/>
        <w:rPr>
          <w:sz w:val="20"/>
          <w:szCs w:val="20"/>
          <w:color w:val="auto"/>
        </w:rPr>
      </w:pPr>
    </w:p>
    <w:p>
      <w:pPr>
        <w:ind w:left="660" w:right="20" w:firstLine="644"/>
        <w:spacing w:after="0" w:line="234" w:lineRule="auto"/>
        <w:tabs>
          <w:tab w:leader="none" w:pos="1737" w:val="left"/>
        </w:tabs>
        <w:numPr>
          <w:ilvl w:val="0"/>
          <w:numId w:val="29"/>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and any related financing transaction on a pro forma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169" w:lineRule="exact"/>
        <w:rPr>
          <w:rFonts w:ascii="Arial" w:cs="Arial" w:eastAsia="Arial" w:hAnsi="Arial"/>
          <w:sz w:val="20"/>
          <w:szCs w:val="20"/>
          <w:color w:val="auto"/>
        </w:rPr>
      </w:pPr>
    </w:p>
    <w:p>
      <w:pPr>
        <w:ind w:left="660" w:right="180" w:firstLine="644"/>
        <w:spacing w:after="0" w:line="234" w:lineRule="auto"/>
        <w:tabs>
          <w:tab w:leader="none" w:pos="1737" w:val="left"/>
        </w:tabs>
        <w:numPr>
          <w:ilvl w:val="0"/>
          <w:numId w:val="29"/>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and any related financing transaction on a pro forma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 Investments</w:t>
      </w:r>
      <w:r>
        <w:rPr>
          <w:rFonts w:ascii="Arial" w:cs="Arial" w:eastAsia="Arial" w:hAnsi="Arial"/>
          <w:sz w:val="16"/>
          <w:szCs w:val="16"/>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which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 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w:t>
      </w:r>
    </w:p>
    <w:p>
      <w:pPr>
        <w:spacing w:after="0" w:line="188" w:lineRule="exact"/>
        <w:rPr>
          <w:sz w:val="20"/>
          <w:szCs w:val="20"/>
          <w:color w:val="auto"/>
        </w:rPr>
      </w:pPr>
    </w:p>
    <w:p>
      <w:pPr>
        <w:ind w:right="240" w:firstLine="8"/>
        <w:spacing w:after="0" w:line="231" w:lineRule="auto"/>
        <w:tabs>
          <w:tab w:leader="none" w:pos="335"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Investments</w:t>
      </w:r>
      <w:r>
        <w:rPr>
          <w:rFonts w:ascii="Arial" w:cs="Arial" w:eastAsia="Arial" w:hAnsi="Arial"/>
          <w:sz w:val="20"/>
          <w:szCs w:val="20"/>
          <w:color w:val="auto"/>
        </w:rPr>
        <w:t>” means:</w:t>
      </w:r>
    </w:p>
    <w:p>
      <w:pPr>
        <w:spacing w:after="0" w:line="189" w:lineRule="exact"/>
        <w:rPr>
          <w:sz w:val="20"/>
          <w:szCs w:val="20"/>
          <w:color w:val="auto"/>
        </w:rPr>
      </w:pPr>
    </w:p>
    <w:p>
      <w:pPr>
        <w:ind w:left="660" w:right="580" w:firstLine="644"/>
        <w:spacing w:after="0" w:line="246" w:lineRule="auto"/>
        <w:tabs>
          <w:tab w:leader="none" w:pos="173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Investment in the Issuer (including, without limitation, through the purchase of any Notes) or in a Restricted Subsidiary of the Issuer;</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Investment in cash and Cash Equivalents;</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Investment by the Issuer or any Restricted Subsidiary of the Issuer in a Person, if as a result of such Investment:</w:t>
      </w:r>
    </w:p>
    <w:p>
      <w:pPr>
        <w:spacing w:after="0" w:line="211" w:lineRule="exact"/>
        <w:rPr>
          <w:rFonts w:ascii="Arial" w:cs="Arial" w:eastAsia="Arial" w:hAnsi="Arial"/>
          <w:sz w:val="18"/>
          <w:szCs w:val="18"/>
          <w:color w:val="auto"/>
        </w:rPr>
      </w:pPr>
    </w:p>
    <w:p>
      <w:pPr>
        <w:ind w:left="2360" w:hanging="408"/>
        <w:spacing w:after="0"/>
        <w:tabs>
          <w:tab w:leader="none" w:pos="23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such Person becomes a Restricted Subsidiary of the Issuer; or</w:t>
      </w:r>
    </w:p>
    <w:p>
      <w:pPr>
        <w:spacing w:after="0" w:line="188" w:lineRule="exact"/>
        <w:rPr>
          <w:rFonts w:ascii="Arial" w:cs="Arial" w:eastAsia="Arial" w:hAnsi="Arial"/>
          <w:sz w:val="20"/>
          <w:szCs w:val="20"/>
          <w:color w:val="auto"/>
        </w:rPr>
      </w:pPr>
    </w:p>
    <w:p>
      <w:pPr>
        <w:ind w:left="1300" w:right="20" w:firstLine="652"/>
        <w:spacing w:after="0" w:line="272" w:lineRule="auto"/>
        <w:tabs>
          <w:tab w:leader="none" w:pos="2377" w:val="left"/>
        </w:tabs>
        <w:numPr>
          <w:ilvl w:val="1"/>
          <w:numId w:val="31"/>
        </w:numPr>
        <w:rPr>
          <w:rFonts w:ascii="Arial" w:cs="Arial" w:eastAsia="Arial" w:hAnsi="Arial"/>
          <w:sz w:val="19"/>
          <w:szCs w:val="19"/>
          <w:color w:val="auto"/>
        </w:rPr>
      </w:pPr>
      <w:r>
        <w:rPr>
          <w:rFonts w:ascii="Arial" w:cs="Arial" w:eastAsia="Arial" w:hAnsi="Arial"/>
          <w:sz w:val="19"/>
          <w:szCs w:val="19"/>
          <w:color w:val="auto"/>
        </w:rPr>
        <w:t>such Person is merged, consolidated or amalgamated with or into, or transfers or conveys substantially all of its properties or assets to, or is liquidated into, the Issuer or a Restricted Subsidiary of the Issuer;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82" w:lineRule="exact"/>
        <w:rPr>
          <w:sz w:val="20"/>
          <w:szCs w:val="20"/>
          <w:color w:val="auto"/>
        </w:rPr>
      </w:pPr>
    </w:p>
    <w:p>
      <w:pPr>
        <w:ind w:right="320" w:firstLine="644"/>
        <w:spacing w:after="0" w:line="246" w:lineRule="auto"/>
        <w:tabs>
          <w:tab w:leader="none" w:pos="1077"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Investment made as a result of the receipt of non-cash consideration from an Asset Sale or Asset Swap that was made pursuant to and in compliance with Section 4.10;</w:t>
      </w:r>
    </w:p>
    <w:p>
      <w:pPr>
        <w:spacing w:after="0" w:line="149" w:lineRule="exact"/>
        <w:rPr>
          <w:rFonts w:ascii="Arial" w:cs="Arial" w:eastAsia="Arial" w:hAnsi="Arial"/>
          <w:sz w:val="20"/>
          <w:szCs w:val="20"/>
          <w:color w:val="auto"/>
        </w:rPr>
      </w:pPr>
    </w:p>
    <w:p>
      <w:pPr>
        <w:jc w:val="both"/>
        <w:ind w:firstLine="644"/>
        <w:spacing w:after="0" w:line="310" w:lineRule="auto"/>
        <w:tabs>
          <w:tab w:leader="none" w:pos="10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acquisition of assets or Capital Stock solely in exchange for the issuance of, or with or out of the net cash proceeds of the substantially concurrent (a) contribution (other than from a Restricted Subsidiary) to the equity capital of the Issuer in respect of or (b) sale (other than to a Restricted Subsidiary) of, Equity Interests (other than Disqualified Stock) of the Issuer; provided that in each such case, the amount of such issuance, contribution or sale will be disregarded for purposes of clause (C)(ii) of Section 4.07(a);</w:t>
      </w:r>
    </w:p>
    <w:p>
      <w:pPr>
        <w:spacing w:after="0" w:line="115" w:lineRule="exact"/>
        <w:rPr>
          <w:rFonts w:ascii="Arial" w:cs="Arial" w:eastAsia="Arial" w:hAnsi="Arial"/>
          <w:sz w:val="16"/>
          <w:szCs w:val="16"/>
          <w:color w:val="auto"/>
        </w:rPr>
      </w:pPr>
    </w:p>
    <w:p>
      <w:pPr>
        <w:jc w:val="both"/>
        <w:ind w:right="540" w:firstLine="644"/>
        <w:spacing w:after="0" w:line="234" w:lineRule="auto"/>
        <w:tabs>
          <w:tab w:leader="none" w:pos="1077"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169" w:lineRule="exact"/>
        <w:rPr>
          <w:rFonts w:ascii="Arial" w:cs="Arial" w:eastAsia="Arial" w:hAnsi="Arial"/>
          <w:sz w:val="20"/>
          <w:szCs w:val="20"/>
          <w:color w:val="auto"/>
        </w:rPr>
      </w:pPr>
    </w:p>
    <w:p>
      <w:pPr>
        <w:ind w:left="1080" w:hanging="436"/>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represented by Hedging Obligations;</w:t>
      </w:r>
    </w:p>
    <w:p>
      <w:pPr>
        <w:spacing w:after="0" w:line="175" w:lineRule="exact"/>
        <w:rPr>
          <w:rFonts w:ascii="Arial" w:cs="Arial" w:eastAsia="Arial" w:hAnsi="Arial"/>
          <w:sz w:val="20"/>
          <w:szCs w:val="20"/>
          <w:color w:val="auto"/>
        </w:rPr>
      </w:pPr>
    </w:p>
    <w:p>
      <w:pPr>
        <w:jc w:val="both"/>
        <w:ind w:right="160" w:firstLine="644"/>
        <w:spacing w:after="0" w:line="237" w:lineRule="auto"/>
        <w:tabs>
          <w:tab w:leader="none" w:pos="1077"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169" w:lineRule="exact"/>
        <w:rPr>
          <w:rFonts w:ascii="Arial" w:cs="Arial" w:eastAsia="Arial" w:hAnsi="Arial"/>
          <w:sz w:val="20"/>
          <w:szCs w:val="20"/>
          <w:color w:val="auto"/>
        </w:rPr>
      </w:pPr>
    </w:p>
    <w:p>
      <w:pPr>
        <w:ind w:right="380" w:firstLine="644"/>
        <w:spacing w:after="0" w:line="246" w:lineRule="auto"/>
        <w:tabs>
          <w:tab w:leader="none" w:pos="1077"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relocation allowances for, and loans or advances to, officers, directors or employees made in the ordinary course of business of the Issuer or any Restricted Subsidiary of the Issuer;</w:t>
      </w:r>
    </w:p>
    <w:p>
      <w:pPr>
        <w:spacing w:after="0" w:line="163" w:lineRule="exact"/>
        <w:rPr>
          <w:rFonts w:ascii="Arial" w:cs="Arial" w:eastAsia="Arial" w:hAnsi="Arial"/>
          <w:sz w:val="20"/>
          <w:szCs w:val="20"/>
          <w:color w:val="auto"/>
        </w:rPr>
      </w:pPr>
    </w:p>
    <w:p>
      <w:pPr>
        <w:ind w:left="1180" w:hanging="536"/>
        <w:spacing w:after="0"/>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repurchases of the Notes or Guarantees;</w:t>
      </w:r>
    </w:p>
    <w:p>
      <w:pPr>
        <w:spacing w:after="0" w:line="175" w:lineRule="exact"/>
        <w:rPr>
          <w:rFonts w:ascii="Arial" w:cs="Arial" w:eastAsia="Arial" w:hAnsi="Arial"/>
          <w:sz w:val="20"/>
          <w:szCs w:val="20"/>
          <w:color w:val="auto"/>
        </w:rPr>
      </w:pPr>
    </w:p>
    <w:p>
      <w:pPr>
        <w:ind w:right="180" w:firstLine="644"/>
        <w:spacing w:after="0" w:line="246" w:lineRule="auto"/>
        <w:tabs>
          <w:tab w:leader="none" w:pos="116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guarantee of Indebtedness of (a) the Issuer or a Restricted Subsidiary or (b) any Person that is not an Affiliate of the Issuer, in each case permitted to be incurred by Section 4.09;</w:t>
      </w:r>
    </w:p>
    <w:p>
      <w:pPr>
        <w:spacing w:after="0" w:line="163" w:lineRule="exact"/>
        <w:rPr>
          <w:rFonts w:ascii="Arial" w:cs="Arial" w:eastAsia="Arial" w:hAnsi="Arial"/>
          <w:sz w:val="20"/>
          <w:szCs w:val="20"/>
          <w:color w:val="auto"/>
        </w:rPr>
      </w:pPr>
    </w:p>
    <w:p>
      <w:pPr>
        <w:ind w:right="60" w:firstLine="644"/>
        <w:spacing w:after="0" w:line="248" w:lineRule="auto"/>
        <w:tabs>
          <w:tab w:leader="none" w:pos="117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Investment existing on, or made pursuant to binding commitments existing on, the Issue Date and any Investment consisting of an extension, modification or renewal of any Investment existing on, or made pursuant to a binding commitment existing on, the Issue Date; provided that the amount of any such Investment may be increased (a) as required by the terms of such Investment as in existence on the Issue Date or (b) as otherwise permitted under this Indenture;</w:t>
      </w:r>
    </w:p>
    <w:p>
      <w:pPr>
        <w:spacing w:after="0" w:line="163" w:lineRule="exact"/>
        <w:rPr>
          <w:rFonts w:ascii="Arial" w:cs="Arial" w:eastAsia="Arial" w:hAnsi="Arial"/>
          <w:sz w:val="19"/>
          <w:szCs w:val="19"/>
          <w:color w:val="auto"/>
        </w:rPr>
      </w:pPr>
    </w:p>
    <w:p>
      <w:pPr>
        <w:jc w:val="both"/>
        <w:ind w:firstLine="644"/>
        <w:spacing w:after="0" w:line="232" w:lineRule="auto"/>
        <w:tabs>
          <w:tab w:leader="none" w:pos="1175"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157" w:lineRule="exact"/>
        <w:rPr>
          <w:rFonts w:ascii="Arial" w:cs="Arial" w:eastAsia="Arial" w:hAnsi="Arial"/>
          <w:sz w:val="20"/>
          <w:szCs w:val="20"/>
          <w:color w:val="auto"/>
        </w:rPr>
      </w:pPr>
    </w:p>
    <w:p>
      <w:pPr>
        <w:ind w:left="1180" w:hanging="5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Business Investments and Permitted Other Investments (in each case, other than with respect to any EHP</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560"/>
          </w:cols>
          <w:pgMar w:left="980" w:top="1440" w:right="359" w:bottom="1440" w:gutter="0" w:footer="0" w:header="0"/>
        </w:sectPr>
      </w:pPr>
    </w:p>
    <w:bookmarkStart w:id="35" w:name="page36"/>
    <w:bookmarkEnd w:id="35"/>
    <w:p>
      <w:pPr>
        <w:spacing w:after="0" w:line="182" w:lineRule="exact"/>
        <w:rPr>
          <w:sz w:val="20"/>
          <w:szCs w:val="20"/>
          <w:color w:val="auto"/>
        </w:rPr>
      </w:pPr>
    </w:p>
    <w:p>
      <w:pPr>
        <w:ind w:left="660" w:right="460" w:firstLine="644"/>
        <w:spacing w:after="0" w:line="246" w:lineRule="auto"/>
        <w:tabs>
          <w:tab w:leader="none" w:pos="18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Investments received as a result of a foreclosure by, or other transfer of title to, the Issuer or any of its Restricted Subsidiaries with respect to any secured Investment in default;</w:t>
      </w:r>
    </w:p>
    <w:p>
      <w:pPr>
        <w:spacing w:after="0" w:line="149" w:lineRule="exact"/>
        <w:rPr>
          <w:rFonts w:ascii="Arial" w:cs="Arial" w:eastAsia="Arial" w:hAnsi="Arial"/>
          <w:sz w:val="20"/>
          <w:szCs w:val="20"/>
          <w:color w:val="auto"/>
        </w:rPr>
      </w:pPr>
    </w:p>
    <w:p>
      <w:pPr>
        <w:ind w:left="660" w:firstLine="644"/>
        <w:spacing w:after="0" w:line="275" w:lineRule="auto"/>
        <w:tabs>
          <w:tab w:leader="none" w:pos="18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receivables owing to the Issuer or any Restricted Subsidiary created or acquired in the ordinary course of business and payable or dischargeable in accordance with customary trade terms; provided, however, that such trade terms may include such concessionary trade terms as the Issuer or any such Restricted Subsidiary deems reasonable under the circumstances;</w:t>
      </w:r>
    </w:p>
    <w:p>
      <w:pPr>
        <w:spacing w:after="0" w:line="138" w:lineRule="exact"/>
        <w:rPr>
          <w:rFonts w:ascii="Arial" w:cs="Arial" w:eastAsia="Arial" w:hAnsi="Arial"/>
          <w:sz w:val="18"/>
          <w:szCs w:val="18"/>
          <w:color w:val="auto"/>
        </w:rPr>
      </w:pPr>
    </w:p>
    <w:p>
      <w:pPr>
        <w:ind w:left="660" w:right="660" w:firstLine="644"/>
        <w:spacing w:after="0" w:line="368" w:lineRule="auto"/>
        <w:tabs>
          <w:tab w:leader="none" w:pos="18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70" w:lineRule="exact"/>
        <w:rPr>
          <w:rFonts w:ascii="Arial" w:cs="Arial" w:eastAsia="Arial" w:hAnsi="Arial"/>
          <w:sz w:val="16"/>
          <w:szCs w:val="16"/>
          <w:color w:val="auto"/>
        </w:rPr>
      </w:pPr>
    </w:p>
    <w:p>
      <w:pPr>
        <w:jc w:val="both"/>
        <w:ind w:left="660" w:right="60" w:firstLine="644"/>
        <w:spacing w:after="0" w:line="237" w:lineRule="auto"/>
        <w:tabs>
          <w:tab w:leader="none" w:pos="18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155" w:lineRule="exact"/>
        <w:rPr>
          <w:rFonts w:ascii="Arial" w:cs="Arial" w:eastAsia="Arial" w:hAnsi="Arial"/>
          <w:sz w:val="20"/>
          <w:szCs w:val="20"/>
          <w:color w:val="auto"/>
        </w:rPr>
      </w:pPr>
    </w:p>
    <w:p>
      <w:pPr>
        <w:ind w:left="660" w:right="240" w:firstLine="644"/>
        <w:spacing w:after="0" w:line="246" w:lineRule="auto"/>
        <w:tabs>
          <w:tab w:leader="none" w:pos="18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advances and prepayments for asset purchases in the ordinary course of business in the Oil and Gas Business of the Issuer or any Restricted Subsidiary; and</w:t>
      </w:r>
    </w:p>
    <w:p>
      <w:pPr>
        <w:spacing w:after="0" w:line="163" w:lineRule="exact"/>
        <w:rPr>
          <w:rFonts w:ascii="Arial" w:cs="Arial" w:eastAsia="Arial" w:hAnsi="Arial"/>
          <w:sz w:val="20"/>
          <w:szCs w:val="20"/>
          <w:color w:val="auto"/>
        </w:rPr>
      </w:pPr>
    </w:p>
    <w:p>
      <w:pPr>
        <w:ind w:left="660" w:right="40" w:firstLine="644"/>
        <w:spacing w:after="0" w:line="256" w:lineRule="auto"/>
        <w:tabs>
          <w:tab w:leader="none" w:pos="18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(20) that are at the time outstanding, that does not exceed the greater of (a) $150.0 million and (b) 5.0% of Adjusted Consolidated Net Tangible Assets determined at the time such Investment is made; provided, however, that if any Investment pursuant to this clause (20) is made in any Person that is not a Restricted Subsidiary of the Issuer at the date of the making of such Investment and such Person becomes a Restricted Subsidiary of the Issuer after such date, such Investment shall thereafter be deemed to have been made pursuant to clause (1) above and shall cease to have been made pursuant to this clause (20) for so long as such Person continues to be a Restricted Subsidiary of the Issuer (unless the Issuer otherwise classifies such Investment in compliance with this Indenture).</w:t>
      </w:r>
    </w:p>
    <w:p>
      <w:pPr>
        <w:spacing w:after="0" w:line="15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With respect to any Investment, the Issuer may, in its sole discretion, classify all or any portion of such Investment in one or more of the above clauses so that the entire Investment is a Permitted Investment.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Liens</w:t>
      </w:r>
      <w:r>
        <w:rPr>
          <w:rFonts w:ascii="Arial" w:cs="Arial" w:eastAsia="Arial" w:hAnsi="Arial"/>
          <w:sz w:val="20"/>
          <w:szCs w:val="20"/>
          <w:color w:val="auto"/>
        </w:rPr>
        <w:t>” means:</w:t>
      </w:r>
    </w:p>
    <w:p>
      <w:pPr>
        <w:spacing w:after="0" w:line="189" w:lineRule="exact"/>
        <w:rPr>
          <w:sz w:val="20"/>
          <w:szCs w:val="20"/>
          <w:color w:val="auto"/>
        </w:rPr>
      </w:pPr>
    </w:p>
    <w:p>
      <w:pPr>
        <w:ind w:left="660" w:right="620" w:firstLine="644"/>
        <w:spacing w:after="0" w:line="272" w:lineRule="auto"/>
        <w:tabs>
          <w:tab w:leader="none" w:pos="1737" w:val="left"/>
        </w:tabs>
        <w:numPr>
          <w:ilvl w:val="0"/>
          <w:numId w:val="34"/>
        </w:numPr>
        <w:rPr>
          <w:rFonts w:ascii="Arial" w:cs="Arial" w:eastAsia="Arial" w:hAnsi="Arial"/>
          <w:sz w:val="19"/>
          <w:szCs w:val="19"/>
          <w:color w:val="auto"/>
        </w:rPr>
      </w:pPr>
      <w:r>
        <w:rPr>
          <w:rFonts w:ascii="Arial" w:cs="Arial" w:eastAsia="Arial" w:hAnsi="Arial"/>
          <w:sz w:val="19"/>
          <w:szCs w:val="19"/>
          <w:color w:val="auto"/>
        </w:rPr>
        <w:t>Liens on assets of the Issuer or any Restricted Subsidiary securing Indebtedness under Credit Facilities that was permitted by the terms of this Indenture to be incurred pursuant to clause (1) of Section 4.09(b);</w:t>
      </w:r>
    </w:p>
    <w:p>
      <w:pPr>
        <w:spacing w:after="0" w:line="139" w:lineRule="exact"/>
        <w:rPr>
          <w:rFonts w:ascii="Arial" w:cs="Arial" w:eastAsia="Arial" w:hAnsi="Arial"/>
          <w:sz w:val="19"/>
          <w:szCs w:val="19"/>
          <w:color w:val="auto"/>
        </w:rPr>
      </w:pPr>
    </w:p>
    <w:p>
      <w:pPr>
        <w:ind w:left="1740" w:hanging="436"/>
        <w:spacing w:after="0"/>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in favor of the Issuer or the Guarantors;</w:t>
      </w:r>
    </w:p>
    <w:p>
      <w:pPr>
        <w:spacing w:after="0" w:line="175" w:lineRule="exact"/>
        <w:rPr>
          <w:rFonts w:ascii="Arial" w:cs="Arial" w:eastAsia="Arial" w:hAnsi="Arial"/>
          <w:sz w:val="20"/>
          <w:szCs w:val="20"/>
          <w:color w:val="auto"/>
        </w:rPr>
      </w:pPr>
    </w:p>
    <w:p>
      <w:pPr>
        <w:ind w:left="660" w:firstLine="644"/>
        <w:spacing w:after="0" w:line="237" w:lineRule="auto"/>
        <w:tabs>
          <w:tab w:leader="none" w:pos="1737"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Liens on property of a Person existing at the time such Person becomes a Restricted Subsidiary of the Issuer or is merged with or into or consolidated with the Issuer or any Restricted Subsidiary of the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do not extend to any other property owned by such Person or any of its Restricted Subsidiaries;</w:t>
      </w:r>
    </w:p>
    <w:p>
      <w:pPr>
        <w:spacing w:after="0" w:line="169" w:lineRule="exact"/>
        <w:rPr>
          <w:rFonts w:ascii="Arial" w:cs="Arial" w:eastAsia="Arial" w:hAnsi="Arial"/>
          <w:sz w:val="20"/>
          <w:szCs w:val="20"/>
          <w:color w:val="auto"/>
        </w:rPr>
      </w:pPr>
    </w:p>
    <w:p>
      <w:pPr>
        <w:ind w:left="660" w:right="480" w:firstLine="644"/>
        <w:spacing w:after="0" w:line="246" w:lineRule="auto"/>
        <w:tabs>
          <w:tab w:leader="none" w:pos="1737"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Liens on property (including Capital Stock) existing at the time of acquisition of the property by the Issuer or any Subsidiary of the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do not extend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to any property other than that acquired;</w:t>
      </w:r>
    </w:p>
    <w:p>
      <w:pPr>
        <w:spacing w:after="0" w:line="175" w:lineRule="exact"/>
        <w:rPr>
          <w:sz w:val="20"/>
          <w:szCs w:val="20"/>
          <w:color w:val="auto"/>
        </w:rPr>
      </w:pPr>
    </w:p>
    <w:p>
      <w:pPr>
        <w:ind w:right="20" w:firstLine="644"/>
        <w:spacing w:after="0" w:line="232" w:lineRule="auto"/>
        <w:tabs>
          <w:tab w:leader="none" w:pos="10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170" w:lineRule="exact"/>
        <w:rPr>
          <w:rFonts w:ascii="Arial" w:cs="Arial" w:eastAsia="Arial" w:hAnsi="Arial"/>
          <w:sz w:val="20"/>
          <w:szCs w:val="20"/>
          <w:color w:val="auto"/>
        </w:rPr>
      </w:pPr>
    </w:p>
    <w:p>
      <w:pPr>
        <w:ind w:firstLine="644"/>
        <w:spacing w:after="0" w:line="253" w:lineRule="auto"/>
        <w:tabs>
          <w:tab w:leader="none" w:pos="10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securing Indebtedness represented by (x) Sale and Leaseback Transactions permitted to be incurred under this Indenture and (y) 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provided that (a) such Liens are in favor of the seller or other transferor or lessor of such asset or property, in favor of the Person or Persons designing, constructing, installing, developing, repairing or improving such asset or property, or in favor of the Person or Persons that provided the funding for the acquisition, lease, leaseback, design, construction, installation, development, repair or improvement cost, as the case may be, of such asset or property, (b) such Liens are created no later than 360 days after the acquisition, lease, leaseback, design, construction, installation, development, repair or improvement, (c) the aggregate principal amount of the Indebtedness secured by such Liens is otherwise permitted to be incurred under this Indenture and does not exceed the greater of (i) the cost of the asset or property so acquired, designed, constructed, installed, developed, repaired or improved plus related financing costs and (ii) the fair market value of the asset or property so acquired, leased, designed, constructed, installed, developed, repaired or improved, measured at the date of such acquisition or lease, or the date of completion of such design, construction, installation, development, repair or improvement plus related financing costs, and (d) 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162" w:lineRule="exact"/>
        <w:rPr>
          <w:rFonts w:ascii="Arial" w:cs="Arial" w:eastAsia="Arial" w:hAnsi="Arial"/>
          <w:sz w:val="18"/>
          <w:szCs w:val="18"/>
          <w:color w:val="auto"/>
        </w:rPr>
      </w:pPr>
    </w:p>
    <w:p>
      <w:pPr>
        <w:ind w:right="200" w:firstLine="644"/>
        <w:spacing w:after="0" w:line="246" w:lineRule="auto"/>
        <w:tabs>
          <w:tab w:leader="none" w:pos="10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Liens existing on the Issue Date after giving effect to the issuance of the Initial Notes and the application of proceeds therefrom (other than Liens securing Indebtedness under the Credit Agreement);</w:t>
      </w:r>
    </w:p>
    <w:p>
      <w:pPr>
        <w:spacing w:after="0" w:line="149" w:lineRule="exact"/>
        <w:rPr>
          <w:rFonts w:ascii="Arial" w:cs="Arial" w:eastAsia="Arial" w:hAnsi="Arial"/>
          <w:sz w:val="20"/>
          <w:szCs w:val="20"/>
          <w:color w:val="auto"/>
        </w:rPr>
      </w:pPr>
    </w:p>
    <w:p>
      <w:pPr>
        <w:ind w:left="1080" w:hanging="436"/>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Guarantees or to secure other obligations under this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Indenture;</w:t>
      </w:r>
    </w:p>
    <w:p>
      <w:pPr>
        <w:spacing w:after="0" w:line="172" w:lineRule="exact"/>
        <w:rPr>
          <w:rFonts w:ascii="Arial" w:cs="Arial" w:eastAsia="Arial" w:hAnsi="Arial"/>
          <w:sz w:val="18"/>
          <w:szCs w:val="18"/>
          <w:color w:val="auto"/>
        </w:rPr>
      </w:pPr>
    </w:p>
    <w:p>
      <w:pPr>
        <w:ind w:right="20" w:firstLine="644"/>
        <w:spacing w:after="0" w:line="237" w:lineRule="auto"/>
        <w:tabs>
          <w:tab w:leader="none" w:pos="1077" w:val="left"/>
        </w:tabs>
        <w:numPr>
          <w:ilvl w:val="0"/>
          <w:numId w:val="35"/>
        </w:numPr>
        <w:rPr>
          <w:rFonts w:ascii="Arial" w:cs="Arial" w:eastAsia="Arial" w:hAnsi="Arial"/>
          <w:sz w:val="20"/>
          <w:szCs w:val="20"/>
          <w:color w:val="auto"/>
        </w:rPr>
      </w:pPr>
      <w:r>
        <w:rPr>
          <w:rFonts w:ascii="Arial" w:cs="Arial" w:eastAsia="Arial" w:hAnsi="Arial"/>
          <w:sz w:val="20"/>
          <w:szCs w:val="20"/>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69" w:lineRule="exact"/>
        <w:rPr>
          <w:rFonts w:ascii="Arial" w:cs="Arial" w:eastAsia="Arial" w:hAnsi="Arial"/>
          <w:sz w:val="20"/>
          <w:szCs w:val="20"/>
          <w:color w:val="auto"/>
        </w:rPr>
      </w:pPr>
    </w:p>
    <w:p>
      <w:pPr>
        <w:ind w:left="1180" w:hanging="536"/>
        <w:spacing w:after="0"/>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Liens on pipelines or pipeline facilities that arise by operation of law;</w:t>
      </w:r>
    </w:p>
    <w:p>
      <w:pPr>
        <w:spacing w:after="0" w:line="175" w:lineRule="exact"/>
        <w:rPr>
          <w:rFonts w:ascii="Arial" w:cs="Arial" w:eastAsia="Arial" w:hAnsi="Arial"/>
          <w:sz w:val="20"/>
          <w:szCs w:val="20"/>
          <w:color w:val="auto"/>
        </w:rPr>
      </w:pPr>
    </w:p>
    <w:p>
      <w:pPr>
        <w:ind w:left="1160" w:hanging="516"/>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reserved in oil and natural gas mineral leases for bonus or rental payments and for compliance with the terms of</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such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540"/>
          </w:cols>
          <w:pgMar w:left="980" w:top="1440" w:right="379" w:bottom="1440" w:gutter="0" w:footer="0" w:header="0"/>
        </w:sectPr>
      </w:pPr>
    </w:p>
    <w:bookmarkStart w:id="37" w:name="page38"/>
    <w:bookmarkEnd w:id="37"/>
    <w:p>
      <w:pPr>
        <w:spacing w:after="0" w:line="182" w:lineRule="exact"/>
        <w:rPr>
          <w:sz w:val="20"/>
          <w:szCs w:val="20"/>
          <w:color w:val="auto"/>
        </w:rPr>
      </w:pPr>
    </w:p>
    <w:p>
      <w:pPr>
        <w:ind w:right="220" w:firstLine="644"/>
        <w:spacing w:after="0" w:line="368" w:lineRule="auto"/>
        <w:tabs>
          <w:tab w:leader="none" w:pos="11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Liens to secure any Indebtedness incurred to refinance or replace Indebtedness secured by any Lien described under clauses (3), (4), (6), (7), (8), (12) and (22) of this definition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56" w:lineRule="exact"/>
        <w:rPr>
          <w:rFonts w:ascii="Arial" w:cs="Arial" w:eastAsia="Arial" w:hAnsi="Arial"/>
          <w:sz w:val="16"/>
          <w:szCs w:val="16"/>
          <w:color w:val="auto"/>
        </w:rPr>
      </w:pPr>
    </w:p>
    <w:p>
      <w:pPr>
        <w:ind w:left="640" w:right="220" w:firstLine="652"/>
        <w:spacing w:after="0" w:line="237" w:lineRule="auto"/>
        <w:tabs>
          <w:tab w:leader="none" w:pos="1705"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new Lien is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169" w:lineRule="exact"/>
        <w:rPr>
          <w:rFonts w:ascii="Arial" w:cs="Arial" w:eastAsia="Arial" w:hAnsi="Arial"/>
          <w:sz w:val="20"/>
          <w:szCs w:val="20"/>
          <w:color w:val="auto"/>
        </w:rPr>
      </w:pPr>
    </w:p>
    <w:p>
      <w:pPr>
        <w:ind w:left="640" w:right="180" w:firstLine="652"/>
        <w:spacing w:after="0" w:line="232" w:lineRule="auto"/>
        <w:tabs>
          <w:tab w:leader="none" w:pos="1717"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170" w:lineRule="exact"/>
        <w:rPr>
          <w:rFonts w:ascii="Arial" w:cs="Arial" w:eastAsia="Arial" w:hAnsi="Arial"/>
          <w:sz w:val="20"/>
          <w:szCs w:val="20"/>
          <w:color w:val="auto"/>
        </w:rPr>
      </w:pPr>
    </w:p>
    <w:p>
      <w:pPr>
        <w:ind w:left="1180" w:hanging="536"/>
        <w:spacing w:after="0"/>
        <w:tabs>
          <w:tab w:leader="none" w:pos="11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Liens on insurance policies and proceeds thereof, or other deposits, to secure insurance premium financings;</w:t>
      </w:r>
    </w:p>
    <w:p>
      <w:pPr>
        <w:spacing w:after="0" w:line="186" w:lineRule="exact"/>
        <w:rPr>
          <w:rFonts w:ascii="Arial" w:cs="Arial" w:eastAsia="Arial" w:hAnsi="Arial"/>
          <w:sz w:val="19"/>
          <w:szCs w:val="19"/>
          <w:color w:val="auto"/>
        </w:rPr>
      </w:pPr>
    </w:p>
    <w:p>
      <w:pPr>
        <w:ind w:left="1180" w:hanging="5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filing of Uniform Commercial Code financing statements as a precautionary measure in connection with operating</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leases;</w:t>
      </w:r>
    </w:p>
    <w:p>
      <w:pPr>
        <w:spacing w:after="0" w:line="172" w:lineRule="exact"/>
        <w:rPr>
          <w:rFonts w:ascii="Arial" w:cs="Arial" w:eastAsia="Arial" w:hAnsi="Arial"/>
          <w:sz w:val="18"/>
          <w:szCs w:val="18"/>
          <w:color w:val="auto"/>
        </w:rPr>
      </w:pPr>
    </w:p>
    <w:p>
      <w:pPr>
        <w:ind w:right="60" w:firstLine="644"/>
        <w:spacing w:after="0" w:line="234" w:lineRule="auto"/>
        <w:tabs>
          <w:tab w:leader="none" w:pos="1175"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169" w:lineRule="exact"/>
        <w:rPr>
          <w:rFonts w:ascii="Arial" w:cs="Arial" w:eastAsia="Arial" w:hAnsi="Arial"/>
          <w:sz w:val="20"/>
          <w:szCs w:val="20"/>
          <w:color w:val="auto"/>
        </w:rPr>
      </w:pPr>
    </w:p>
    <w:p>
      <w:pPr>
        <w:ind w:right="120" w:firstLine="644"/>
        <w:spacing w:after="0" w:line="246" w:lineRule="auto"/>
        <w:tabs>
          <w:tab w:leader="none" w:pos="1175"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Liens on cash, Cash Equivalents or other property arising in connection with the defeasance, discharge or redemption of Indebtedness;</w:t>
      </w:r>
    </w:p>
    <w:p>
      <w:pPr>
        <w:spacing w:after="0" w:line="149" w:lineRule="exact"/>
        <w:rPr>
          <w:rFonts w:ascii="Arial" w:cs="Arial" w:eastAsia="Arial" w:hAnsi="Arial"/>
          <w:sz w:val="20"/>
          <w:szCs w:val="20"/>
          <w:color w:val="auto"/>
        </w:rPr>
      </w:pPr>
    </w:p>
    <w:p>
      <w:pPr>
        <w:jc w:val="both"/>
        <w:ind w:right="200" w:firstLine="644"/>
        <w:spacing w:after="0" w:line="237" w:lineRule="auto"/>
        <w:tabs>
          <w:tab w:leader="none" w:pos="1175"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69" w:lineRule="exact"/>
        <w:rPr>
          <w:rFonts w:ascii="Arial" w:cs="Arial" w:eastAsia="Arial" w:hAnsi="Arial"/>
          <w:sz w:val="20"/>
          <w:szCs w:val="20"/>
          <w:color w:val="auto"/>
        </w:rPr>
      </w:pPr>
    </w:p>
    <w:p>
      <w:pPr>
        <w:ind w:right="20" w:firstLine="644"/>
        <w:spacing w:after="0" w:line="246" w:lineRule="auto"/>
        <w:tabs>
          <w:tab w:leader="none" w:pos="1175"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Liens in respect of Production Payments and Reserve Sales;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are limited to the property that is subject to such Production Payments and Reserve Sales;</w:t>
      </w:r>
    </w:p>
    <w:p>
      <w:pPr>
        <w:spacing w:after="0" w:line="163" w:lineRule="exact"/>
        <w:rPr>
          <w:rFonts w:ascii="Arial" w:cs="Arial" w:eastAsia="Arial" w:hAnsi="Arial"/>
          <w:sz w:val="20"/>
          <w:szCs w:val="20"/>
          <w:color w:val="auto"/>
        </w:rPr>
      </w:pPr>
    </w:p>
    <w:p>
      <w:pPr>
        <w:ind w:firstLine="644"/>
        <w:spacing w:after="0" w:line="241" w:lineRule="auto"/>
        <w:tabs>
          <w:tab w:leader="none" w:pos="1175" w:val="left"/>
        </w:tabs>
        <w:numPr>
          <w:ilvl w:val="0"/>
          <w:numId w:val="36"/>
        </w:numPr>
        <w:rPr>
          <w:rFonts w:ascii="Arial" w:cs="Arial" w:eastAsia="Arial" w:hAnsi="Arial"/>
          <w:sz w:val="19"/>
          <w:szCs w:val="19"/>
          <w:color w:val="auto"/>
        </w:rPr>
      </w:pPr>
      <w:r>
        <w:rPr>
          <w:rFonts w:ascii="Arial" w:cs="Arial" w:eastAsia="Arial" w:hAnsi="Arial"/>
          <w:sz w:val="19"/>
          <w:szCs w:val="19"/>
          <w:color w:val="auto"/>
        </w:rPr>
        <w:t>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580"/>
          </w:cols>
          <w:pgMar w:left="980" w:top="1440" w:right="339" w:bottom="1440" w:gutter="0" w:footer="0" w:header="0"/>
        </w:sectPr>
      </w:pPr>
    </w:p>
    <w:bookmarkStart w:id="38" w:name="page39"/>
    <w:bookmarkEnd w:id="38"/>
    <w:p>
      <w:pPr>
        <w:spacing w:after="0" w:line="182" w:lineRule="exact"/>
        <w:rPr>
          <w:sz w:val="20"/>
          <w:szCs w:val="20"/>
          <w:color w:val="auto"/>
        </w:rPr>
      </w:pPr>
    </w:p>
    <w:p>
      <w:pPr>
        <w:ind w:right="600"/>
        <w:spacing w:after="0" w:line="246" w:lineRule="auto"/>
        <w:rPr>
          <w:sz w:val="20"/>
          <w:szCs w:val="20"/>
          <w:color w:val="auto"/>
        </w:rPr>
      </w:pPr>
      <w:r>
        <w:rPr>
          <w:rFonts w:ascii="Arial" w:cs="Arial" w:eastAsia="Arial" w:hAnsi="Arial"/>
          <w:sz w:val="20"/>
          <w:szCs w:val="20"/>
          <w:color w:val="auto"/>
        </w:rPr>
        <w:t xml:space="preserve">customary in the Oil and Gas Business;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in all instances that such Liens are limited to the assets that are the subject of the relevant agreement, program, order or contract;</w:t>
      </w:r>
    </w:p>
    <w:p>
      <w:pPr>
        <w:spacing w:after="0" w:line="150" w:lineRule="exact"/>
        <w:rPr>
          <w:sz w:val="20"/>
          <w:szCs w:val="20"/>
          <w:color w:val="auto"/>
        </w:rPr>
      </w:pPr>
    </w:p>
    <w:p>
      <w:pPr>
        <w:ind w:right="160" w:firstLine="644"/>
        <w:spacing w:after="0" w:line="246" w:lineRule="auto"/>
        <w:tabs>
          <w:tab w:leader="none" w:pos="11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Liens to secure performance of Hedging Obligations of the Issuer or any of its Restricted Subsidiaries entered into in the ordinary course of business and not for speculative purposes;</w:t>
      </w:r>
    </w:p>
    <w:p>
      <w:pPr>
        <w:spacing w:after="0" w:line="163" w:lineRule="exact"/>
        <w:rPr>
          <w:rFonts w:ascii="Arial" w:cs="Arial" w:eastAsia="Arial" w:hAnsi="Arial"/>
          <w:sz w:val="20"/>
          <w:szCs w:val="20"/>
          <w:color w:val="auto"/>
        </w:rPr>
      </w:pPr>
    </w:p>
    <w:p>
      <w:pPr>
        <w:ind w:right="160" w:firstLine="644"/>
        <w:spacing w:after="0" w:line="234" w:lineRule="auto"/>
        <w:tabs>
          <w:tab w:leader="none" w:pos="11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such Liens are solely for the benefit of the trustees, agents or representatives in their capacities as such and</w:t>
      </w:r>
      <w:r>
        <w:rPr>
          <w:rFonts w:ascii="Arial" w:cs="Arial" w:eastAsia="Arial" w:hAnsi="Arial"/>
          <w:sz w:val="20"/>
          <w:szCs w:val="20"/>
          <w:i w:val="1"/>
          <w:iCs w:val="1"/>
          <w:color w:val="auto"/>
        </w:rPr>
        <w:t xml:space="preserve"> </w:t>
      </w:r>
      <w:r>
        <w:rPr>
          <w:rFonts w:ascii="Arial" w:cs="Arial" w:eastAsia="Arial" w:hAnsi="Arial"/>
          <w:sz w:val="20"/>
          <w:szCs w:val="20"/>
          <w:color w:val="auto"/>
        </w:rPr>
        <w:t>not for the benefit of the holders of such Indebtedness;</w:t>
      </w:r>
    </w:p>
    <w:p>
      <w:pPr>
        <w:spacing w:after="0" w:line="169" w:lineRule="exact"/>
        <w:rPr>
          <w:rFonts w:ascii="Arial" w:cs="Arial" w:eastAsia="Arial" w:hAnsi="Arial"/>
          <w:sz w:val="20"/>
          <w:szCs w:val="20"/>
          <w:color w:val="auto"/>
        </w:rPr>
      </w:pPr>
    </w:p>
    <w:p>
      <w:pPr>
        <w:ind w:firstLine="644"/>
        <w:spacing w:after="0" w:line="231" w:lineRule="auto"/>
        <w:tabs>
          <w:tab w:leader="none" w:pos="11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 (22), does not exceed the greater of (a) $150.0 million and (b) 5.0% of Adjusted Consolidated Net Tangible Assets determined at the time such Lien is incurred;</w:t>
      </w:r>
    </w:p>
    <w:p>
      <w:pPr>
        <w:spacing w:after="0" w:line="156" w:lineRule="exact"/>
        <w:rPr>
          <w:rFonts w:ascii="Arial" w:cs="Arial" w:eastAsia="Arial" w:hAnsi="Arial"/>
          <w:sz w:val="20"/>
          <w:szCs w:val="20"/>
          <w:color w:val="auto"/>
        </w:rPr>
      </w:pPr>
    </w:p>
    <w:p>
      <w:pPr>
        <w:ind w:right="60" w:firstLine="644"/>
        <w:spacing w:after="0" w:line="246" w:lineRule="auto"/>
        <w:tabs>
          <w:tab w:leader="none" w:pos="11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leases and subleases of real property which do not materially interfere with the ordinary conduct of the business of the Issuer or the Restricted Subsidiaries;</w:t>
      </w:r>
    </w:p>
    <w:p>
      <w:pPr>
        <w:spacing w:after="0" w:line="163" w:lineRule="exact"/>
        <w:rPr>
          <w:rFonts w:ascii="Arial" w:cs="Arial" w:eastAsia="Arial" w:hAnsi="Arial"/>
          <w:sz w:val="20"/>
          <w:szCs w:val="20"/>
          <w:color w:val="auto"/>
        </w:rPr>
      </w:pPr>
    </w:p>
    <w:p>
      <w:pPr>
        <w:ind w:left="1180" w:hanging="536"/>
        <w:spacing w:after="0"/>
        <w:tabs>
          <w:tab w:leader="none" w:pos="11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Lien arising by reason of:</w:t>
      </w:r>
    </w:p>
    <w:p>
      <w:pPr>
        <w:spacing w:after="0" w:line="188" w:lineRule="exact"/>
        <w:rPr>
          <w:rFonts w:ascii="Arial" w:cs="Arial" w:eastAsia="Arial" w:hAnsi="Arial"/>
          <w:sz w:val="20"/>
          <w:szCs w:val="20"/>
          <w:color w:val="auto"/>
        </w:rPr>
      </w:pPr>
    </w:p>
    <w:p>
      <w:pPr>
        <w:ind w:left="640" w:right="180" w:firstLine="652"/>
        <w:spacing w:after="0" w:line="254" w:lineRule="auto"/>
        <w:tabs>
          <w:tab w:leader="none" w:pos="1705"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taxes, assessments or governmental charges or claims that are not yet delinquent or which are being contested in good faith by appropriate proceedings promptly instituted and diligently conducted;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reserve or other appropriate provision as will be required in conformity with GAAP will have been made therefor,</w:t>
      </w:r>
    </w:p>
    <w:p>
      <w:pPr>
        <w:spacing w:after="0" w:line="143" w:lineRule="exact"/>
        <w:rPr>
          <w:rFonts w:ascii="Arial" w:cs="Arial" w:eastAsia="Arial" w:hAnsi="Arial"/>
          <w:sz w:val="19"/>
          <w:szCs w:val="19"/>
          <w:color w:val="auto"/>
        </w:rPr>
      </w:pPr>
    </w:p>
    <w:p>
      <w:pPr>
        <w:ind w:left="640" w:right="340" w:firstLine="652"/>
        <w:spacing w:after="0" w:line="246" w:lineRule="auto"/>
        <w:tabs>
          <w:tab w:leader="none" w:pos="1717" w:val="left"/>
        </w:tabs>
        <w:numPr>
          <w:ilvl w:val="1"/>
          <w:numId w:val="37"/>
        </w:numPr>
        <w:rPr>
          <w:rFonts w:ascii="Arial" w:cs="Arial" w:eastAsia="Arial" w:hAnsi="Arial"/>
          <w:sz w:val="20"/>
          <w:szCs w:val="20"/>
          <w:color w:val="auto"/>
        </w:rPr>
      </w:pPr>
      <w:r>
        <w:rPr>
          <w:rFonts w:ascii="Arial" w:cs="Arial" w:eastAsia="Arial" w:hAnsi="Arial"/>
          <w:sz w:val="20"/>
          <w:szCs w:val="20"/>
          <w:color w:val="auto"/>
        </w:rPr>
        <w:t>good faith deposits in connection with tenders, leases and contracts (other than contracts for the payment of Indebtedness),</w:t>
      </w:r>
    </w:p>
    <w:p>
      <w:pPr>
        <w:spacing w:after="0" w:line="163" w:lineRule="exact"/>
        <w:rPr>
          <w:rFonts w:ascii="Arial" w:cs="Arial" w:eastAsia="Arial" w:hAnsi="Arial"/>
          <w:sz w:val="20"/>
          <w:szCs w:val="20"/>
          <w:color w:val="auto"/>
        </w:rPr>
      </w:pPr>
    </w:p>
    <w:p>
      <w:pPr>
        <w:ind w:left="640" w:right="100" w:firstLine="652"/>
        <w:spacing w:after="0" w:line="243" w:lineRule="auto"/>
        <w:tabs>
          <w:tab w:leader="none" w:pos="1705" w:val="left"/>
        </w:tabs>
        <w:numPr>
          <w:ilvl w:val="1"/>
          <w:numId w:val="37"/>
        </w:numPr>
        <w:rPr>
          <w:rFonts w:ascii="Arial" w:cs="Arial" w:eastAsia="Arial" w:hAnsi="Arial"/>
          <w:sz w:val="19"/>
          <w:szCs w:val="19"/>
          <w:color w:val="auto"/>
        </w:rPr>
      </w:pPr>
      <w:r>
        <w:rPr>
          <w:rFonts w:ascii="Arial" w:cs="Arial" w:eastAsia="Arial" w:hAnsi="Arial"/>
          <w:sz w:val="19"/>
          <w:szCs w:val="19"/>
          <w:color w:val="auto"/>
        </w:rPr>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165" w:lineRule="exact"/>
        <w:rPr>
          <w:rFonts w:ascii="Arial" w:cs="Arial" w:eastAsia="Arial" w:hAnsi="Arial"/>
          <w:sz w:val="19"/>
          <w:szCs w:val="19"/>
          <w:color w:val="auto"/>
        </w:rPr>
      </w:pPr>
    </w:p>
    <w:p>
      <w:pPr>
        <w:jc w:val="both"/>
        <w:ind w:left="640" w:right="140" w:firstLine="652"/>
        <w:spacing w:after="0" w:line="234" w:lineRule="auto"/>
        <w:tabs>
          <w:tab w:leader="none" w:pos="1717" w:val="left"/>
        </w:tabs>
        <w:numPr>
          <w:ilvl w:val="1"/>
          <w:numId w:val="37"/>
        </w:numPr>
        <w:rPr>
          <w:rFonts w:ascii="Arial" w:cs="Arial" w:eastAsia="Arial" w:hAnsi="Arial"/>
          <w:sz w:val="20"/>
          <w:szCs w:val="20"/>
          <w:color w:val="auto"/>
        </w:rPr>
      </w:pPr>
      <w:r>
        <w:rPr>
          <w:rFonts w:ascii="Arial" w:cs="Arial" w:eastAsia="Arial" w:hAnsi="Arial"/>
          <w:sz w:val="20"/>
          <w:szCs w:val="20"/>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580"/>
          </w:cols>
          <w:pgMar w:left="980" w:top="1440" w:right="339" w:bottom="1440" w:gutter="0" w:footer="0" w:header="0"/>
        </w:sectPr>
      </w:pPr>
    </w:p>
    <w:bookmarkStart w:id="39" w:name="page40"/>
    <w:bookmarkEnd w:id="39"/>
    <w:p>
      <w:pPr>
        <w:spacing w:after="0" w:line="182" w:lineRule="exact"/>
        <w:rPr>
          <w:sz w:val="20"/>
          <w:szCs w:val="20"/>
          <w:color w:val="auto"/>
        </w:rPr>
      </w:pPr>
    </w:p>
    <w:p>
      <w:pPr>
        <w:ind w:left="1300" w:right="160"/>
        <w:spacing w:after="0" w:line="246" w:lineRule="auto"/>
        <w:rPr>
          <w:sz w:val="20"/>
          <w:szCs w:val="20"/>
          <w:color w:val="auto"/>
        </w:rPr>
      </w:pPr>
      <w:r>
        <w:rPr>
          <w:rFonts w:ascii="Arial" w:cs="Arial" w:eastAsia="Arial" w:hAnsi="Arial"/>
          <w:sz w:val="20"/>
          <w:szCs w:val="20"/>
          <w:color w:val="auto"/>
        </w:rPr>
        <w:t>proceedings which suspend the collection thereof; if such reserve or other appropriate provision, if any, as shall be required by GAAP shall have been made in respect thereof, or</w:t>
      </w:r>
    </w:p>
    <w:p>
      <w:pPr>
        <w:spacing w:after="0" w:line="150" w:lineRule="exact"/>
        <w:rPr>
          <w:sz w:val="20"/>
          <w:szCs w:val="20"/>
          <w:color w:val="auto"/>
        </w:rPr>
      </w:pPr>
    </w:p>
    <w:p>
      <w:pPr>
        <w:ind w:left="2360" w:hanging="408"/>
        <w:spacing w:after="0"/>
        <w:tabs>
          <w:tab w:leader="none" w:pos="23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normal depository or cash-management arrangements with banks; and</w:t>
      </w:r>
    </w:p>
    <w:p>
      <w:pPr>
        <w:spacing w:after="0" w:line="148" w:lineRule="exact"/>
        <w:rPr>
          <w:rFonts w:ascii="Arial" w:cs="Arial" w:eastAsia="Arial" w:hAnsi="Arial"/>
          <w:sz w:val="20"/>
          <w:szCs w:val="20"/>
          <w:color w:val="auto"/>
        </w:rPr>
      </w:pPr>
    </w:p>
    <w:p>
      <w:pPr>
        <w:ind w:left="660" w:firstLine="644"/>
        <w:spacing w:after="0" w:line="258" w:lineRule="auto"/>
        <w:tabs>
          <w:tab w:leader="none" w:pos="18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57"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39" w:lineRule="exact"/>
        <w:rPr>
          <w:sz w:val="20"/>
          <w:szCs w:val="20"/>
          <w:color w:val="auto"/>
        </w:rPr>
      </w:pPr>
    </w:p>
    <w:p>
      <w:pPr>
        <w:ind w:right="10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Other Investments</w:t>
      </w:r>
      <w:r>
        <w:rPr>
          <w:rFonts w:ascii="Arial" w:cs="Arial" w:eastAsia="Arial" w:hAnsi="Arial"/>
          <w:sz w:val="20"/>
          <w:szCs w:val="20"/>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56" w:lineRule="exact"/>
        <w:rPr>
          <w:sz w:val="20"/>
          <w:szCs w:val="20"/>
          <w:color w:val="auto"/>
        </w:rPr>
      </w:pPr>
    </w:p>
    <w:p>
      <w:pPr>
        <w:ind w:left="660" w:right="160" w:firstLine="644"/>
        <w:spacing w:after="0" w:line="272" w:lineRule="auto"/>
        <w:tabs>
          <w:tab w:leader="none" w:pos="1737" w:val="left"/>
        </w:tabs>
        <w:numPr>
          <w:ilvl w:val="0"/>
          <w:numId w:val="40"/>
        </w:numPr>
        <w:rPr>
          <w:rFonts w:ascii="Arial" w:cs="Arial" w:eastAsia="Arial" w:hAnsi="Arial"/>
          <w:sz w:val="19"/>
          <w:szCs w:val="19"/>
          <w:color w:val="auto"/>
        </w:rPr>
      </w:pPr>
      <w:r>
        <w:rPr>
          <w:rFonts w:ascii="Arial" w:cs="Arial" w:eastAsia="Arial" w:hAnsi="Arial"/>
          <w:sz w:val="19"/>
          <w:szCs w:val="19"/>
          <w:color w:val="auto"/>
        </w:rPr>
        <w:t>at the time of any such Investment and immediately thereafter, the Issuer would be permitted to incur at least $1.00 of additional Indebtedness pursuant to the Fixed Charge Coverage Ratio test set forth in Section 4.09(a); and</w:t>
      </w:r>
    </w:p>
    <w:p>
      <w:pPr>
        <w:spacing w:after="0" w:line="139" w:lineRule="exact"/>
        <w:rPr>
          <w:rFonts w:ascii="Arial" w:cs="Arial" w:eastAsia="Arial" w:hAnsi="Arial"/>
          <w:sz w:val="19"/>
          <w:szCs w:val="19"/>
          <w:color w:val="auto"/>
        </w:rPr>
      </w:pPr>
    </w:p>
    <w:p>
      <w:pPr>
        <w:ind w:left="660" w:right="20" w:firstLine="644"/>
        <w:spacing w:after="0" w:line="275" w:lineRule="auto"/>
        <w:tabs>
          <w:tab w:leader="none" w:pos="17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such Person has outstanding Indebtedness at the time of any such Investment, either (a) all such Indebtedness is Non-Recourse Debt or (b) any such Indebtedness of such Person that is not Non-Recourse Debt could, at the time such Investment is made, be incurred at that time by the Issuer pursuant to the Fixed Charge Coverage Ratio test set forth in Section 4.09(a).</w:t>
      </w:r>
    </w:p>
    <w:p>
      <w:pPr>
        <w:spacing w:after="0" w:line="139" w:lineRule="exact"/>
        <w:rPr>
          <w:sz w:val="20"/>
          <w:szCs w:val="20"/>
          <w:color w:val="auto"/>
        </w:rPr>
      </w:pPr>
    </w:p>
    <w:p>
      <w:pPr>
        <w:ind w:right="28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Refinancing Indebtedness</w:t>
      </w:r>
      <w:r>
        <w:rPr>
          <w:rFonts w:ascii="Arial" w:cs="Arial" w:eastAsia="Arial" w:hAnsi="Arial"/>
          <w:sz w:val="20"/>
          <w:szCs w:val="20"/>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56" w:lineRule="exact"/>
        <w:rPr>
          <w:sz w:val="20"/>
          <w:szCs w:val="20"/>
          <w:color w:val="auto"/>
        </w:rPr>
      </w:pPr>
    </w:p>
    <w:p>
      <w:pPr>
        <w:ind w:left="660" w:right="20" w:firstLine="644"/>
        <w:spacing w:after="0" w:line="267" w:lineRule="auto"/>
        <w:tabs>
          <w:tab w:leader="none" w:pos="17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(plus all accrued interest on the Indebtedness and all accrued dividends on the Disqualified Stock or Preferred Stock and the amount of all fees and expenses, including premiums, incurred in connection therewith);</w:t>
      </w:r>
    </w:p>
    <w:p>
      <w:pPr>
        <w:spacing w:after="0" w:line="145" w:lineRule="exact"/>
        <w:rPr>
          <w:rFonts w:ascii="Arial" w:cs="Arial" w:eastAsia="Arial" w:hAnsi="Arial"/>
          <w:sz w:val="18"/>
          <w:szCs w:val="18"/>
          <w:color w:val="auto"/>
        </w:rPr>
      </w:pPr>
    </w:p>
    <w:p>
      <w:pPr>
        <w:ind w:left="660" w:right="340" w:firstLine="644"/>
        <w:spacing w:after="0" w:line="246" w:lineRule="auto"/>
        <w:tabs>
          <w:tab w:leader="none" w:pos="1737"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such Permitted Refinancing Indebtedness has a final maturity date that is either (a) no earlier than the final maturity date of, and has a Weighted Average Life to Maturity equal to 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82" w:lineRule="exact"/>
        <w:rPr>
          <w:sz w:val="20"/>
          <w:szCs w:val="20"/>
          <w:color w:val="auto"/>
        </w:rPr>
      </w:pPr>
    </w:p>
    <w:p>
      <w:pPr>
        <w:jc w:val="both"/>
        <w:ind w:left="660" w:right="160"/>
        <w:spacing w:after="0" w:line="368" w:lineRule="auto"/>
        <w:rPr>
          <w:sz w:val="20"/>
          <w:szCs w:val="20"/>
          <w:color w:val="auto"/>
        </w:rPr>
      </w:pPr>
      <w:r>
        <w:rPr>
          <w:rFonts w:ascii="Arial" w:cs="Arial" w:eastAsia="Arial" w:hAnsi="Arial"/>
          <w:sz w:val="16"/>
          <w:szCs w:val="16"/>
          <w:color w:val="auto"/>
        </w:rPr>
        <w:t>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57" w:lineRule="exact"/>
        <w:rPr>
          <w:sz w:val="20"/>
          <w:szCs w:val="20"/>
          <w:color w:val="auto"/>
        </w:rPr>
      </w:pPr>
    </w:p>
    <w:p>
      <w:pPr>
        <w:ind w:left="660" w:right="160" w:firstLine="644"/>
        <w:spacing w:after="0" w:line="246" w:lineRule="auto"/>
        <w:tabs>
          <w:tab w:leader="none" w:pos="1737"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162" w:lineRule="exact"/>
        <w:rPr>
          <w:rFonts w:ascii="Arial" w:cs="Arial" w:eastAsia="Arial" w:hAnsi="Arial"/>
          <w:sz w:val="19"/>
          <w:szCs w:val="19"/>
          <w:color w:val="auto"/>
        </w:rPr>
      </w:pPr>
    </w:p>
    <w:p>
      <w:pPr>
        <w:ind w:left="660" w:right="180" w:firstLine="644"/>
        <w:spacing w:after="0" w:line="237" w:lineRule="auto"/>
        <w:tabs>
          <w:tab w:leader="none" w:pos="1737"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169" w:lineRule="exact"/>
        <w:rPr>
          <w:rFonts w:ascii="Arial" w:cs="Arial" w:eastAsia="Arial" w:hAnsi="Arial"/>
          <w:sz w:val="20"/>
          <w:szCs w:val="20"/>
          <w:color w:val="auto"/>
        </w:rPr>
      </w:pPr>
    </w:p>
    <w:p>
      <w:pPr>
        <w:ind w:left="660" w:right="800" w:firstLine="644"/>
        <w:spacing w:after="0" w:line="300" w:lineRule="auto"/>
        <w:tabs>
          <w:tab w:leader="none" w:pos="17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103" w:lineRule="exact"/>
        <w:rPr>
          <w:rFonts w:ascii="Arial" w:cs="Arial" w:eastAsia="Arial" w:hAnsi="Arial"/>
          <w:sz w:val="18"/>
          <w:szCs w:val="18"/>
          <w:color w:val="auto"/>
        </w:rPr>
      </w:pPr>
    </w:p>
    <w:p>
      <w:pPr>
        <w:ind w:left="660" w:right="20" w:firstLine="644"/>
        <w:spacing w:after="0" w:line="368" w:lineRule="auto"/>
        <w:tabs>
          <w:tab w:leader="none" w:pos="17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70" w:lineRule="exact"/>
        <w:rPr>
          <w:sz w:val="20"/>
          <w:szCs w:val="20"/>
          <w:color w:val="auto"/>
        </w:rPr>
      </w:pPr>
    </w:p>
    <w:p>
      <w:pPr>
        <w:ind w:right="5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w:t>
      </w:r>
      <w:r>
        <w:rPr>
          <w:rFonts w:ascii="Arial" w:cs="Arial" w:eastAsia="Arial" w:hAnsi="Arial"/>
          <w:sz w:val="20"/>
          <w:szCs w:val="20"/>
          <w:color w:val="auto"/>
        </w:rPr>
        <w:t>” means any individual, corporation, partnership, joint venture, association, joint-stock company, trust, unincorporated organization, limited liability company or government or other entity.</w:t>
      </w:r>
    </w:p>
    <w:p>
      <w:pPr>
        <w:spacing w:after="0" w:line="163" w:lineRule="exact"/>
        <w:rPr>
          <w:sz w:val="20"/>
          <w:szCs w:val="20"/>
          <w:color w:val="auto"/>
        </w:rPr>
      </w:pPr>
    </w:p>
    <w:p>
      <w:pPr>
        <w:ind w:right="5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Preferred Stock</w:t>
      </w:r>
      <w:r>
        <w:rPr>
          <w:rFonts w:ascii="Arial" w:cs="Arial" w:eastAsia="Arial" w:hAnsi="Arial"/>
          <w:sz w:val="20"/>
          <w:szCs w:val="20"/>
          <w:color w:val="auto"/>
        </w:rPr>
        <w:t>” means, with respect to any Person, any and all preferred or preference stock or other similar Equity Interests (however designated) of such Person whether outstanding or issued after the Issue Date.</w:t>
      </w:r>
    </w:p>
    <w:p>
      <w:pPr>
        <w:spacing w:after="0" w:line="150"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Private Placement Legend</w:t>
      </w:r>
      <w:r>
        <w:rPr>
          <w:rFonts w:ascii="Arial" w:cs="Arial" w:eastAsia="Arial" w:hAnsi="Arial"/>
          <w:sz w:val="20"/>
          <w:szCs w:val="20"/>
          <w:color w:val="auto"/>
        </w:rPr>
        <w:t>” means the legend set forth in Section 2.06(g)(1) to be placed on all Notes issued under this Indenture except where otherwise permitted by the provisions of this Indenture.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Production Payments</w:t>
      </w:r>
      <w:r>
        <w:rPr>
          <w:rFonts w:ascii="Arial" w:cs="Arial" w:eastAsia="Arial" w:hAnsi="Arial"/>
          <w:sz w:val="19"/>
          <w:szCs w:val="19"/>
          <w:color w:val="auto"/>
        </w:rPr>
        <w:t>” means Dollar-Denominated Production Payments and Volumetric Production Payments, collectively.</w:t>
      </w:r>
    </w:p>
    <w:p>
      <w:pPr>
        <w:spacing w:after="0" w:line="200"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Production Payments and Reserve Sales</w:t>
      </w:r>
      <w:r>
        <w:rPr>
          <w:rFonts w:ascii="Arial" w:cs="Arial" w:eastAsia="Arial" w:hAnsi="Arial"/>
          <w:sz w:val="19"/>
          <w:szCs w:val="19"/>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QIB</w:t>
      </w:r>
      <w:r>
        <w:rPr>
          <w:rFonts w:ascii="Arial" w:cs="Arial" w:eastAsia="Arial" w:hAnsi="Arial"/>
          <w:sz w:val="20"/>
          <w:szCs w:val="20"/>
          <w:color w:val="auto"/>
        </w:rPr>
        <w:t>” means a “qualified institutional buyer” as defined in Rule 144A.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Rating Agency</w:t>
      </w:r>
      <w:r>
        <w:rPr>
          <w:rFonts w:ascii="Arial" w:cs="Arial" w:eastAsia="Arial" w:hAnsi="Arial"/>
          <w:sz w:val="20"/>
          <w:szCs w:val="20"/>
          <w:color w:val="auto"/>
        </w:rPr>
        <w:t>” means:</w:t>
      </w:r>
    </w:p>
    <w:p>
      <w:pPr>
        <w:spacing w:after="0" w:line="189" w:lineRule="exact"/>
        <w:rPr>
          <w:sz w:val="20"/>
          <w:szCs w:val="20"/>
          <w:color w:val="auto"/>
        </w:rPr>
      </w:pPr>
    </w:p>
    <w:p>
      <w:pPr>
        <w:ind w:left="1740" w:hanging="436"/>
        <w:spacing w:after="0"/>
        <w:tabs>
          <w:tab w:leader="none" w:pos="17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each of Moody’s and S&amp;P; and</w:t>
      </w:r>
    </w:p>
    <w:p>
      <w:pPr>
        <w:spacing w:after="0" w:line="188" w:lineRule="exact"/>
        <w:rPr>
          <w:rFonts w:ascii="Arial" w:cs="Arial" w:eastAsia="Arial" w:hAnsi="Arial"/>
          <w:sz w:val="20"/>
          <w:szCs w:val="20"/>
          <w:color w:val="auto"/>
        </w:rPr>
      </w:pPr>
    </w:p>
    <w:p>
      <w:pPr>
        <w:ind w:left="660" w:firstLine="644"/>
        <w:spacing w:after="0" w:line="254" w:lineRule="auto"/>
        <w:tabs>
          <w:tab w:leader="none" w:pos="1737"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either of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Moody’s or S&amp;P, or both, as the case may be.</w:t>
      </w:r>
    </w:p>
    <w:p>
      <w:pPr>
        <w:spacing w:after="0" w:line="143"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Rating Date</w:t>
      </w:r>
      <w:r>
        <w:rPr>
          <w:rFonts w:ascii="Arial" w:cs="Arial" w:eastAsia="Arial" w:hAnsi="Arial"/>
          <w:sz w:val="20"/>
          <w:szCs w:val="20"/>
          <w:color w:val="auto"/>
        </w:rPr>
        <w:t>” means the earlier of the date of public notice of (i) the occurrence of a Change of Control or (ii) the Issuer’s intention to effect a Change of Control.</w:t>
      </w:r>
    </w:p>
    <w:p>
      <w:pPr>
        <w:spacing w:after="0" w:line="163"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Decline</w:t>
      </w:r>
      <w:r>
        <w:rPr>
          <w:rFonts w:ascii="Arial" w:cs="Arial" w:eastAsia="Arial" w:hAnsi="Arial"/>
          <w:sz w:val="19"/>
          <w:szCs w:val="19"/>
          <w:color w:val="auto"/>
        </w:rPr>
        <w:t>” shall be deemed to have occurred if, no later than 30 days after the Rating Date (which period shall be extended so long as the rating of the Notes is under publicly announced consideration for possible downgrade by either of the Rating Agencies and the other Rating Agency has either downgraded, or publicly announced that it is considering downgrading, the Notes), each of the Rating Agencies decreases its rating of the Notes to a rating that is below its rating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Notwithstanding the foregoing, if the Notes have an Investment Grade Rating by each of the Rating Agencies immediately prior to the Rating Date, then “Rating Decline” means a decrease in the ratings of the Notes by one or more gradations (including gradations within categories as well as between rating categories) by each of the Rating Agencies such that the rating of the Notes by each of the Rating Agencies falls below an Investment Grade Rating no later than 30 days after the Rating Date (which 30-day period will be extended so long as the rating of the Notes is under publicly announced consideration for possible downgrade by either of the Rating Agencies and the other Rating Agency has either downgraded, or publicly announced that it is considering downgrading, the Notes).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Regulation S</w:t>
      </w:r>
      <w:r>
        <w:rPr>
          <w:rFonts w:ascii="Arial" w:cs="Arial" w:eastAsia="Arial" w:hAnsi="Arial"/>
          <w:sz w:val="20"/>
          <w:szCs w:val="20"/>
          <w:color w:val="auto"/>
        </w:rPr>
        <w:t>” means Regulation S promulgated under the Securities Act.</w:t>
      </w:r>
    </w:p>
    <w:p>
      <w:pPr>
        <w:spacing w:after="0" w:line="17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39" w:lineRule="exact"/>
        <w:rPr>
          <w:sz w:val="20"/>
          <w:szCs w:val="20"/>
          <w:color w:val="auto"/>
        </w:rPr>
      </w:pPr>
    </w:p>
    <w:p>
      <w:pPr>
        <w:jc w:val="both"/>
        <w:ind w:right="100" w:firstLine="648"/>
        <w:spacing w:after="0" w:line="36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Resale Restriction Termination Date</w:t>
      </w:r>
      <w:r>
        <w:rPr>
          <w:rFonts w:ascii="Arial" w:cs="Arial" w:eastAsia="Arial" w:hAnsi="Arial"/>
          <w:sz w:val="16"/>
          <w:szCs w:val="16"/>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70"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Responsible Officer</w:t>
      </w:r>
      <w:r>
        <w:rPr>
          <w:rFonts w:ascii="Arial" w:cs="Arial" w:eastAsia="Arial" w:hAnsi="Arial"/>
          <w:sz w:val="20"/>
          <w:szCs w:val="20"/>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Restricted Definitive Note</w:t>
      </w:r>
      <w:r>
        <w:rPr>
          <w:rFonts w:ascii="Arial" w:cs="Arial" w:eastAsia="Arial" w:hAnsi="Arial"/>
          <w:sz w:val="20"/>
          <w:szCs w:val="20"/>
          <w:color w:val="auto"/>
        </w:rPr>
        <w:t>” means a Definitive Note bearing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Restricted Global Note</w:t>
      </w:r>
      <w:r>
        <w:rPr>
          <w:rFonts w:ascii="Arial" w:cs="Arial" w:eastAsia="Arial" w:hAnsi="Arial"/>
          <w:sz w:val="20"/>
          <w:szCs w:val="20"/>
          <w:color w:val="auto"/>
        </w:rPr>
        <w:t>” means a Global Note bearing the Private Placement Legend.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Restricted Investment</w:t>
      </w:r>
      <w:r>
        <w:rPr>
          <w:rFonts w:ascii="Arial" w:cs="Arial" w:eastAsia="Arial" w:hAnsi="Arial"/>
          <w:sz w:val="20"/>
          <w:szCs w:val="20"/>
          <w:color w:val="auto"/>
        </w:rPr>
        <w:t>” means an Investment other than a Permitted Investment.</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Restricted Subsidiary</w:t>
      </w:r>
      <w:r>
        <w:rPr>
          <w:rFonts w:ascii="Arial" w:cs="Arial" w:eastAsia="Arial" w:hAnsi="Arial"/>
          <w:sz w:val="19"/>
          <w:szCs w:val="19"/>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Rule 144</w:t>
      </w:r>
      <w:r>
        <w:rPr>
          <w:rFonts w:ascii="Arial" w:cs="Arial" w:eastAsia="Arial" w:hAnsi="Arial"/>
          <w:sz w:val="20"/>
          <w:szCs w:val="20"/>
          <w:color w:val="auto"/>
        </w:rPr>
        <w:t>” means Rule 144 promulgated under the Securities Act.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Rule 144A</w:t>
      </w:r>
      <w:r>
        <w:rPr>
          <w:rFonts w:ascii="Arial" w:cs="Arial" w:eastAsia="Arial" w:hAnsi="Arial"/>
          <w:sz w:val="20"/>
          <w:szCs w:val="20"/>
          <w:color w:val="auto"/>
        </w:rPr>
        <w:t>” means Rule 144A promulgated under the Securities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Rule 903</w:t>
      </w:r>
      <w:r>
        <w:rPr>
          <w:rFonts w:ascii="Arial" w:cs="Arial" w:eastAsia="Arial" w:hAnsi="Arial"/>
          <w:sz w:val="20"/>
          <w:szCs w:val="20"/>
          <w:color w:val="auto"/>
        </w:rPr>
        <w:t>” means Rule 903 promulgated under the Securities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Rule 904</w:t>
      </w:r>
      <w:r>
        <w:rPr>
          <w:rFonts w:ascii="Arial" w:cs="Arial" w:eastAsia="Arial" w:hAnsi="Arial"/>
          <w:sz w:val="20"/>
          <w:szCs w:val="20"/>
          <w:color w:val="auto"/>
        </w:rPr>
        <w:t>” means Rule 904 promulgated under the Securities Act.</w:t>
      </w:r>
    </w:p>
    <w:p>
      <w:pPr>
        <w:spacing w:after="0" w:line="175" w:lineRule="exact"/>
        <w:rPr>
          <w:sz w:val="20"/>
          <w:szCs w:val="20"/>
          <w:color w:val="auto"/>
        </w:rPr>
      </w:pPr>
    </w:p>
    <w:p>
      <w:pPr>
        <w:ind w:right="7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S&amp;P</w:t>
      </w:r>
      <w:r>
        <w:rPr>
          <w:rFonts w:ascii="Arial" w:cs="Arial" w:eastAsia="Arial" w:hAnsi="Arial"/>
          <w:sz w:val="20"/>
          <w:szCs w:val="20"/>
          <w:color w:val="auto"/>
        </w:rPr>
        <w:t>” means Standard &amp; Poor’s Financial Services, LLC, a subsidiary of S&amp;P Global, Inc., and any successor to the ratings business thereof.</w:t>
      </w:r>
    </w:p>
    <w:p>
      <w:pPr>
        <w:spacing w:after="0" w:line="163" w:lineRule="exact"/>
        <w:rPr>
          <w:sz w:val="20"/>
          <w:szCs w:val="20"/>
          <w:color w:val="auto"/>
        </w:rPr>
      </w:pPr>
    </w:p>
    <w:p>
      <w:pPr>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Sale and Leaseback Transaction</w:t>
      </w:r>
      <w:r>
        <w:rPr>
          <w:rFonts w:ascii="Arial" w:cs="Arial" w:eastAsia="Arial" w:hAnsi="Arial"/>
          <w:sz w:val="20"/>
          <w:szCs w:val="20"/>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w:t>
      </w:r>
      <w:r>
        <w:rPr>
          <w:rFonts w:ascii="Arial" w:cs="Arial" w:eastAsia="Arial" w:hAnsi="Arial"/>
          <w:sz w:val="20"/>
          <w:szCs w:val="20"/>
          <w:color w:val="auto"/>
        </w:rPr>
        <w:t>” means the Securities and Exchange Commission.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 Act</w:t>
      </w:r>
      <w:r>
        <w:rPr>
          <w:rFonts w:ascii="Arial" w:cs="Arial" w:eastAsia="Arial" w:hAnsi="Arial"/>
          <w:sz w:val="20"/>
          <w:szCs w:val="20"/>
          <w:color w:val="auto"/>
        </w:rPr>
        <w:t>” means the Securities Act of 1933, as amended.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Senior Debt</w:t>
      </w:r>
      <w:r>
        <w:rPr>
          <w:rFonts w:ascii="Arial" w:cs="Arial" w:eastAsia="Arial" w:hAnsi="Arial"/>
          <w:sz w:val="20"/>
          <w:szCs w:val="20"/>
          <w:color w:val="auto"/>
        </w:rPr>
        <w:t>” means:</w:t>
      </w:r>
    </w:p>
    <w:p>
      <w:pPr>
        <w:spacing w:after="0" w:line="189" w:lineRule="exact"/>
        <w:rPr>
          <w:sz w:val="20"/>
          <w:szCs w:val="20"/>
          <w:color w:val="auto"/>
        </w:rPr>
      </w:pPr>
    </w:p>
    <w:p>
      <w:pPr>
        <w:ind w:left="660" w:right="20" w:firstLine="644"/>
        <w:spacing w:after="0" w:line="246" w:lineRule="auto"/>
        <w:tabs>
          <w:tab w:leader="none" w:pos="1737" w:val="left"/>
        </w:tabs>
        <w:numPr>
          <w:ilvl w:val="0"/>
          <w:numId w:val="44"/>
        </w:numPr>
        <w:rPr>
          <w:rFonts w:ascii="Arial" w:cs="Arial" w:eastAsia="Arial" w:hAnsi="Arial"/>
          <w:sz w:val="20"/>
          <w:szCs w:val="20"/>
          <w:color w:val="auto"/>
        </w:rPr>
      </w:pPr>
      <w:r>
        <w:rPr>
          <w:rFonts w:ascii="Arial" w:cs="Arial" w:eastAsia="Arial" w:hAnsi="Arial"/>
          <w:sz w:val="20"/>
          <w:szCs w:val="20"/>
          <w:color w:val="auto"/>
        </w:rPr>
        <w:t>all Indebtedness of the Issuer or any of its Restricted Subsidiaries outstanding under Credit Facilities and all obligations under Hedging Obligations with respect thereto;</w:t>
      </w:r>
    </w:p>
    <w:p>
      <w:pPr>
        <w:spacing w:after="0" w:line="149" w:lineRule="exact"/>
        <w:rPr>
          <w:rFonts w:ascii="Arial" w:cs="Arial" w:eastAsia="Arial" w:hAnsi="Arial"/>
          <w:sz w:val="20"/>
          <w:szCs w:val="20"/>
          <w:color w:val="auto"/>
        </w:rPr>
      </w:pPr>
    </w:p>
    <w:p>
      <w:pPr>
        <w:ind w:left="660" w:firstLine="644"/>
        <w:spacing w:after="0" w:line="237" w:lineRule="auto"/>
        <w:tabs>
          <w:tab w:leader="none" w:pos="1737"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169" w:lineRule="exact"/>
        <w:rPr>
          <w:rFonts w:ascii="Arial" w:cs="Arial" w:eastAsia="Arial" w:hAnsi="Arial"/>
          <w:sz w:val="20"/>
          <w:szCs w:val="20"/>
          <w:color w:val="auto"/>
        </w:rPr>
      </w:pPr>
    </w:p>
    <w:p>
      <w:pPr>
        <w:ind w:left="1740" w:hanging="436"/>
        <w:spacing w:after="0"/>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all Obligations with respect to the items listed in the preceding clauses (1) and (2).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anything to the contrary in the preceding sentence, Senior Debt will not include:</w:t>
      </w:r>
    </w:p>
    <w:p>
      <w:pPr>
        <w:spacing w:after="0" w:line="175" w:lineRule="exact"/>
        <w:rPr>
          <w:sz w:val="20"/>
          <w:szCs w:val="20"/>
          <w:color w:val="auto"/>
        </w:rPr>
      </w:pPr>
    </w:p>
    <w:p>
      <w:pPr>
        <w:ind w:left="1740" w:hanging="436"/>
        <w:spacing w:after="0"/>
        <w:tabs>
          <w:tab w:leader="none" w:pos="17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intercompany Indebtedness of the Issuer or any of its Restricted Subsidiaries to the Issuer or any Affiliate;</w:t>
      </w:r>
    </w:p>
    <w:p>
      <w:pPr>
        <w:spacing w:after="0" w:line="200" w:lineRule="exact"/>
        <w:rPr>
          <w:rFonts w:ascii="Arial" w:cs="Arial" w:eastAsia="Arial" w:hAnsi="Arial"/>
          <w:sz w:val="19"/>
          <w:szCs w:val="19"/>
          <w:color w:val="auto"/>
        </w:rPr>
      </w:pPr>
    </w:p>
    <w:p>
      <w:pPr>
        <w:ind w:left="1740" w:hanging="436"/>
        <w:spacing w:after="0"/>
        <w:tabs>
          <w:tab w:leader="none" w:pos="17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Indebtedness that is incurred in violation of this Indenture; or</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Capital Stock.</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Significant Subsidiary</w:t>
      </w:r>
      <w:r>
        <w:rPr>
          <w:rFonts w:ascii="Arial" w:cs="Arial" w:eastAsia="Arial" w:hAnsi="Arial"/>
          <w:sz w:val="20"/>
          <w:szCs w:val="20"/>
          <w:color w:val="auto"/>
        </w:rPr>
        <w:t>” means any Restricted Subsidiary that would be a “significant subsidiary” as defined in Article 1, Rule 1-02 of Regulation S-X, promulgated pursuant to the Securities Act, as such Regulation is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2"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Stated Maturity</w:t>
      </w:r>
      <w:r>
        <w:rPr>
          <w:rFonts w:ascii="Arial" w:cs="Arial" w:eastAsia="Arial" w:hAnsi="Arial"/>
          <w:sz w:val="20"/>
          <w:szCs w:val="20"/>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Subsidiary</w:t>
      </w:r>
      <w:r>
        <w:rPr>
          <w:rFonts w:ascii="Arial" w:cs="Arial" w:eastAsia="Arial" w:hAnsi="Arial"/>
          <w:sz w:val="20"/>
          <w:szCs w:val="20"/>
          <w:color w:val="auto"/>
        </w:rPr>
        <w:t>” means, with respect to any specified Person:</w:t>
      </w:r>
    </w:p>
    <w:p>
      <w:pPr>
        <w:spacing w:after="0" w:line="189" w:lineRule="exact"/>
        <w:rPr>
          <w:sz w:val="20"/>
          <w:szCs w:val="20"/>
          <w:color w:val="auto"/>
        </w:rPr>
      </w:pPr>
    </w:p>
    <w:p>
      <w:pPr>
        <w:ind w:left="660" w:right="160" w:firstLine="644"/>
        <w:spacing w:after="0" w:line="254" w:lineRule="auto"/>
        <w:tabs>
          <w:tab w:leader="none" w:pos="1737"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156" w:lineRule="exact"/>
        <w:rPr>
          <w:rFonts w:ascii="Arial" w:cs="Arial" w:eastAsia="Arial" w:hAnsi="Arial"/>
          <w:sz w:val="19"/>
          <w:szCs w:val="19"/>
          <w:color w:val="auto"/>
        </w:rPr>
      </w:pPr>
    </w:p>
    <w:p>
      <w:pPr>
        <w:ind w:left="660" w:right="60" w:firstLine="644"/>
        <w:spacing w:after="0" w:line="263" w:lineRule="auto"/>
        <w:tabs>
          <w:tab w:leader="none" w:pos="17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TIA</w:t>
      </w:r>
      <w:r>
        <w:rPr>
          <w:rFonts w:ascii="Arial" w:cs="Arial" w:eastAsia="Arial" w:hAnsi="Arial"/>
          <w:sz w:val="19"/>
          <w:szCs w:val="19"/>
          <w:color w:val="auto"/>
        </w:rPr>
        <w:t>” means the Trust Indenture Act of 1939, as amended (15 U.S.C. §§ 77aaa-77bbbb), as in effect on the Issue Date.</w:t>
      </w:r>
    </w:p>
    <w:p>
      <w:pPr>
        <w:spacing w:after="0" w:line="200"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Leverage Ratio</w:t>
      </w:r>
      <w:r>
        <w:rPr>
          <w:rFonts w:ascii="Arial" w:cs="Arial" w:eastAsia="Arial" w:hAnsi="Arial"/>
          <w:sz w:val="16"/>
          <w:szCs w:val="16"/>
          <w:color w:val="auto"/>
        </w:rPr>
        <w:t xml:space="preserve">”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with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to Consolidated Leverage Ratio Indebtedness and Consolidated Cash Flow as are appropriate and consistent with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 provisions set forth in the definition of “Fixed Charge Coverage Ratio.”</w:t>
      </w:r>
    </w:p>
    <w:p>
      <w:pPr>
        <w:spacing w:after="0" w:line="121" w:lineRule="exact"/>
        <w:rPr>
          <w:sz w:val="20"/>
          <w:szCs w:val="20"/>
          <w:color w:val="auto"/>
        </w:rPr>
      </w:pPr>
    </w:p>
    <w:p>
      <w:pPr>
        <w:ind w:right="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Trade Payables</w:t>
      </w:r>
      <w:r>
        <w:rPr>
          <w:rFonts w:ascii="Arial" w:cs="Arial" w:eastAsia="Arial" w:hAnsi="Arial"/>
          <w:sz w:val="20"/>
          <w:szCs w:val="20"/>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5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 most nearly equal to the period from the redemption date to February 1, 2023;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February 1, 2023, is less than one year, the weekly average yield on actively traded United States Treasury securities adjusted to a constant maturity of one year will be used. The Issuer 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00"/>
          </w:cols>
          <w:pgMar w:left="320" w:top="1440" w:right="379" w:bottom="1440" w:gutter="0" w:footer="0" w:header="0"/>
        </w:sectPr>
      </w:pPr>
    </w:p>
    <w:bookmarkStart w:id="44" w:name="page45"/>
    <w:bookmarkEnd w:id="44"/>
    <w:p>
      <w:pPr>
        <w:spacing w:after="0" w:line="182"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Trustee</w:t>
      </w:r>
      <w:r>
        <w:rPr>
          <w:rFonts w:ascii="Arial" w:cs="Arial" w:eastAsia="Arial" w:hAnsi="Arial"/>
          <w:sz w:val="20"/>
          <w:szCs w:val="20"/>
          <w:color w:val="auto"/>
        </w:rPr>
        <w:t>” means Wilmington Trust, National Association, until a successor replaces it in accordance with the applicable provisions of this Indenture and thereafter means the successor serving hereunder.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that such Subsidiary, at the time of such designation:</w:t>
      </w:r>
    </w:p>
    <w:p>
      <w:pPr>
        <w:spacing w:after="0" w:line="125" w:lineRule="exact"/>
        <w:rPr>
          <w:sz w:val="20"/>
          <w:szCs w:val="20"/>
          <w:color w:val="auto"/>
        </w:rPr>
      </w:pPr>
    </w:p>
    <w:p>
      <w:pPr>
        <w:ind w:left="660" w:right="220" w:firstLine="644"/>
        <w:spacing w:after="0" w:line="237" w:lineRule="auto"/>
        <w:tabs>
          <w:tab w:leader="none" w:pos="1737" w:val="left"/>
        </w:tabs>
        <w:numPr>
          <w:ilvl w:val="0"/>
          <w:numId w:val="47"/>
        </w:numPr>
        <w:rPr>
          <w:rFonts w:ascii="Arial" w:cs="Arial" w:eastAsia="Arial" w:hAnsi="Arial"/>
          <w:sz w:val="20"/>
          <w:szCs w:val="20"/>
          <w:color w:val="auto"/>
        </w:rPr>
      </w:pPr>
      <w:r>
        <w:rPr>
          <w:rFonts w:ascii="Arial" w:cs="Arial" w:eastAsia="Arial" w:hAnsi="Arial"/>
          <w:sz w:val="20"/>
          <w:szCs w:val="20"/>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169" w:lineRule="exact"/>
        <w:rPr>
          <w:rFonts w:ascii="Arial" w:cs="Arial" w:eastAsia="Arial" w:hAnsi="Arial"/>
          <w:sz w:val="20"/>
          <w:szCs w:val="20"/>
          <w:color w:val="auto"/>
        </w:rPr>
      </w:pPr>
    </w:p>
    <w:p>
      <w:pPr>
        <w:ind w:left="660" w:right="40" w:firstLine="644"/>
        <w:spacing w:after="0" w:line="246" w:lineRule="auto"/>
        <w:tabs>
          <w:tab w:leader="none" w:pos="1737" w:val="left"/>
        </w:tabs>
        <w:numPr>
          <w:ilvl w:val="0"/>
          <w:numId w:val="47"/>
        </w:numPr>
        <w:rPr>
          <w:rFonts w:ascii="Arial" w:cs="Arial" w:eastAsia="Arial" w:hAnsi="Arial"/>
          <w:sz w:val="19"/>
          <w:szCs w:val="19"/>
          <w:color w:val="auto"/>
        </w:rPr>
      </w:pPr>
      <w:r>
        <w:rPr>
          <w:rFonts w:ascii="Arial" w:cs="Arial" w:eastAsia="Arial" w:hAnsi="Arial"/>
          <w:sz w:val="19"/>
          <w:szCs w:val="19"/>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162" w:lineRule="exact"/>
        <w:rPr>
          <w:rFonts w:ascii="Arial" w:cs="Arial" w:eastAsia="Arial" w:hAnsi="Arial"/>
          <w:sz w:val="19"/>
          <w:szCs w:val="19"/>
          <w:color w:val="auto"/>
        </w:rPr>
      </w:pPr>
    </w:p>
    <w:p>
      <w:pPr>
        <w:ind w:left="660" w:right="460" w:firstLine="644"/>
        <w:spacing w:after="0" w:line="368" w:lineRule="auto"/>
        <w:tabs>
          <w:tab w:leader="none" w:pos="17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56" w:lineRule="exact"/>
        <w:rPr>
          <w:rFonts w:ascii="Arial" w:cs="Arial" w:eastAsia="Arial" w:hAnsi="Arial"/>
          <w:sz w:val="16"/>
          <w:szCs w:val="16"/>
          <w:color w:val="auto"/>
        </w:rPr>
      </w:pPr>
    </w:p>
    <w:p>
      <w:pPr>
        <w:ind w:left="660" w:firstLine="644"/>
        <w:spacing w:after="0" w:line="248" w:lineRule="auto"/>
        <w:tabs>
          <w:tab w:leader="none" w:pos="1737" w:val="left"/>
        </w:tabs>
        <w:numPr>
          <w:ilvl w:val="0"/>
          <w:numId w:val="47"/>
        </w:numPr>
        <w:rPr>
          <w:rFonts w:ascii="Arial" w:cs="Arial" w:eastAsia="Arial" w:hAnsi="Arial"/>
          <w:sz w:val="19"/>
          <w:szCs w:val="19"/>
          <w:color w:val="auto"/>
        </w:rPr>
      </w:pPr>
      <w:r>
        <w:rPr>
          <w:rFonts w:ascii="Arial" w:cs="Arial" w:eastAsia="Arial" w:hAnsi="Arial"/>
          <w:sz w:val="19"/>
          <w:szCs w:val="19"/>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 (y) any guarantee of the Notes and the Guarantees,</w:t>
      </w:r>
    </w:p>
    <w:p>
      <w:pPr>
        <w:spacing w:after="0" w:line="163"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except, in the case of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Subsidiaries of an Unrestricted Subsidiary shall also be Unrestricted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 Person</w:t>
      </w:r>
      <w:r>
        <w:rPr>
          <w:rFonts w:ascii="Arial" w:cs="Arial" w:eastAsia="Arial" w:hAnsi="Arial"/>
          <w:sz w:val="20"/>
          <w:szCs w:val="20"/>
          <w:color w:val="auto"/>
        </w:rPr>
        <w:t>” means a U.S. Person as defined in Rule 902(k) promulgated under the Securities Act.</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Volumetric Production Payments</w:t>
      </w:r>
      <w:r>
        <w:rPr>
          <w:rFonts w:ascii="Arial" w:cs="Arial" w:eastAsia="Arial" w:hAnsi="Arial"/>
          <w:sz w:val="20"/>
          <w:szCs w:val="20"/>
          <w:color w:val="auto"/>
        </w:rPr>
        <w:t>” means production payment obligations recorded as deferred revenue in accordance with GAAP, together with all undertakings and obligations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41" w:lineRule="exact"/>
        <w:rPr>
          <w:sz w:val="20"/>
          <w:szCs w:val="20"/>
          <w:color w:val="auto"/>
        </w:rPr>
      </w:pPr>
    </w:p>
    <w:p>
      <w:pPr>
        <w:ind w:right="140" w:firstLine="648"/>
        <w:spacing w:after="0" w:line="221" w:lineRule="auto"/>
        <w:rPr>
          <w:sz w:val="20"/>
          <w:szCs w:val="20"/>
          <w:color w:val="auto"/>
        </w:rPr>
      </w:pPr>
      <w:r>
        <w:rPr>
          <w:rFonts w:ascii="Arial" w:cs="Arial" w:eastAsia="Arial" w:hAnsi="Arial"/>
          <w:sz w:val="19"/>
          <w:szCs w:val="19"/>
          <w:color w:val="auto"/>
        </w:rPr>
        <w:t>“Voting Stock” of any specified Person as of any date means the Capital Stock of such Person entitling the holders thereof (whether at all times or only so long as no senior class of Capital Stock has voting power by reason of any contingency) to vote in the election of members of the Board of Directors of such Person; provided that with respect to a limited partnership or other entity which does not have a Board of Directors, Voting Stock means the Capital Stock of the general partner of such limited partnership or other business entity with the ultimate authority to manage the business and operations of such Person.</w:t>
      </w:r>
    </w:p>
    <w:p>
      <w:pPr>
        <w:spacing w:after="0" w:line="128"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Weighted Average Life to Maturity</w:t>
      </w:r>
      <w:r>
        <w:rPr>
          <w:rFonts w:ascii="Arial" w:cs="Arial" w:eastAsia="Arial" w:hAnsi="Arial"/>
          <w:sz w:val="20"/>
          <w:szCs w:val="20"/>
          <w:color w:val="auto"/>
        </w:rPr>
        <w:t>” means, when applied to any Indebtedness (or Disqualified Stock or Preferred Stock) at any date, the number of years obtained by dividing:</w:t>
      </w:r>
    </w:p>
    <w:p>
      <w:pPr>
        <w:spacing w:after="0" w:line="115" w:lineRule="exact"/>
        <w:rPr>
          <w:sz w:val="20"/>
          <w:szCs w:val="20"/>
          <w:color w:val="auto"/>
        </w:rPr>
      </w:pPr>
    </w:p>
    <w:p>
      <w:pPr>
        <w:ind w:left="660" w:right="60" w:firstLine="644"/>
        <w:spacing w:after="0" w:line="236" w:lineRule="auto"/>
        <w:tabs>
          <w:tab w:leader="none" w:pos="17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by (b) the number of years (calculated to the nearest one-twelfth) that will elapse between such date and the making of such payment; by</w:t>
      </w:r>
    </w:p>
    <w:p>
      <w:pPr>
        <w:spacing w:after="0" w:line="117" w:lineRule="exact"/>
        <w:rPr>
          <w:rFonts w:ascii="Arial" w:cs="Arial" w:eastAsia="Arial" w:hAnsi="Arial"/>
          <w:sz w:val="18"/>
          <w:szCs w:val="18"/>
          <w:color w:val="auto"/>
        </w:rPr>
      </w:pPr>
    </w:p>
    <w:p>
      <w:pPr>
        <w:ind w:left="1740" w:hanging="436"/>
        <w:spacing w:after="0"/>
        <w:tabs>
          <w:tab w:leader="none" w:pos="17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then outstanding principal amount of such Indebtedness (or Disqualified Stock or Preferred Stock).</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5820" w:type="dxa"/>
            <w:vAlign w:val="bottom"/>
            <w:gridSpan w:val="3"/>
          </w:tcPr>
          <w:p>
            <w:pPr>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Other Definitions.</w:t>
            </w:r>
          </w:p>
        </w:tc>
        <w:tc>
          <w:tcPr>
            <w:tcW w:w="4680" w:type="dxa"/>
            <w:vAlign w:val="bottom"/>
            <w:gridSpan w:val="3"/>
            <w:vMerge w:val="restart"/>
          </w:tcPr>
          <w:p>
            <w:pPr>
              <w:jc w:val="center"/>
              <w:ind w:left="2821"/>
              <w:spacing w:after="0"/>
              <w:rPr>
                <w:sz w:val="20"/>
                <w:szCs w:val="20"/>
                <w:color w:val="auto"/>
              </w:rPr>
            </w:pPr>
            <w:r>
              <w:rPr>
                <w:rFonts w:ascii="Arial" w:cs="Arial" w:eastAsia="Arial" w:hAnsi="Arial"/>
                <w:sz w:val="20"/>
                <w:szCs w:val="20"/>
                <w:color w:val="auto"/>
                <w:w w:val="93"/>
              </w:rPr>
              <w:t>Defined in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0" w:type="dxa"/>
            <w:vAlign w:val="bottom"/>
            <w:gridSpan w:val="2"/>
            <w:vMerge w:val="restart"/>
          </w:tcPr>
          <w:p>
            <w:pPr>
              <w:spacing w:after="0"/>
              <w:rPr>
                <w:sz w:val="20"/>
                <w:szCs w:val="20"/>
                <w:color w:val="auto"/>
              </w:rPr>
            </w:pPr>
            <w:r>
              <w:rPr>
                <w:rFonts w:ascii="Arial" w:cs="Arial" w:eastAsia="Arial" w:hAnsi="Arial"/>
                <w:sz w:val="20"/>
                <w:szCs w:val="20"/>
                <w:color w:val="auto"/>
              </w:rPr>
              <w:t>Term</w:t>
            </w:r>
          </w:p>
        </w:tc>
        <w:tc>
          <w:tcPr>
            <w:tcW w:w="4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vMerge w:val="continue"/>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gridSpan w:val="2"/>
          </w:tcPr>
          <w:p>
            <w:pPr>
              <w:jc w:val="center"/>
              <w:ind w:right="580"/>
              <w:spacing w:after="0" w:line="203" w:lineRule="exact"/>
              <w:rPr>
                <w:sz w:val="20"/>
                <w:szCs w:val="20"/>
                <w:color w:val="auto"/>
              </w:rPr>
            </w:pPr>
            <w:r>
              <w:rPr>
                <w:rFonts w:ascii="Arial" w:cs="Arial" w:eastAsia="Arial" w:hAnsi="Arial"/>
                <w:sz w:val="20"/>
                <w:szCs w:val="20"/>
                <w:color w:val="auto"/>
                <w:w w:val="89"/>
              </w:rPr>
              <w:t>Section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Act</w:t>
            </w:r>
            <w:r>
              <w:rPr>
                <w:rFonts w:ascii="Arial" w:cs="Arial" w:eastAsia="Arial" w:hAnsi="Arial"/>
                <w:sz w:val="20"/>
                <w:szCs w:val="20"/>
                <w:color w:val="auto"/>
              </w:rPr>
              <w:t>”</w:t>
            </w:r>
          </w:p>
        </w:tc>
        <w:tc>
          <w:tcPr>
            <w:tcW w:w="4680" w:type="dxa"/>
            <w:vAlign w:val="bottom"/>
            <w:gridSpan w:val="3"/>
          </w:tcPr>
          <w:p>
            <w:pPr>
              <w:jc w:val="center"/>
              <w:ind w:left="2801"/>
              <w:spacing w:after="0"/>
              <w:rPr>
                <w:sz w:val="20"/>
                <w:szCs w:val="20"/>
                <w:color w:val="auto"/>
              </w:rPr>
            </w:pPr>
            <w:r>
              <w:rPr>
                <w:rFonts w:ascii="Arial" w:cs="Arial" w:eastAsia="Arial" w:hAnsi="Arial"/>
                <w:sz w:val="20"/>
                <w:szCs w:val="20"/>
                <w:color w:val="auto"/>
                <w:w w:val="88"/>
              </w:rPr>
              <w:t>12.15(a)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 Transaction</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4.11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Alternate Offer</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4.15</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gridSpan w:val="2"/>
          </w:tcPr>
          <w:p>
            <w:pPr>
              <w:spacing w:after="0" w:line="192"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Premium Deficit</w:t>
            </w:r>
            <w:r>
              <w:rPr>
                <w:rFonts w:ascii="Arial" w:cs="Arial" w:eastAsia="Arial" w:hAnsi="Arial"/>
                <w:sz w:val="20"/>
                <w:szCs w:val="20"/>
                <w:color w:val="auto"/>
              </w:rPr>
              <w:t>”</w:t>
            </w:r>
          </w:p>
        </w:tc>
        <w:tc>
          <w:tcPr>
            <w:tcW w:w="4680" w:type="dxa"/>
            <w:vAlign w:val="bottom"/>
            <w:gridSpan w:val="3"/>
          </w:tcPr>
          <w:p>
            <w:pPr>
              <w:jc w:val="center"/>
              <w:ind w:left="2821"/>
              <w:spacing w:after="0" w:line="192" w:lineRule="exact"/>
              <w:rPr>
                <w:sz w:val="20"/>
                <w:szCs w:val="20"/>
                <w:color w:val="auto"/>
              </w:rPr>
            </w:pPr>
            <w:r>
              <w:rPr>
                <w:rFonts w:ascii="Arial" w:cs="Arial" w:eastAsia="Arial" w:hAnsi="Arial"/>
                <w:sz w:val="20"/>
                <w:szCs w:val="20"/>
                <w:color w:val="auto"/>
                <w:w w:val="89"/>
              </w:rPr>
              <w:t>8.04(a) or 11.01(a)(2),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680" w:type="dxa"/>
            <w:vAlign w:val="bottom"/>
            <w:gridSpan w:val="3"/>
          </w:tcPr>
          <w:p>
            <w:pPr>
              <w:jc w:val="center"/>
              <w:ind w:left="2801"/>
              <w:spacing w:after="0"/>
              <w:rPr>
                <w:sz w:val="20"/>
                <w:szCs w:val="20"/>
                <w:color w:val="auto"/>
              </w:rPr>
            </w:pPr>
            <w:r>
              <w:rPr>
                <w:rFonts w:ascii="Arial" w:cs="Arial" w:eastAsia="Arial" w:hAnsi="Arial"/>
                <w:sz w:val="20"/>
                <w:szCs w:val="20"/>
                <w:color w:val="auto"/>
                <w:w w:val="87"/>
              </w:rPr>
              <w:t>as applicable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Asset Sale Offer</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20"/>
                <w:szCs w:val="20"/>
                <w:color w:val="auto"/>
                <w:w w:val="93"/>
              </w:rPr>
              <w:t>4.10(f)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Authentication Order</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2.02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Authorized Officer</w:t>
            </w:r>
            <w:r>
              <w:rPr>
                <w:rFonts w:ascii="Arial" w:cs="Arial" w:eastAsia="Arial" w:hAnsi="Arial"/>
                <w:sz w:val="20"/>
                <w:szCs w:val="20"/>
                <w:color w:val="auto"/>
              </w:rPr>
              <w:t>”</w:t>
            </w:r>
          </w:p>
        </w:tc>
        <w:tc>
          <w:tcPr>
            <w:tcW w:w="4100" w:type="dxa"/>
            <w:vAlign w:val="bottom"/>
            <w:gridSpan w:val="2"/>
          </w:tcPr>
          <w:p>
            <w:pPr>
              <w:jc w:val="center"/>
              <w:ind w:left="3401"/>
              <w:spacing w:after="0"/>
              <w:rPr>
                <w:sz w:val="20"/>
                <w:szCs w:val="20"/>
                <w:color w:val="auto"/>
              </w:rPr>
            </w:pPr>
            <w:r>
              <w:rPr>
                <w:rFonts w:ascii="Arial" w:cs="Arial" w:eastAsia="Arial" w:hAnsi="Arial"/>
                <w:sz w:val="20"/>
                <w:szCs w:val="20"/>
                <w:color w:val="auto"/>
                <w:w w:val="87"/>
              </w:rPr>
              <w:t>12.17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of Control Offer</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4.15(a)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of Control Payment</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4.15(a)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of Control Purchase Date</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4.15(a)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Covenant Defeasance</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8.03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DTC</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2.03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Default</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6.01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Excess Proceeds</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20"/>
                <w:szCs w:val="20"/>
                <w:color w:val="auto"/>
                <w:w w:val="93"/>
              </w:rPr>
              <w:t>4.10(f)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incur</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4.09(a)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Instruction</w:t>
            </w:r>
            <w:r>
              <w:rPr>
                <w:rFonts w:ascii="Arial" w:cs="Arial" w:eastAsia="Arial" w:hAnsi="Arial"/>
                <w:sz w:val="20"/>
                <w:szCs w:val="20"/>
                <w:color w:val="auto"/>
              </w:rPr>
              <w:t>”</w:t>
            </w:r>
          </w:p>
        </w:tc>
        <w:tc>
          <w:tcPr>
            <w:tcW w:w="4100" w:type="dxa"/>
            <w:vAlign w:val="bottom"/>
            <w:gridSpan w:val="2"/>
          </w:tcPr>
          <w:p>
            <w:pPr>
              <w:jc w:val="center"/>
              <w:ind w:left="3401"/>
              <w:spacing w:after="0"/>
              <w:rPr>
                <w:sz w:val="20"/>
                <w:szCs w:val="20"/>
                <w:color w:val="auto"/>
              </w:rPr>
            </w:pPr>
            <w:r>
              <w:rPr>
                <w:rFonts w:ascii="Arial" w:cs="Arial" w:eastAsia="Arial" w:hAnsi="Arial"/>
                <w:sz w:val="20"/>
                <w:szCs w:val="20"/>
                <w:color w:val="auto"/>
                <w:w w:val="87"/>
              </w:rPr>
              <w:t>12.17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Payment Date</w:t>
            </w:r>
            <w:r>
              <w:rPr>
                <w:rFonts w:ascii="Arial" w:cs="Arial" w:eastAsia="Arial" w:hAnsi="Arial"/>
                <w:sz w:val="20"/>
                <w:szCs w:val="20"/>
                <w:color w:val="auto"/>
              </w:rPr>
              <w:t>”</w:t>
            </w:r>
          </w:p>
        </w:tc>
        <w:tc>
          <w:tcPr>
            <w:tcW w:w="4680" w:type="dxa"/>
            <w:vAlign w:val="bottom"/>
            <w:gridSpan w:val="3"/>
          </w:tcPr>
          <w:p>
            <w:pPr>
              <w:jc w:val="center"/>
              <w:ind w:left="2801"/>
              <w:spacing w:after="0"/>
              <w:rPr>
                <w:sz w:val="20"/>
                <w:szCs w:val="20"/>
                <w:color w:val="auto"/>
              </w:rPr>
            </w:pPr>
            <w:r>
              <w:rPr>
                <w:rFonts w:ascii="Arial" w:cs="Arial" w:eastAsia="Arial" w:hAnsi="Arial"/>
                <w:sz w:val="20"/>
                <w:szCs w:val="20"/>
                <w:color w:val="auto"/>
                <w:w w:val="98"/>
              </w:rPr>
              <w:t>Exhibit 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Issuer</w:t>
            </w:r>
            <w:r>
              <w:rPr>
                <w:rFonts w:ascii="Arial" w:cs="Arial" w:eastAsia="Arial" w:hAnsi="Arial"/>
                <w:sz w:val="20"/>
                <w:szCs w:val="20"/>
                <w:color w:val="auto"/>
              </w:rPr>
              <w:t>”</w:t>
            </w:r>
          </w:p>
        </w:tc>
        <w:tc>
          <w:tcPr>
            <w:tcW w:w="4680" w:type="dxa"/>
            <w:vAlign w:val="bottom"/>
            <w:gridSpan w:val="3"/>
          </w:tcPr>
          <w:p>
            <w:pPr>
              <w:jc w:val="center"/>
              <w:ind w:left="2801"/>
              <w:spacing w:after="0"/>
              <w:rPr>
                <w:sz w:val="20"/>
                <w:szCs w:val="20"/>
                <w:color w:val="auto"/>
              </w:rPr>
            </w:pPr>
            <w:r>
              <w:rPr>
                <w:rFonts w:ascii="Arial" w:cs="Arial" w:eastAsia="Arial" w:hAnsi="Arial"/>
                <w:sz w:val="20"/>
                <w:szCs w:val="20"/>
                <w:color w:val="auto"/>
                <w:w w:val="86"/>
              </w:rPr>
              <w:t>Preamble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Legal Defeasance</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8.02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Offer Amount</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3.09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Offer Period</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3.09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Paying Agent</w:t>
            </w:r>
            <w:r>
              <w:rPr>
                <w:rFonts w:ascii="Arial" w:cs="Arial" w:eastAsia="Arial" w:hAnsi="Arial"/>
                <w:sz w:val="20"/>
                <w:szCs w:val="20"/>
                <w:color w:val="auto"/>
              </w:rPr>
              <w:t>”</w:t>
            </w:r>
          </w:p>
        </w:tc>
        <w:tc>
          <w:tcPr>
            <w:tcW w:w="4100" w:type="dxa"/>
            <w:vAlign w:val="bottom"/>
            <w:gridSpan w:val="2"/>
          </w:tcPr>
          <w:p>
            <w:pPr>
              <w:jc w:val="center"/>
              <w:ind w:left="3381"/>
              <w:spacing w:after="0"/>
              <w:rPr>
                <w:sz w:val="20"/>
                <w:szCs w:val="20"/>
                <w:color w:val="auto"/>
              </w:rPr>
            </w:pPr>
            <w:r>
              <w:rPr>
                <w:rFonts w:ascii="Arial" w:cs="Arial" w:eastAsia="Arial" w:hAnsi="Arial"/>
                <w:sz w:val="20"/>
                <w:szCs w:val="20"/>
                <w:color w:val="auto"/>
                <w:w w:val="87"/>
              </w:rPr>
              <w:t>2.03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Payment Default</w:t>
            </w:r>
            <w:r>
              <w:rPr>
                <w:rFonts w:ascii="Arial" w:cs="Arial" w:eastAsia="Arial" w:hAnsi="Arial"/>
                <w:sz w:val="20"/>
                <w:szCs w:val="20"/>
                <w:color w:val="auto"/>
              </w:rPr>
              <w:t>”</w:t>
            </w:r>
          </w:p>
        </w:tc>
        <w:tc>
          <w:tcPr>
            <w:tcW w:w="4680" w:type="dxa"/>
            <w:vAlign w:val="bottom"/>
            <w:gridSpan w:val="3"/>
          </w:tcPr>
          <w:p>
            <w:pPr>
              <w:jc w:val="center"/>
              <w:ind w:left="2821"/>
              <w:spacing w:after="0"/>
              <w:rPr>
                <w:sz w:val="20"/>
                <w:szCs w:val="20"/>
                <w:color w:val="auto"/>
              </w:rPr>
            </w:pPr>
            <w:r>
              <w:rPr>
                <w:rFonts w:ascii="Arial" w:cs="Arial" w:eastAsia="Arial" w:hAnsi="Arial"/>
                <w:sz w:val="20"/>
                <w:szCs w:val="20"/>
                <w:color w:val="auto"/>
                <w:w w:val="91"/>
              </w:rPr>
              <w:t>6.01(g)(1)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Debt</w:t>
            </w:r>
            <w:r>
              <w:rPr>
                <w:rFonts w:ascii="Arial" w:cs="Arial" w:eastAsia="Arial" w:hAnsi="Arial"/>
                <w:sz w:val="20"/>
                <w:szCs w:val="20"/>
                <w:color w:val="auto"/>
              </w:rPr>
              <w:t>”</w:t>
            </w:r>
          </w:p>
        </w:tc>
        <w:tc>
          <w:tcPr>
            <w:tcW w:w="3500" w:type="dxa"/>
            <w:vAlign w:val="bottom"/>
          </w:tcPr>
          <w:p>
            <w:pPr>
              <w:spacing w:after="0"/>
              <w:rPr>
                <w:sz w:val="21"/>
                <w:szCs w:val="21"/>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20"/>
                <w:szCs w:val="20"/>
                <w:color w:val="auto"/>
                <w:w w:val="91"/>
              </w:rPr>
              <w:t>4.09(b)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20"/>
          </w:cols>
          <w:pgMar w:left="320" w:top="1440" w:right="359" w:bottom="1440" w:gutter="0" w:footer="0" w:header="0"/>
        </w:sectPr>
      </w:pPr>
    </w:p>
    <w:bookmarkStart w:id="46" w:name="page47"/>
    <w:bookmarkEnd w:id="46"/>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5480" w:type="dxa"/>
            <w:vAlign w:val="bottom"/>
            <w:gridSpan w:val="2"/>
            <w:vMerge w:val="restart"/>
          </w:tcPr>
          <w:p>
            <w:pPr>
              <w:spacing w:after="0"/>
              <w:rPr>
                <w:sz w:val="20"/>
                <w:szCs w:val="20"/>
                <w:color w:val="auto"/>
              </w:rPr>
            </w:pPr>
            <w:r>
              <w:rPr>
                <w:rFonts w:ascii="Arial" w:cs="Arial" w:eastAsia="Arial" w:hAnsi="Arial"/>
                <w:sz w:val="20"/>
                <w:szCs w:val="20"/>
                <w:color w:val="auto"/>
              </w:rPr>
              <w:t>Term</w:t>
            </w:r>
          </w:p>
        </w:tc>
        <w:tc>
          <w:tcPr>
            <w:tcW w:w="4540" w:type="dxa"/>
            <w:vAlign w:val="bottom"/>
            <w:gridSpan w:val="3"/>
          </w:tcPr>
          <w:p>
            <w:pPr>
              <w:jc w:val="center"/>
              <w:ind w:left="3601"/>
              <w:spacing w:after="0"/>
              <w:rPr>
                <w:sz w:val="20"/>
                <w:szCs w:val="20"/>
                <w:color w:val="auto"/>
              </w:rPr>
            </w:pPr>
            <w:r>
              <w:rPr>
                <w:rFonts w:ascii="Arial" w:cs="Arial" w:eastAsia="Arial" w:hAnsi="Arial"/>
                <w:sz w:val="20"/>
                <w:szCs w:val="20"/>
                <w:color w:val="auto"/>
                <w:w w:val="93"/>
              </w:rPr>
              <w:t>Defined in</w:t>
            </w:r>
          </w:p>
        </w:tc>
        <w:tc>
          <w:tcPr>
            <w:tcW w:w="0" w:type="dxa"/>
            <w:vAlign w:val="bottom"/>
          </w:tcPr>
          <w:p>
            <w:pPr>
              <w:spacing w:after="0"/>
              <w:rPr>
                <w:sz w:val="1"/>
                <w:szCs w:val="1"/>
                <w:color w:val="auto"/>
              </w:rPr>
            </w:pPr>
          </w:p>
        </w:tc>
      </w:tr>
      <w:tr>
        <w:trPr>
          <w:trHeight w:val="203"/>
        </w:trPr>
        <w:tc>
          <w:tcPr>
            <w:tcW w:w="5480" w:type="dxa"/>
            <w:vAlign w:val="bottom"/>
            <w:gridSpan w:val="2"/>
            <w:vMerge w:val="continue"/>
          </w:tcPr>
          <w:p>
            <w:pPr>
              <w:spacing w:after="0"/>
              <w:rPr>
                <w:sz w:val="17"/>
                <w:szCs w:val="17"/>
                <w:color w:val="auto"/>
              </w:rPr>
            </w:pPr>
          </w:p>
        </w:tc>
        <w:tc>
          <w:tcPr>
            <w:tcW w:w="3820" w:type="dxa"/>
            <w:vAlign w:val="bottom"/>
          </w:tcPr>
          <w:p>
            <w:pPr>
              <w:spacing w:after="0"/>
              <w:rPr>
                <w:sz w:val="17"/>
                <w:szCs w:val="17"/>
                <w:color w:val="auto"/>
              </w:rPr>
            </w:pPr>
          </w:p>
        </w:tc>
        <w:tc>
          <w:tcPr>
            <w:tcW w:w="720" w:type="dxa"/>
            <w:vAlign w:val="bottom"/>
            <w:gridSpan w:val="2"/>
          </w:tcPr>
          <w:p>
            <w:pPr>
              <w:jc w:val="center"/>
              <w:ind w:right="120"/>
              <w:spacing w:after="0" w:line="203" w:lineRule="exact"/>
              <w:rPr>
                <w:sz w:val="20"/>
                <w:szCs w:val="20"/>
                <w:color w:val="auto"/>
              </w:rPr>
            </w:pPr>
            <w:r>
              <w:rPr>
                <w:rFonts w:ascii="Arial" w:cs="Arial" w:eastAsia="Arial" w:hAnsi="Arial"/>
                <w:sz w:val="20"/>
                <w:szCs w:val="20"/>
                <w:color w:val="auto"/>
                <w:w w:val="89"/>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48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Payment</w:t>
            </w:r>
            <w:r>
              <w:rPr>
                <w:rFonts w:ascii="Arial" w:cs="Arial" w:eastAsia="Arial" w:hAnsi="Arial"/>
                <w:sz w:val="20"/>
                <w:szCs w:val="20"/>
                <w:color w:val="auto"/>
              </w:rPr>
              <w:t>”</w:t>
            </w:r>
          </w:p>
        </w:tc>
        <w:tc>
          <w:tcPr>
            <w:tcW w:w="3820" w:type="dxa"/>
            <w:vAlign w:val="bottom"/>
          </w:tcPr>
          <w:p>
            <w:pPr>
              <w:spacing w:after="0"/>
              <w:rPr>
                <w:sz w:val="22"/>
                <w:szCs w:val="2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4.07(b)</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Purchase Date</w:t>
            </w:r>
            <w:r>
              <w:rPr>
                <w:rFonts w:ascii="Arial" w:cs="Arial" w:eastAsia="Arial" w:hAnsi="Arial"/>
                <w:sz w:val="20"/>
                <w:szCs w:val="20"/>
                <w:color w:val="auto"/>
              </w:rPr>
              <w:t>”</w:t>
            </w:r>
          </w:p>
        </w:tc>
        <w:tc>
          <w:tcPr>
            <w:tcW w:w="4420" w:type="dxa"/>
            <w:vAlign w:val="bottom"/>
            <w:gridSpan w:val="2"/>
          </w:tcPr>
          <w:p>
            <w:pPr>
              <w:jc w:val="center"/>
              <w:ind w:left="3701"/>
              <w:spacing w:after="0"/>
              <w:rPr>
                <w:sz w:val="20"/>
                <w:szCs w:val="20"/>
                <w:color w:val="auto"/>
              </w:rPr>
            </w:pPr>
            <w:r>
              <w:rPr>
                <w:rFonts w:ascii="Arial" w:cs="Arial" w:eastAsia="Arial" w:hAnsi="Arial"/>
                <w:sz w:val="20"/>
                <w:szCs w:val="20"/>
                <w:color w:val="auto"/>
                <w:w w:val="87"/>
              </w:rPr>
              <w:t>3.09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Registrar</w:t>
            </w:r>
            <w:r>
              <w:rPr>
                <w:rFonts w:ascii="Arial" w:cs="Arial" w:eastAsia="Arial" w:hAnsi="Arial"/>
                <w:sz w:val="20"/>
                <w:szCs w:val="20"/>
                <w:color w:val="auto"/>
              </w:rPr>
              <w:t>”</w:t>
            </w:r>
          </w:p>
        </w:tc>
        <w:tc>
          <w:tcPr>
            <w:tcW w:w="4420" w:type="dxa"/>
            <w:vAlign w:val="bottom"/>
            <w:gridSpan w:val="2"/>
          </w:tcPr>
          <w:p>
            <w:pPr>
              <w:jc w:val="center"/>
              <w:ind w:left="3701"/>
              <w:spacing w:after="0"/>
              <w:rPr>
                <w:sz w:val="20"/>
                <w:szCs w:val="20"/>
                <w:color w:val="auto"/>
              </w:rPr>
            </w:pPr>
            <w:r>
              <w:rPr>
                <w:rFonts w:ascii="Arial" w:cs="Arial" w:eastAsia="Arial" w:hAnsi="Arial"/>
                <w:sz w:val="20"/>
                <w:szCs w:val="20"/>
                <w:color w:val="auto"/>
                <w:w w:val="87"/>
              </w:rPr>
              <w:t>2.03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Restricted Payments</w:t>
            </w:r>
            <w:r>
              <w:rPr>
                <w:rFonts w:ascii="Arial" w:cs="Arial" w:eastAsia="Arial" w:hAnsi="Arial"/>
                <w:sz w:val="20"/>
                <w:szCs w:val="20"/>
                <w:color w:val="auto"/>
              </w:rPr>
              <w:t>”</w:t>
            </w:r>
          </w:p>
        </w:tc>
        <w:tc>
          <w:tcPr>
            <w:tcW w:w="4540" w:type="dxa"/>
            <w:vAlign w:val="bottom"/>
            <w:gridSpan w:val="3"/>
          </w:tcPr>
          <w:p>
            <w:pPr>
              <w:jc w:val="center"/>
              <w:ind w:left="3601"/>
              <w:spacing w:after="0"/>
              <w:rPr>
                <w:sz w:val="20"/>
                <w:szCs w:val="20"/>
                <w:color w:val="auto"/>
              </w:rPr>
            </w:pPr>
            <w:r>
              <w:rPr>
                <w:rFonts w:ascii="Arial" w:cs="Arial" w:eastAsia="Arial" w:hAnsi="Arial"/>
                <w:sz w:val="20"/>
                <w:szCs w:val="20"/>
                <w:color w:val="auto"/>
                <w:w w:val="91"/>
              </w:rPr>
              <w:t>4.07(a)(4)</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i w:val="1"/>
          <w:iCs w:val="1"/>
          <w:color w:val="auto"/>
        </w:rPr>
        <w:t>No Incorporation by Reference of Trust Indenture Act.</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20"/>
          <w:szCs w:val="20"/>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color w:val="auto"/>
        </w:rPr>
        <w:t>Rules of Construction.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the context otherwise requires:</w:t>
      </w:r>
    </w:p>
    <w:p>
      <w:pPr>
        <w:spacing w:after="0" w:line="189" w:lineRule="exact"/>
        <w:rPr>
          <w:sz w:val="20"/>
          <w:szCs w:val="20"/>
          <w:color w:val="auto"/>
        </w:rPr>
      </w:pPr>
    </w:p>
    <w:p>
      <w:pPr>
        <w:ind w:left="1720" w:hanging="416"/>
        <w:spacing w:after="0"/>
        <w:tabs>
          <w:tab w:leader="none" w:pos="1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term has the meaning assigned to it;</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 accounting term not otherwise defined has the meaning assigned to it in accordance with GAAP;</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“or” is not exclusive;</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words in the singular include the plural, and in the plural include the singular;</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“will” shall be interpreted to express a command;</w:t>
      </w:r>
    </w:p>
    <w:p>
      <w:pPr>
        <w:spacing w:after="0" w:line="175" w:lineRule="exact"/>
        <w:rPr>
          <w:rFonts w:ascii="Arial" w:cs="Arial" w:eastAsia="Arial" w:hAnsi="Arial"/>
          <w:sz w:val="20"/>
          <w:szCs w:val="20"/>
          <w:color w:val="auto"/>
        </w:rPr>
      </w:pPr>
    </w:p>
    <w:p>
      <w:pPr>
        <w:ind w:left="1700" w:hanging="396"/>
        <w:spacing w:after="0"/>
        <w:tabs>
          <w:tab w:leader="none" w:pos="1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provisions apply to successive events and transactions;</w:t>
      </w:r>
    </w:p>
    <w:p>
      <w:pPr>
        <w:spacing w:after="0" w:line="188" w:lineRule="exact"/>
        <w:rPr>
          <w:rFonts w:ascii="Arial" w:cs="Arial" w:eastAsia="Arial" w:hAnsi="Arial"/>
          <w:sz w:val="20"/>
          <w:szCs w:val="20"/>
          <w:color w:val="auto"/>
        </w:rPr>
      </w:pPr>
    </w:p>
    <w:p>
      <w:pPr>
        <w:ind w:right="800" w:firstLine="1304"/>
        <w:spacing w:after="0" w:line="246" w:lineRule="auto"/>
        <w:tabs>
          <w:tab w:leader="none" w:pos="1725"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references to sections of or rules under the Securities Act will be deemed to include substitute, replacement of successor sections or rules adopted by the SEC from time to time;</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“includes” or “including” shall be deemed to be followed by the words “without limitation”; and</w:t>
      </w:r>
    </w:p>
    <w:p>
      <w:pPr>
        <w:spacing w:after="0" w:line="175" w:lineRule="exact"/>
        <w:rPr>
          <w:rFonts w:ascii="Arial" w:cs="Arial" w:eastAsia="Arial" w:hAnsi="Arial"/>
          <w:sz w:val="20"/>
          <w:szCs w:val="20"/>
          <w:color w:val="auto"/>
        </w:rPr>
      </w:pPr>
    </w:p>
    <w:p>
      <w:pPr>
        <w:ind w:right="320" w:firstLine="1304"/>
        <w:spacing w:after="0" w:line="246" w:lineRule="auto"/>
        <w:tabs>
          <w:tab w:leader="none" w:pos="1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“herein,” “hereof” and other words of similar import refer to this Indenture as a whole (as amended or supplemented from time to time) and not to any particular Article, Section or other subdivision.</w:t>
      </w:r>
    </w:p>
    <w:p>
      <w:pPr>
        <w:spacing w:after="0" w:line="163"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2</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THE NOTES</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8"/>
          <w:szCs w:val="18"/>
          <w:i w:val="1"/>
          <w:iCs w:val="1"/>
          <w:color w:val="auto"/>
        </w:rPr>
        <w:t>Form and Dating.</w:t>
      </w:r>
    </w:p>
    <w:p>
      <w:pPr>
        <w:spacing w:after="0" w:line="175" w:lineRule="exact"/>
        <w:rPr>
          <w:sz w:val="20"/>
          <w:szCs w:val="20"/>
          <w:color w:val="auto"/>
        </w:rPr>
      </w:pPr>
    </w:p>
    <w:p>
      <w:pPr>
        <w:jc w:val="both"/>
        <w:ind w:firstLine="1304"/>
        <w:spacing w:after="0" w:line="275" w:lineRule="auto"/>
        <w:tabs>
          <w:tab w:leader="none" w:pos="1727"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have notations, legends or endorsements required by law, stock exchange rule or usage. Each Note will be dated the date of its authentication. The Notes shall be in minimum denominations of $2,000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terms of the Notes will include those stated in this Indenture.</w:t>
      </w:r>
    </w:p>
    <w:p>
      <w:pPr>
        <w:spacing w:after="0" w:line="189" w:lineRule="exact"/>
        <w:rPr>
          <w:sz w:val="20"/>
          <w:szCs w:val="20"/>
          <w:color w:val="auto"/>
        </w:rPr>
      </w:pPr>
    </w:p>
    <w:p>
      <w:pPr>
        <w:jc w:val="both"/>
        <w:ind w:firstLine="1304"/>
        <w:spacing w:after="0" w:line="257" w:lineRule="auto"/>
        <w:tabs>
          <w:tab w:leader="none" w:pos="176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Notes issued in global form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(including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 Legend 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 (i) in the case of an exchange, in accordance with instructions given by the Holder thereof as required by Section 2.06 or (ii) in the case of a redemption or repurchase, in accordance with Section 2.06(a).</w:t>
      </w:r>
    </w:p>
    <w:p>
      <w:pPr>
        <w:spacing w:after="0" w:line="157" w:lineRule="exact"/>
        <w:rPr>
          <w:rFonts w:ascii="Arial" w:cs="Arial" w:eastAsia="Arial" w:hAnsi="Arial"/>
          <w:sz w:val="18"/>
          <w:szCs w:val="18"/>
          <w:color w:val="auto"/>
        </w:rPr>
      </w:pPr>
    </w:p>
    <w:p>
      <w:pPr>
        <w:jc w:val="both"/>
        <w:ind w:firstLine="1304"/>
        <w:spacing w:after="0" w:line="234" w:lineRule="auto"/>
        <w:tabs>
          <w:tab w:leader="none" w:pos="1835"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 xml:space="preserve">Euroclear and Clearstream Procedures Applicable. </w:t>
      </w:r>
      <w:r>
        <w:rPr>
          <w:rFonts w:ascii="Arial" w:cs="Arial" w:eastAsia="Arial" w:hAnsi="Arial"/>
          <w:sz w:val="20"/>
          <w:szCs w:val="20"/>
          <w:color w:val="auto"/>
        </w:rPr>
        <w:t>The provisions of the “Operating Procedures of the Euroclear</w:t>
      </w:r>
      <w:r>
        <w:rPr>
          <w:rFonts w:ascii="Arial" w:cs="Arial" w:eastAsia="Arial" w:hAnsi="Arial"/>
          <w:sz w:val="20"/>
          <w:szCs w:val="20"/>
          <w:i w:val="1"/>
          <w:iCs w:val="1"/>
          <w:color w:val="auto"/>
        </w:rPr>
        <w:t xml:space="preserve"> </w:t>
      </w:r>
      <w:r>
        <w:rPr>
          <w:rFonts w:ascii="Arial" w:cs="Arial" w:eastAsia="Arial" w:hAnsi="Arial"/>
          <w:sz w:val="20"/>
          <w:szCs w:val="20"/>
          <w:color w:val="auto"/>
        </w:rPr>
        <w:t>System” 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56" w:lineRule="exact"/>
        <w:rPr>
          <w:rFonts w:ascii="Arial" w:cs="Arial" w:eastAsia="Arial" w:hAnsi="Arial"/>
          <w:sz w:val="20"/>
          <w:szCs w:val="20"/>
          <w:color w:val="auto"/>
        </w:rPr>
      </w:pPr>
    </w:p>
    <w:p>
      <w:pPr>
        <w:jc w:val="both"/>
        <w:ind w:firstLine="1304"/>
        <w:spacing w:after="0" w:line="237" w:lineRule="auto"/>
        <w:tabs>
          <w:tab w:leader="none" w:pos="1792"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Definitive Notes</w:t>
      </w:r>
      <w:r>
        <w:rPr>
          <w:rFonts w:ascii="Arial" w:cs="Arial" w:eastAsia="Arial" w:hAnsi="Arial"/>
          <w:sz w:val="20"/>
          <w:szCs w:val="20"/>
          <w:color w:val="auto"/>
        </w:rPr>
        <w:t>. Notes issued in definitive form shall be substantially in the form of</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i w:val="1"/>
          <w:iCs w:val="1"/>
          <w:color w:val="auto"/>
        </w:rPr>
        <w:t xml:space="preserve"> </w:t>
      </w:r>
      <w:r>
        <w:rPr>
          <w:rFonts w:ascii="Arial" w:cs="Arial" w:eastAsia="Arial" w:hAnsi="Arial"/>
          <w:sz w:val="20"/>
          <w:szCs w:val="20"/>
          <w:color w:val="auto"/>
        </w:rPr>
        <w:t>attached hereto (but</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the Global Note Legend thereon and without the “Schedule of Increases or Decreases of Interests in the Global Note” attached thereto).</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i w:val="1"/>
          <w:iCs w:val="1"/>
          <w:color w:val="auto"/>
        </w:rPr>
        <w:t>Execution and Authentication.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least one Officer must sign the Notes for the Issuer by manual, facsimile, electronic or electronically transmitted signature.</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an Officer whose signature is on a Note no longer holds that office at the time a Note is authenticated, the Note will nevertheless be valid.</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Note will not be valid until authenticated by the manual signature of the Trustee. The signature will be conclusive evidence that the Note has been authenticated under this Indenture.</w:t>
      </w:r>
    </w:p>
    <w:p>
      <w:pPr>
        <w:spacing w:after="0" w:line="16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The Trustee will, upon receipt of a written order of the Issuer signed by an Officer of the Issuer (an “</w:t>
      </w:r>
      <w:r>
        <w:rPr>
          <w:rFonts w:ascii="Arial" w:cs="Arial" w:eastAsia="Arial" w:hAnsi="Arial"/>
          <w:sz w:val="20"/>
          <w:szCs w:val="20"/>
          <w:i w:val="1"/>
          <w:iCs w:val="1"/>
          <w:color w:val="auto"/>
        </w:rPr>
        <w:t>Authentication Order</w:t>
      </w:r>
      <w:r>
        <w:rPr>
          <w:rFonts w:ascii="Arial" w:cs="Arial" w:eastAsia="Arial" w:hAnsi="Arial"/>
          <w:sz w:val="20"/>
          <w:szCs w:val="20"/>
          <w:color w:val="auto"/>
        </w:rPr>
        <w:t>”), authenticate Notes for original issue (i) on the Issue Date as Initial Notes in the aggregate principal amount of $600,000,000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5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Trustee shall also authenticate and deliver Notes at the times and in the manner specified in Sections 2.06, 2.07, 2.10, 3.06, 3.09, 4.15 and 9.04.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2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8"/>
          <w:szCs w:val="18"/>
          <w:i w:val="1"/>
          <w:iCs w:val="1"/>
          <w:color w:val="auto"/>
        </w:rPr>
        <w:t>Registrar and Paying Agent.</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The Issuer will maintain an office or agency where Notes may be presented for registration of transfer or for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an office or agency where Notes may be presented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w:t>
      </w:r>
    </w:p>
    <w:p>
      <w:pPr>
        <w:spacing w:after="0" w:line="18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i w:val="1"/>
          <w:iCs w:val="1"/>
          <w:color w:val="auto"/>
        </w:rPr>
        <w:t>Paying Agent to Hold Money in Trust.</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15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i w:val="1"/>
          <w:iCs w:val="1"/>
          <w:color w:val="auto"/>
        </w:rPr>
        <w:t>Holder Lists.</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175" w:lineRule="exact"/>
        <w:rPr>
          <w:sz w:val="20"/>
          <w:szCs w:val="20"/>
          <w:color w:val="auto"/>
        </w:rPr>
      </w:pPr>
    </w:p>
    <w:p>
      <w:pPr>
        <w:jc w:val="both"/>
        <w:ind w:firstLine="1304"/>
        <w:spacing w:after="0" w:line="237" w:lineRule="auto"/>
        <w:tabs>
          <w:tab w:leader="none" w:pos="1713"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Transfer and Exchange of Global Notes</w:t>
      </w:r>
      <w:r>
        <w:rPr>
          <w:rFonts w:ascii="Arial" w:cs="Arial" w:eastAsia="Arial" w:hAnsi="Arial"/>
          <w:sz w:val="20"/>
          <w:szCs w:val="20"/>
          <w:color w:val="auto"/>
        </w:rPr>
        <w:t>. A Global Note may not be transferred except as a whole by the Depositary to a</w:t>
      </w:r>
      <w:r>
        <w:rPr>
          <w:rFonts w:ascii="Arial" w:cs="Arial" w:eastAsia="Arial" w:hAnsi="Arial"/>
          <w:sz w:val="20"/>
          <w:szCs w:val="20"/>
          <w:i w:val="1"/>
          <w:iCs w:val="1"/>
          <w:color w:val="auto"/>
        </w:rPr>
        <w:t xml:space="preserve"> </w:t>
      </w:r>
      <w:r>
        <w:rPr>
          <w:rFonts w:ascii="Arial" w:cs="Arial" w:eastAsia="Arial" w:hAnsi="Arial"/>
          <w:sz w:val="20"/>
          <w:szCs w:val="20"/>
          <w:color w:val="auto"/>
        </w:rPr>
        <w:t>nominee of the Depositary, by a nominee of the Depositary to the Depositary or to another nominee of the Depositary, or by the Depositary or any such nominee to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successor Depositary or a nominee of such successor Depositary. All Global Notes will be exchanged by the Issuer for Definitive Notes if:</w:t>
      </w:r>
    </w:p>
    <w:p>
      <w:pPr>
        <w:spacing w:after="0" w:line="198" w:lineRule="exact"/>
        <w:rPr>
          <w:sz w:val="20"/>
          <w:szCs w:val="20"/>
          <w:color w:val="auto"/>
        </w:rPr>
      </w:pPr>
    </w:p>
    <w:p>
      <w:pPr>
        <w:jc w:val="both"/>
        <w:ind w:left="660" w:firstLine="1292"/>
        <w:spacing w:after="0" w:line="237" w:lineRule="auto"/>
        <w:tabs>
          <w:tab w:leader="none" w:pos="2426"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169" w:lineRule="exact"/>
        <w:rPr>
          <w:rFonts w:ascii="Arial" w:cs="Arial" w:eastAsia="Arial" w:hAnsi="Arial"/>
          <w:sz w:val="20"/>
          <w:szCs w:val="20"/>
          <w:color w:val="auto"/>
        </w:rPr>
      </w:pPr>
    </w:p>
    <w:p>
      <w:pPr>
        <w:ind w:left="660" w:right="20" w:firstLine="1292"/>
        <w:spacing w:after="0" w:line="246" w:lineRule="auto"/>
        <w:tabs>
          <w:tab w:leader="none" w:pos="240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there has occurred and is continuing an Event of Default and the Depositary notifies the Trustee of its decision to exchange such Global Note for Definitive Notes.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the occurrence of the preceding events in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41" w:lineRule="exact"/>
        <w:rPr>
          <w:sz w:val="20"/>
          <w:szCs w:val="20"/>
          <w:color w:val="auto"/>
        </w:rPr>
      </w:pPr>
    </w:p>
    <w:p>
      <w:pPr>
        <w:jc w:val="both"/>
        <w:ind w:firstLine="1304"/>
        <w:spacing w:after="0" w:line="254" w:lineRule="auto"/>
        <w:tabs>
          <w:tab w:leader="none" w:pos="173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 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59" w:lineRule="exact"/>
        <w:rPr>
          <w:rFonts w:ascii="Arial" w:cs="Arial" w:eastAsia="Arial" w:hAnsi="Arial"/>
          <w:sz w:val="18"/>
          <w:szCs w:val="18"/>
          <w:color w:val="auto"/>
        </w:rPr>
      </w:pPr>
    </w:p>
    <w:p>
      <w:pPr>
        <w:jc w:val="both"/>
        <w:ind w:left="660" w:firstLine="1292"/>
        <w:spacing w:after="0" w:line="232" w:lineRule="auto"/>
        <w:tabs>
          <w:tab w:leader="none" w:pos="2452" w:val="left"/>
        </w:tabs>
        <w:numPr>
          <w:ilvl w:val="1"/>
          <w:numId w:val="54"/>
        </w:numPr>
        <w:rPr>
          <w:rFonts w:ascii="Arial" w:cs="Arial" w:eastAsia="Arial" w:hAnsi="Arial"/>
          <w:sz w:val="20"/>
          <w:szCs w:val="20"/>
          <w:color w:val="auto"/>
        </w:rPr>
      </w:pPr>
      <w:r>
        <w:rPr>
          <w:rFonts w:ascii="Arial" w:cs="Arial" w:eastAsia="Arial" w:hAnsi="Arial"/>
          <w:sz w:val="20"/>
          <w:szCs w:val="20"/>
          <w:i w:val="1"/>
          <w:iCs w:val="1"/>
          <w:color w:val="auto"/>
        </w:rPr>
        <w:t>Transfer of Beneficial Interests in the Same Global Note</w:t>
      </w:r>
      <w:r>
        <w:rPr>
          <w:rFonts w:ascii="Arial" w:cs="Arial" w:eastAsia="Arial" w:hAnsi="Arial"/>
          <w:sz w:val="20"/>
          <w:szCs w:val="20"/>
          <w:color w:val="auto"/>
        </w:rPr>
        <w:t>. Beneficial interests in any Restricted Global Note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transferred to Persons 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any Applicable Procedures, no written orders or instructions shall be required to be delivered to the Registrar to effect the transfers described in this Section 2.06(b)(1).</w:t>
      </w:r>
    </w:p>
    <w:p>
      <w:pPr>
        <w:spacing w:after="0" w:line="150" w:lineRule="exact"/>
        <w:rPr>
          <w:sz w:val="20"/>
          <w:szCs w:val="20"/>
          <w:color w:val="auto"/>
        </w:rPr>
      </w:pPr>
    </w:p>
    <w:p>
      <w:pPr>
        <w:jc w:val="both"/>
        <w:ind w:right="20" w:firstLine="1292"/>
        <w:spacing w:after="0" w:line="237" w:lineRule="auto"/>
        <w:tabs>
          <w:tab w:leader="none" w:pos="1738"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All Other Transfers and Exchanges of Beneficial Interests in Global Notes. </w:t>
      </w:r>
      <w:r>
        <w:rPr>
          <w:rFonts w:ascii="Arial" w:cs="Arial" w:eastAsia="Arial" w:hAnsi="Arial"/>
          <w:sz w:val="20"/>
          <w:szCs w:val="20"/>
          <w:color w:val="auto"/>
        </w:rPr>
        <w:t>In connection with all transfers and</w:t>
      </w:r>
      <w:r>
        <w:rPr>
          <w:rFonts w:ascii="Arial" w:cs="Arial" w:eastAsia="Arial" w:hAnsi="Arial"/>
          <w:sz w:val="20"/>
          <w:szCs w:val="20"/>
          <w:i w:val="1"/>
          <w:iCs w:val="1"/>
          <w:color w:val="auto"/>
        </w:rPr>
        <w:t xml:space="preserve"> </w:t>
      </w:r>
      <w:r>
        <w:rPr>
          <w:rFonts w:ascii="Arial" w:cs="Arial" w:eastAsia="Arial" w:hAnsi="Arial"/>
          <w:sz w:val="20"/>
          <w:szCs w:val="20"/>
          <w:color w:val="auto"/>
        </w:rPr>
        <w:t>exchanges of beneficial interests that are not subject to Section 2.06(b)(1) above, the transferor of such beneficial interest must deliver to the Registrar either:</w:t>
      </w:r>
    </w:p>
    <w:p>
      <w:pPr>
        <w:spacing w:after="0" w:line="169" w:lineRule="exact"/>
        <w:rPr>
          <w:rFonts w:ascii="Arial" w:cs="Arial" w:eastAsia="Arial" w:hAnsi="Arial"/>
          <w:sz w:val="20"/>
          <w:szCs w:val="20"/>
          <w:color w:val="auto"/>
        </w:rPr>
      </w:pPr>
    </w:p>
    <w:p>
      <w:pPr>
        <w:ind w:left="2420" w:hanging="480"/>
        <w:spacing w:after="0"/>
        <w:tabs>
          <w:tab w:leader="none" w:pos="24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both:</w:t>
      </w:r>
    </w:p>
    <w:p>
      <w:pPr>
        <w:spacing w:after="0" w:line="188" w:lineRule="exact"/>
        <w:rPr>
          <w:rFonts w:ascii="Arial" w:cs="Arial" w:eastAsia="Arial" w:hAnsi="Arial"/>
          <w:sz w:val="20"/>
          <w:szCs w:val="20"/>
          <w:color w:val="auto"/>
        </w:rPr>
      </w:pPr>
    </w:p>
    <w:p>
      <w:pPr>
        <w:ind w:left="1300" w:right="400" w:firstLine="1288"/>
        <w:spacing w:after="0" w:line="325" w:lineRule="auto"/>
        <w:tabs>
          <w:tab w:leader="none" w:pos="2981" w:val="left"/>
        </w:tabs>
        <w:numPr>
          <w:ilvl w:val="2"/>
          <w:numId w:val="55"/>
        </w:numPr>
        <w:rPr>
          <w:rFonts w:ascii="Arial" w:cs="Arial" w:eastAsia="Arial" w:hAnsi="Arial"/>
          <w:sz w:val="16"/>
          <w:szCs w:val="16"/>
          <w:color w:val="auto"/>
        </w:rPr>
      </w:pPr>
      <w:r>
        <w:rPr>
          <w:rFonts w:ascii="Arial" w:cs="Arial" w:eastAsia="Arial" w:hAnsi="Arial"/>
          <w:sz w:val="16"/>
          <w:szCs w:val="16"/>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89" w:lineRule="exact"/>
        <w:rPr>
          <w:rFonts w:ascii="Arial" w:cs="Arial" w:eastAsia="Arial" w:hAnsi="Arial"/>
          <w:sz w:val="16"/>
          <w:szCs w:val="16"/>
          <w:color w:val="auto"/>
        </w:rPr>
      </w:pPr>
    </w:p>
    <w:p>
      <w:pPr>
        <w:ind w:left="1300" w:right="20" w:firstLine="1288"/>
        <w:spacing w:after="0" w:line="246" w:lineRule="auto"/>
        <w:tabs>
          <w:tab w:leader="none" w:pos="3214" w:val="left"/>
        </w:tabs>
        <w:numPr>
          <w:ilvl w:val="2"/>
          <w:numId w:val="55"/>
        </w:numPr>
        <w:rPr>
          <w:rFonts w:ascii="Arial" w:cs="Arial" w:eastAsia="Arial" w:hAnsi="Arial"/>
          <w:sz w:val="20"/>
          <w:szCs w:val="20"/>
          <w:color w:val="auto"/>
        </w:rPr>
      </w:pPr>
      <w:r>
        <w:rPr>
          <w:rFonts w:ascii="Arial" w:cs="Arial" w:eastAsia="Arial" w:hAnsi="Arial"/>
          <w:sz w:val="20"/>
          <w:szCs w:val="20"/>
          <w:color w:val="auto"/>
        </w:rPr>
        <w:t>instructions given in accordance with the Applicable Procedures containing information regarding the Participant account to be credited with such increase; or</w:t>
      </w:r>
    </w:p>
    <w:p>
      <w:pPr>
        <w:spacing w:after="0" w:line="163" w:lineRule="exact"/>
        <w:rPr>
          <w:rFonts w:ascii="Arial" w:cs="Arial" w:eastAsia="Arial" w:hAnsi="Arial"/>
          <w:sz w:val="20"/>
          <w:szCs w:val="20"/>
          <w:color w:val="auto"/>
        </w:rPr>
      </w:pPr>
    </w:p>
    <w:p>
      <w:pPr>
        <w:ind w:left="2400" w:hanging="460"/>
        <w:spacing w:after="0"/>
        <w:tabs>
          <w:tab w:leader="none" w:pos="24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both:</w:t>
      </w:r>
    </w:p>
    <w:p>
      <w:pPr>
        <w:spacing w:after="0" w:line="188" w:lineRule="exact"/>
        <w:rPr>
          <w:rFonts w:ascii="Arial" w:cs="Arial" w:eastAsia="Arial" w:hAnsi="Arial"/>
          <w:sz w:val="20"/>
          <w:szCs w:val="20"/>
          <w:color w:val="auto"/>
        </w:rPr>
      </w:pPr>
    </w:p>
    <w:p>
      <w:pPr>
        <w:ind w:left="1300" w:right="360" w:firstLine="1288"/>
        <w:spacing w:after="0" w:line="237" w:lineRule="auto"/>
        <w:tabs>
          <w:tab w:leader="none" w:pos="2981" w:val="left"/>
        </w:tabs>
        <w:numPr>
          <w:ilvl w:val="2"/>
          <w:numId w:val="55"/>
        </w:numPr>
        <w:rPr>
          <w:rFonts w:ascii="Arial" w:cs="Arial" w:eastAsia="Arial" w:hAnsi="Arial"/>
          <w:sz w:val="20"/>
          <w:szCs w:val="20"/>
          <w:color w:val="auto"/>
        </w:rPr>
      </w:pPr>
      <w:r>
        <w:rPr>
          <w:rFonts w:ascii="Arial" w:cs="Arial" w:eastAsia="Arial" w:hAnsi="Arial"/>
          <w:sz w:val="20"/>
          <w:szCs w:val="20"/>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55" w:lineRule="exact"/>
        <w:rPr>
          <w:rFonts w:ascii="Arial" w:cs="Arial" w:eastAsia="Arial" w:hAnsi="Arial"/>
          <w:sz w:val="20"/>
          <w:szCs w:val="20"/>
          <w:color w:val="auto"/>
        </w:rPr>
      </w:pPr>
    </w:p>
    <w:p>
      <w:pPr>
        <w:jc w:val="both"/>
        <w:ind w:left="1300" w:firstLine="1288"/>
        <w:spacing w:after="0" w:line="237" w:lineRule="auto"/>
        <w:tabs>
          <w:tab w:leader="none" w:pos="3154" w:val="left"/>
        </w:tabs>
        <w:numPr>
          <w:ilvl w:val="2"/>
          <w:numId w:val="55"/>
        </w:numPr>
        <w:rPr>
          <w:rFonts w:ascii="Arial" w:cs="Arial" w:eastAsia="Arial" w:hAnsi="Arial"/>
          <w:sz w:val="20"/>
          <w:szCs w:val="20"/>
          <w:color w:val="auto"/>
        </w:rPr>
      </w:pPr>
      <w:r>
        <w:rPr>
          <w:rFonts w:ascii="Arial" w:cs="Arial" w:eastAsia="Arial" w:hAnsi="Arial"/>
          <w:sz w:val="20"/>
          <w:szCs w:val="20"/>
          <w:color w:val="auto"/>
        </w:rPr>
        <w:t>instructions given by the Depositary to the Registrar containing information regarding the Person in whose name such Definitive Note shall be registered to effect the transfer or exchange referred to in (1) above.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Upon satisfaction of all of the requirements for transfer or exchange of beneficial interests in Global Notes contained in this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Indenture and the Notes or otherwise applicable under the Securities Act, the Trustee shall adjust the principal amount of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Global Note(s) pursuant to Section 2.06(h).</w:t>
      </w:r>
    </w:p>
    <w:p>
      <w:pPr>
        <w:spacing w:after="0" w:line="173" w:lineRule="exact"/>
        <w:rPr>
          <w:sz w:val="20"/>
          <w:szCs w:val="20"/>
          <w:color w:val="auto"/>
        </w:rPr>
      </w:pPr>
    </w:p>
    <w:p>
      <w:pPr>
        <w:jc w:val="both"/>
        <w:ind w:firstLine="1292"/>
        <w:spacing w:after="0" w:line="275" w:lineRule="auto"/>
        <w:tabs>
          <w:tab w:leader="none" w:pos="18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25" w:lineRule="exact"/>
        <w:rPr>
          <w:rFonts w:ascii="Arial" w:cs="Arial" w:eastAsia="Arial" w:hAnsi="Arial"/>
          <w:sz w:val="18"/>
          <w:szCs w:val="18"/>
          <w:color w:val="auto"/>
        </w:rPr>
      </w:pPr>
    </w:p>
    <w:p>
      <w:pPr>
        <w:ind w:left="640" w:firstLine="1300"/>
        <w:spacing w:after="0" w:line="272" w:lineRule="auto"/>
        <w:tabs>
          <w:tab w:leader="none" w:pos="2411"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if the transferee will take delivery in the form of a beneficial interest in the 144A Global Note, then the transferor must deliver a certificate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(1) thereof;</w:t>
      </w:r>
    </w:p>
    <w:p>
      <w:pPr>
        <w:spacing w:after="0" w:line="139" w:lineRule="exact"/>
        <w:rPr>
          <w:rFonts w:ascii="Arial" w:cs="Arial" w:eastAsia="Arial" w:hAnsi="Arial"/>
          <w:sz w:val="19"/>
          <w:szCs w:val="19"/>
          <w:color w:val="auto"/>
        </w:rPr>
      </w:pPr>
    </w:p>
    <w:p>
      <w:pPr>
        <w:jc w:val="both"/>
        <w:ind w:left="640" w:firstLine="1300"/>
        <w:spacing w:after="0" w:line="248" w:lineRule="auto"/>
        <w:tabs>
          <w:tab w:leader="none" w:pos="2405"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if the transferee shall take delivery in the form of a beneficial interest in the Regulation S Global Note, then the transferor shall deliver a certificate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580"/>
          </w:cols>
          <w:pgMar w:left="980" w:top="1440" w:right="339" w:bottom="1440" w:gutter="0" w:footer="0" w:header="0"/>
        </w:sectPr>
      </w:pPr>
    </w:p>
    <w:bookmarkStart w:id="51" w:name="page52"/>
    <w:bookmarkEnd w:id="51"/>
    <w:p>
      <w:pPr>
        <w:spacing w:after="0" w:line="182" w:lineRule="exact"/>
        <w:rPr>
          <w:sz w:val="20"/>
          <w:szCs w:val="20"/>
          <w:color w:val="auto"/>
        </w:rPr>
      </w:pPr>
    </w:p>
    <w:p>
      <w:pPr>
        <w:jc w:val="both"/>
        <w:ind w:left="1300" w:firstLine="1300"/>
        <w:spacing w:after="0" w:line="237" w:lineRule="auto"/>
        <w:tabs>
          <w:tab w:leader="none" w:pos="3090"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if the transferee will take delivery in the form of a beneficial interest in the IAI Global Note, then the transferor must deliver a certificate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certificates and Opinion of Counsel required by item (3)(d) thereof, if applicable.</w:t>
      </w:r>
    </w:p>
    <w:p>
      <w:pPr>
        <w:spacing w:after="0" w:line="155" w:lineRule="exact"/>
        <w:rPr>
          <w:rFonts w:ascii="Arial" w:cs="Arial" w:eastAsia="Arial" w:hAnsi="Arial"/>
          <w:sz w:val="20"/>
          <w:szCs w:val="20"/>
          <w:color w:val="auto"/>
        </w:rPr>
      </w:pPr>
    </w:p>
    <w:p>
      <w:pPr>
        <w:jc w:val="both"/>
        <w:ind w:left="660" w:firstLine="1292"/>
        <w:spacing w:after="0" w:line="267" w:lineRule="auto"/>
        <w:tabs>
          <w:tab w:leader="none" w:pos="2519"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Beneficial Interests in a Restricted Global Note for Beneficial Interests in an Unrestricted Global Note. </w:t>
      </w:r>
      <w:r>
        <w:rPr>
          <w:rFonts w:ascii="Arial" w:cs="Arial" w:eastAsia="Arial" w:hAnsi="Arial"/>
          <w:sz w:val="18"/>
          <w:szCs w:val="18"/>
          <w:color w:val="auto"/>
        </w:rPr>
        <w:t>A beneficial interest in any Restricted Global Note may be exchanged by any holder thereof for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45" w:lineRule="exact"/>
        <w:rPr>
          <w:rFonts w:ascii="Arial" w:cs="Arial" w:eastAsia="Arial" w:hAnsi="Arial"/>
          <w:sz w:val="18"/>
          <w:szCs w:val="18"/>
          <w:color w:val="auto"/>
        </w:rPr>
      </w:pPr>
    </w:p>
    <w:p>
      <w:pPr>
        <w:ind w:left="3080" w:hanging="480"/>
        <w:spacing w:after="0"/>
        <w:tabs>
          <w:tab w:leader="none" w:pos="30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3060" w:hanging="460"/>
        <w:spacing w:after="0"/>
        <w:tabs>
          <w:tab w:leader="none" w:pos="3060" w:val="left"/>
        </w:tabs>
        <w:numPr>
          <w:ilvl w:val="1"/>
          <w:numId w:val="58"/>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3060" w:hanging="460"/>
        <w:spacing w:after="0"/>
        <w:tabs>
          <w:tab w:leader="none" w:pos="3060" w:val="left"/>
        </w:tabs>
        <w:numPr>
          <w:ilvl w:val="1"/>
          <w:numId w:val="58"/>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3080" w:hanging="480"/>
        <w:spacing w:after="0"/>
        <w:tabs>
          <w:tab w:leader="none" w:pos="30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188" w:lineRule="exact"/>
        <w:rPr>
          <w:rFonts w:ascii="Arial" w:cs="Arial" w:eastAsia="Arial" w:hAnsi="Arial"/>
          <w:sz w:val="20"/>
          <w:szCs w:val="20"/>
          <w:color w:val="auto"/>
        </w:rPr>
      </w:pPr>
    </w:p>
    <w:p>
      <w:pPr>
        <w:ind w:left="1960" w:right="160" w:firstLine="1288"/>
        <w:spacing w:after="0" w:line="237" w:lineRule="auto"/>
        <w:tabs>
          <w:tab w:leader="none" w:pos="3641" w:val="left"/>
        </w:tabs>
        <w:numPr>
          <w:ilvl w:val="2"/>
          <w:numId w:val="58"/>
        </w:numPr>
        <w:rPr>
          <w:rFonts w:ascii="Arial" w:cs="Arial" w:eastAsia="Arial" w:hAnsi="Arial"/>
          <w:sz w:val="20"/>
          <w:szCs w:val="20"/>
          <w:color w:val="auto"/>
        </w:rPr>
      </w:pPr>
      <w:r>
        <w:rPr>
          <w:rFonts w:ascii="Arial" w:cs="Arial" w:eastAsia="Arial" w:hAnsi="Arial"/>
          <w:sz w:val="20"/>
          <w:szCs w:val="20"/>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(1)(a) thereof; or</w:t>
      </w:r>
    </w:p>
    <w:p>
      <w:pPr>
        <w:spacing w:after="0" w:line="155" w:lineRule="exact"/>
        <w:rPr>
          <w:rFonts w:ascii="Arial" w:cs="Arial" w:eastAsia="Arial" w:hAnsi="Arial"/>
          <w:sz w:val="20"/>
          <w:szCs w:val="20"/>
          <w:color w:val="auto"/>
        </w:rPr>
      </w:pPr>
    </w:p>
    <w:p>
      <w:pPr>
        <w:jc w:val="both"/>
        <w:ind w:left="1960" w:firstLine="1288"/>
        <w:spacing w:after="0" w:line="234" w:lineRule="auto"/>
        <w:tabs>
          <w:tab w:leader="none" w:pos="3750" w:val="left"/>
        </w:tabs>
        <w:numPr>
          <w:ilvl w:val="2"/>
          <w:numId w:val="58"/>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(4) thereof;</w:t>
      </w:r>
    </w:p>
    <w:p>
      <w:pPr>
        <w:spacing w:after="0" w:line="170" w:lineRule="exact"/>
        <w:rPr>
          <w:sz w:val="20"/>
          <w:szCs w:val="20"/>
          <w:color w:val="auto"/>
        </w:rPr>
      </w:pPr>
    </w:p>
    <w:p>
      <w:pPr>
        <w:jc w:val="both"/>
        <w:ind w:left="1300"/>
        <w:spacing w:after="0" w:line="248"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Beneficial interests in an Unrestricted Global Note cannot be exchanged for, or transferred to Persons who take delivery thereof in the form of, a beneficial interest in a Restricted Global Note.</w:t>
      </w:r>
    </w:p>
    <w:p>
      <w:pPr>
        <w:spacing w:after="0" w:line="163" w:lineRule="exact"/>
        <w:rPr>
          <w:sz w:val="20"/>
          <w:szCs w:val="20"/>
          <w:color w:val="auto"/>
        </w:rPr>
      </w:pPr>
    </w:p>
    <w:p>
      <w:pPr>
        <w:ind w:left="1720" w:hanging="416"/>
        <w:spacing w:after="0"/>
        <w:tabs>
          <w:tab w:leader="none" w:pos="1720" w:val="left"/>
        </w:tabs>
        <w:numPr>
          <w:ilvl w:val="0"/>
          <w:numId w:val="59"/>
        </w:numPr>
        <w:rPr>
          <w:rFonts w:ascii="Arial" w:cs="Arial" w:eastAsia="Arial" w:hAnsi="Arial"/>
          <w:sz w:val="20"/>
          <w:szCs w:val="20"/>
          <w:color w:val="auto"/>
        </w:rPr>
      </w:pPr>
      <w:r>
        <w:rPr>
          <w:rFonts w:ascii="Arial" w:cs="Arial" w:eastAsia="Arial" w:hAnsi="Arial"/>
          <w:sz w:val="20"/>
          <w:szCs w:val="20"/>
          <w:i w:val="1"/>
          <w:iCs w:val="1"/>
          <w:color w:val="auto"/>
        </w:rPr>
        <w:t>Transfer or Exchange of Beneficial Interests for Definitive Notes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60" w:firstLine="1292"/>
        <w:spacing w:after="0" w:line="246" w:lineRule="auto"/>
        <w:tabs>
          <w:tab w:leader="none" w:pos="2479" w:val="left"/>
        </w:tabs>
        <w:numPr>
          <w:ilvl w:val="1"/>
          <w:numId w:val="59"/>
        </w:numPr>
        <w:rPr>
          <w:rFonts w:ascii="Arial" w:cs="Arial" w:eastAsia="Arial" w:hAnsi="Arial"/>
          <w:sz w:val="20"/>
          <w:szCs w:val="20"/>
          <w:color w:val="auto"/>
        </w:rPr>
      </w:pPr>
      <w:r>
        <w:rPr>
          <w:rFonts w:ascii="Arial" w:cs="Arial" w:eastAsia="Arial" w:hAnsi="Arial"/>
          <w:sz w:val="20"/>
          <w:szCs w:val="20"/>
          <w:i w:val="1"/>
          <w:iCs w:val="1"/>
          <w:color w:val="auto"/>
        </w:rPr>
        <w:t xml:space="preserve">Beneficial Interests in Restricted Global Notes to Restricted Definitive Notes. </w:t>
      </w:r>
      <w:r>
        <w:rPr>
          <w:rFonts w:ascii="Arial" w:cs="Arial" w:eastAsia="Arial" w:hAnsi="Arial"/>
          <w:sz w:val="20"/>
          <w:szCs w:val="20"/>
          <w:color w:val="auto"/>
        </w:rPr>
        <w:t>If any holder of a beneficial</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in a Restricted Global Note proposes to exchange such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50" w:lineRule="exact"/>
        <w:rPr>
          <w:sz w:val="20"/>
          <w:szCs w:val="20"/>
          <w:color w:val="auto"/>
        </w:rPr>
      </w:pPr>
    </w:p>
    <w:p>
      <w:pPr>
        <w:jc w:val="both"/>
        <w:ind w:left="640" w:firstLine="1300"/>
        <w:spacing w:after="0" w:line="237" w:lineRule="auto"/>
        <w:tabs>
          <w:tab w:leader="none" w:pos="25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(2)(a) thereof;</w:t>
      </w:r>
    </w:p>
    <w:p>
      <w:pPr>
        <w:spacing w:after="0" w:line="169" w:lineRule="exact"/>
        <w:rPr>
          <w:rFonts w:ascii="Arial" w:cs="Arial" w:eastAsia="Arial" w:hAnsi="Arial"/>
          <w:sz w:val="20"/>
          <w:szCs w:val="20"/>
          <w:color w:val="auto"/>
        </w:rPr>
      </w:pPr>
    </w:p>
    <w:p>
      <w:pPr>
        <w:ind w:left="640" w:firstLine="1300"/>
        <w:spacing w:after="0" w:line="246" w:lineRule="auto"/>
        <w:tabs>
          <w:tab w:leader="none" w:pos="24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 QIB in accordance with Rule 144A,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(1) thereof;</w:t>
      </w:r>
    </w:p>
    <w:p>
      <w:pPr>
        <w:spacing w:after="0" w:line="163" w:lineRule="exact"/>
        <w:rPr>
          <w:rFonts w:ascii="Arial" w:cs="Arial" w:eastAsia="Arial" w:hAnsi="Arial"/>
          <w:sz w:val="20"/>
          <w:szCs w:val="20"/>
          <w:color w:val="auto"/>
        </w:rPr>
      </w:pPr>
    </w:p>
    <w:p>
      <w:pPr>
        <w:jc w:val="both"/>
        <w:ind w:left="640" w:firstLine="1300"/>
        <w:spacing w:after="0" w:line="237" w:lineRule="auto"/>
        <w:tabs>
          <w:tab w:leader="none" w:pos="25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 Non-U.S. Person in an offshore transaction (as defined in Section 902(h) of Regulation S) in accordance with Rule 903 or Rule 904,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(2) thereof;</w:t>
      </w:r>
    </w:p>
    <w:p>
      <w:pPr>
        <w:spacing w:after="0" w:line="155" w:lineRule="exact"/>
        <w:rPr>
          <w:rFonts w:ascii="Arial" w:cs="Arial" w:eastAsia="Arial" w:hAnsi="Arial"/>
          <w:sz w:val="20"/>
          <w:szCs w:val="20"/>
          <w:color w:val="auto"/>
        </w:rPr>
      </w:pPr>
    </w:p>
    <w:p>
      <w:pPr>
        <w:jc w:val="both"/>
        <w:ind w:left="640" w:firstLine="1300"/>
        <w:spacing w:after="0" w:line="237" w:lineRule="auto"/>
        <w:tabs>
          <w:tab w:leader="none" w:pos="2517"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(3)(a) thereof;</w:t>
      </w:r>
    </w:p>
    <w:p>
      <w:pPr>
        <w:spacing w:after="0" w:line="169" w:lineRule="exact"/>
        <w:rPr>
          <w:rFonts w:ascii="Arial" w:cs="Arial" w:eastAsia="Arial" w:hAnsi="Arial"/>
          <w:sz w:val="20"/>
          <w:szCs w:val="20"/>
          <w:color w:val="auto"/>
        </w:rPr>
      </w:pPr>
    </w:p>
    <w:p>
      <w:pPr>
        <w:jc w:val="both"/>
        <w:ind w:left="640" w:firstLine="1300"/>
        <w:spacing w:after="0" w:line="234" w:lineRule="auto"/>
        <w:tabs>
          <w:tab w:leader="none" w:pos="2426"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certificates and Opinion of Counsel required by item (3)(d) thereof, if applicable;</w:t>
      </w:r>
    </w:p>
    <w:p>
      <w:pPr>
        <w:spacing w:after="0" w:line="169" w:lineRule="exact"/>
        <w:rPr>
          <w:rFonts w:ascii="Arial" w:cs="Arial" w:eastAsia="Arial" w:hAnsi="Arial"/>
          <w:sz w:val="20"/>
          <w:szCs w:val="20"/>
          <w:color w:val="auto"/>
        </w:rPr>
      </w:pPr>
    </w:p>
    <w:p>
      <w:pPr>
        <w:ind w:left="640" w:firstLine="1300"/>
        <w:spacing w:after="0" w:line="246" w:lineRule="auto"/>
        <w:tabs>
          <w:tab w:leader="none" w:pos="2388"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the Issuer or any of its Subsidiaries,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(3)(b) thereof; or</w:t>
      </w:r>
    </w:p>
    <w:p>
      <w:pPr>
        <w:spacing w:after="0" w:line="149" w:lineRule="exact"/>
        <w:rPr>
          <w:rFonts w:ascii="Arial" w:cs="Arial" w:eastAsia="Arial" w:hAnsi="Arial"/>
          <w:sz w:val="20"/>
          <w:szCs w:val="20"/>
          <w:color w:val="auto"/>
        </w:rPr>
      </w:pPr>
    </w:p>
    <w:p>
      <w:pPr>
        <w:ind w:left="640" w:firstLine="1300"/>
        <w:spacing w:after="0" w:line="300" w:lineRule="auto"/>
        <w:tabs>
          <w:tab w:leader="none" w:pos="24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57" w:lineRule="exact"/>
        <w:rPr>
          <w:sz w:val="20"/>
          <w:szCs w:val="20"/>
          <w:color w:val="auto"/>
        </w:rPr>
      </w:pPr>
    </w:p>
    <w:p>
      <w:pPr>
        <w:ind w:firstLine="1292"/>
        <w:spacing w:after="0" w:line="246" w:lineRule="auto"/>
        <w:tabs>
          <w:tab w:leader="none" w:pos="1859"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 xml:space="preserve">Beneficial Interests in Restricted Global Notes to Unrestricted Definitive Notes. </w:t>
      </w:r>
      <w:r>
        <w:rPr>
          <w:rFonts w:ascii="Arial" w:cs="Arial" w:eastAsia="Arial" w:hAnsi="Arial"/>
          <w:sz w:val="20"/>
          <w:szCs w:val="20"/>
          <w:color w:val="auto"/>
        </w:rPr>
        <w:t>A holder of a beneficial</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in a Restricted Global Note may exchange such beneficial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580"/>
          </w:cols>
          <w:pgMar w:left="980" w:top="1440" w:right="339" w:bottom="1440" w:gutter="0" w:footer="0" w:header="0"/>
        </w:sectPr>
      </w:pPr>
    </w:p>
    <w:bookmarkStart w:id="53" w:name="page54"/>
    <w:bookmarkEnd w:id="53"/>
    <w:p>
      <w:pPr>
        <w:spacing w:after="0" w:line="182" w:lineRule="exact"/>
        <w:rPr>
          <w:sz w:val="20"/>
          <w:szCs w:val="20"/>
          <w:color w:val="auto"/>
        </w:rPr>
      </w:pPr>
    </w:p>
    <w:p>
      <w:pPr>
        <w:ind w:left="4"/>
        <w:spacing w:after="0" w:line="246" w:lineRule="auto"/>
        <w:rPr>
          <w:sz w:val="20"/>
          <w:szCs w:val="20"/>
          <w:color w:val="auto"/>
        </w:rPr>
      </w:pPr>
      <w:r>
        <w:rPr>
          <w:rFonts w:ascii="Arial" w:cs="Arial" w:eastAsia="Arial" w:hAnsi="Arial"/>
          <w:sz w:val="20"/>
          <w:szCs w:val="20"/>
          <w:color w:val="auto"/>
        </w:rPr>
        <w:t>interest for an Unrestricted Definitive Note or may transfer such beneficial interest to a Person who takes delivery thereof in the form of an Unrestricted Definitive Note only if:</w:t>
      </w:r>
    </w:p>
    <w:p>
      <w:pPr>
        <w:spacing w:after="0" w:line="150" w:lineRule="exact"/>
        <w:rPr>
          <w:sz w:val="20"/>
          <w:szCs w:val="20"/>
          <w:color w:val="auto"/>
        </w:rPr>
      </w:pPr>
    </w:p>
    <w:p>
      <w:pPr>
        <w:ind w:left="2424" w:hanging="480"/>
        <w:spacing w:after="0"/>
        <w:tabs>
          <w:tab w:leader="none" w:pos="24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404" w:hanging="460"/>
        <w:spacing w:after="0"/>
        <w:tabs>
          <w:tab w:leader="none" w:pos="2404"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404" w:hanging="460"/>
        <w:spacing w:after="0"/>
        <w:tabs>
          <w:tab w:leader="none" w:pos="2404"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2424" w:hanging="480"/>
        <w:spacing w:after="0"/>
        <w:tabs>
          <w:tab w:leader="none" w:pos="24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188" w:lineRule="exact"/>
        <w:rPr>
          <w:rFonts w:ascii="Arial" w:cs="Arial" w:eastAsia="Arial" w:hAnsi="Arial"/>
          <w:sz w:val="20"/>
          <w:szCs w:val="20"/>
          <w:color w:val="auto"/>
        </w:rPr>
      </w:pPr>
    </w:p>
    <w:p>
      <w:pPr>
        <w:ind w:left="1304" w:right="60" w:firstLine="1288"/>
        <w:spacing w:after="0" w:line="237" w:lineRule="auto"/>
        <w:tabs>
          <w:tab w:leader="none" w:pos="2985" w:val="left"/>
        </w:tabs>
        <w:numPr>
          <w:ilvl w:val="1"/>
          <w:numId w:val="62"/>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(1)(b) thereof; or</w:t>
      </w:r>
    </w:p>
    <w:p>
      <w:pPr>
        <w:spacing w:after="0" w:line="169" w:lineRule="exact"/>
        <w:rPr>
          <w:rFonts w:ascii="Arial" w:cs="Arial" w:eastAsia="Arial" w:hAnsi="Arial"/>
          <w:sz w:val="20"/>
          <w:szCs w:val="20"/>
          <w:color w:val="auto"/>
        </w:rPr>
      </w:pPr>
    </w:p>
    <w:p>
      <w:pPr>
        <w:jc w:val="both"/>
        <w:ind w:left="1304" w:firstLine="1288"/>
        <w:spacing w:after="0" w:line="275" w:lineRule="auto"/>
        <w:tabs>
          <w:tab w:leader="none" w:pos="30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25" w:lineRule="exact"/>
        <w:rPr>
          <w:sz w:val="20"/>
          <w:szCs w:val="20"/>
          <w:color w:val="auto"/>
        </w:rPr>
      </w:pPr>
    </w:p>
    <w:p>
      <w:pPr>
        <w:jc w:val="both"/>
        <w:ind w:left="644"/>
        <w:spacing w:after="0" w:line="248"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3" w:lineRule="exact"/>
        <w:rPr>
          <w:sz w:val="20"/>
          <w:szCs w:val="20"/>
          <w:color w:val="auto"/>
        </w:rPr>
      </w:pPr>
    </w:p>
    <w:p>
      <w:pPr>
        <w:jc w:val="both"/>
        <w:ind w:left="4" w:firstLine="1292"/>
        <w:spacing w:after="0" w:line="289" w:lineRule="auto"/>
        <w:tabs>
          <w:tab w:leader="none" w:pos="1728" w:val="left"/>
        </w:tabs>
        <w:numPr>
          <w:ilvl w:val="2"/>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Subject to Section 2.06(a), if</w:t>
      </w:r>
      <w:r>
        <w:rPr>
          <w:rFonts w:ascii="Arial" w:cs="Arial" w:eastAsia="Arial" w:hAnsi="Arial"/>
          <w:sz w:val="16"/>
          <w:szCs w:val="16"/>
          <w:i w:val="1"/>
          <w:iCs w:val="1"/>
          <w:color w:val="auto"/>
        </w:rPr>
        <w:t xml:space="preserve"> </w:t>
      </w:r>
      <w:r>
        <w:rPr>
          <w:rFonts w:ascii="Arial" w:cs="Arial" w:eastAsia="Arial" w:hAnsi="Arial"/>
          <w:sz w:val="16"/>
          <w:szCs w:val="16"/>
          <w:color w:val="auto"/>
        </w:rPr>
        <w:t>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w:t>
      </w:r>
    </w:p>
    <w:p>
      <w:pPr>
        <w:spacing w:after="0" w:line="182" w:lineRule="exact"/>
        <w:rPr>
          <w:rFonts w:ascii="Arial" w:cs="Arial" w:eastAsia="Arial" w:hAnsi="Arial"/>
          <w:sz w:val="16"/>
          <w:szCs w:val="16"/>
          <w:color w:val="auto"/>
        </w:rPr>
      </w:pPr>
    </w:p>
    <w:p>
      <w:pPr>
        <w:ind w:left="284" w:hanging="284"/>
        <w:spacing w:after="0"/>
        <w:tabs>
          <w:tab w:leader="none" w:pos="284" w:val="left"/>
        </w:tabs>
        <w:numPr>
          <w:ilvl w:val="0"/>
          <w:numId w:val="64"/>
        </w:numPr>
        <w:rPr>
          <w:rFonts w:ascii="Arial" w:cs="Arial" w:eastAsia="Arial" w:hAnsi="Arial"/>
          <w:sz w:val="20"/>
          <w:szCs w:val="20"/>
          <w:color w:val="auto"/>
        </w:rPr>
      </w:pPr>
      <w:r>
        <w:rPr>
          <w:rFonts w:ascii="Arial" w:cs="Arial" w:eastAsia="Arial" w:hAnsi="Arial"/>
          <w:sz w:val="20"/>
          <w:szCs w:val="20"/>
          <w:color w:val="auto"/>
        </w:rPr>
        <w:t>will not bear the Private Placement Legend.</w:t>
      </w:r>
    </w:p>
    <w:p>
      <w:pPr>
        <w:spacing w:after="0" w:line="172" w:lineRule="exact"/>
        <w:rPr>
          <w:rFonts w:ascii="Arial" w:cs="Arial" w:eastAsia="Arial" w:hAnsi="Arial"/>
          <w:sz w:val="20"/>
          <w:szCs w:val="20"/>
          <w:color w:val="auto"/>
        </w:rPr>
      </w:pPr>
    </w:p>
    <w:p>
      <w:pPr>
        <w:ind w:left="1084" w:hanging="436"/>
        <w:spacing w:after="0"/>
        <w:tabs>
          <w:tab w:leader="none" w:pos="1084" w:val="left"/>
        </w:tabs>
        <w:numPr>
          <w:ilvl w:val="1"/>
          <w:numId w:val="64"/>
        </w:numPr>
        <w:rPr>
          <w:rFonts w:ascii="Arial" w:cs="Arial" w:eastAsia="Arial" w:hAnsi="Arial"/>
          <w:sz w:val="20"/>
          <w:szCs w:val="20"/>
          <w:color w:val="auto"/>
        </w:rPr>
      </w:pPr>
      <w:r>
        <w:rPr>
          <w:rFonts w:ascii="Arial" w:cs="Arial" w:eastAsia="Arial" w:hAnsi="Arial"/>
          <w:sz w:val="20"/>
          <w:szCs w:val="20"/>
          <w:i w:val="1"/>
          <w:iCs w:val="1"/>
          <w:color w:val="auto"/>
        </w:rPr>
        <w:t>Transfer and Exchange of Definitive Notes for Beneficial Interests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4" w:firstLine="1292"/>
        <w:spacing w:after="0" w:line="237" w:lineRule="auto"/>
        <w:tabs>
          <w:tab w:leader="none" w:pos="1809" w:val="left"/>
        </w:tabs>
        <w:numPr>
          <w:ilvl w:val="2"/>
          <w:numId w:val="64"/>
        </w:numPr>
        <w:rPr>
          <w:rFonts w:ascii="Arial" w:cs="Arial" w:eastAsia="Arial" w:hAnsi="Arial"/>
          <w:sz w:val="20"/>
          <w:szCs w:val="20"/>
          <w:color w:val="auto"/>
        </w:rPr>
      </w:pPr>
      <w:r>
        <w:rPr>
          <w:rFonts w:ascii="Arial" w:cs="Arial" w:eastAsia="Arial" w:hAnsi="Arial"/>
          <w:sz w:val="20"/>
          <w:szCs w:val="20"/>
          <w:i w:val="1"/>
          <w:iCs w:val="1"/>
          <w:color w:val="auto"/>
        </w:rPr>
        <w:t xml:space="preserve">Restricted Definitive Notes to Beneficial Interests in Restricted Global Notes. </w:t>
      </w:r>
      <w:r>
        <w:rPr>
          <w:rFonts w:ascii="Arial" w:cs="Arial" w:eastAsia="Arial" w:hAnsi="Arial"/>
          <w:sz w:val="20"/>
          <w:szCs w:val="20"/>
          <w:color w:val="auto"/>
        </w:rPr>
        <w:t>If any Holder of a Restricted</w:t>
      </w:r>
      <w:r>
        <w:rPr>
          <w:rFonts w:ascii="Arial" w:cs="Arial" w:eastAsia="Arial" w:hAnsi="Arial"/>
          <w:sz w:val="20"/>
          <w:szCs w:val="20"/>
          <w:i w:val="1"/>
          <w:iCs w:val="1"/>
          <w:color w:val="auto"/>
        </w:rPr>
        <w:t xml:space="preserve"> </w:t>
      </w:r>
      <w:r>
        <w:rPr>
          <w:rFonts w:ascii="Arial" w:cs="Arial" w:eastAsia="Arial" w:hAnsi="Arial"/>
          <w:sz w:val="20"/>
          <w:szCs w:val="20"/>
          <w:color w:val="auto"/>
        </w:rPr>
        <w:t>Definitive Note proposes to exchange such Note for a beneficial interest in a Restricted Global Note or to transfer such Restricted Definitive Notes to a Person who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584"/>
          </w:cols>
          <w:pgMar w:left="976" w:top="1440" w:right="339" w:bottom="1440" w:gutter="0" w:footer="0" w:header="0"/>
        </w:sectPr>
      </w:pPr>
    </w:p>
    <w:bookmarkStart w:id="54" w:name="page55"/>
    <w:bookmarkEnd w:id="54"/>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takes delivery thereof in the form of a beneficial interest in a Restricted Global Note, then, upon receipt by the Registrar of the following documentation:</w:t>
      </w:r>
    </w:p>
    <w:p>
      <w:pPr>
        <w:spacing w:after="0" w:line="150" w:lineRule="exact"/>
        <w:rPr>
          <w:sz w:val="20"/>
          <w:szCs w:val="20"/>
          <w:color w:val="auto"/>
        </w:rPr>
      </w:pPr>
    </w:p>
    <w:p>
      <w:pPr>
        <w:jc w:val="both"/>
        <w:ind w:left="640" w:firstLine="1300"/>
        <w:spacing w:after="0" w:line="237" w:lineRule="auto"/>
        <w:tabs>
          <w:tab w:leader="none" w:pos="2522"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(2)(b) thereof;</w:t>
      </w:r>
    </w:p>
    <w:p>
      <w:pPr>
        <w:spacing w:after="0" w:line="169" w:lineRule="exact"/>
        <w:rPr>
          <w:rFonts w:ascii="Arial" w:cs="Arial" w:eastAsia="Arial" w:hAnsi="Arial"/>
          <w:sz w:val="20"/>
          <w:szCs w:val="20"/>
          <w:color w:val="auto"/>
        </w:rPr>
      </w:pPr>
    </w:p>
    <w:p>
      <w:pPr>
        <w:ind w:left="640" w:firstLine="1300"/>
        <w:spacing w:after="0" w:line="246" w:lineRule="auto"/>
        <w:tabs>
          <w:tab w:leader="none" w:pos="2508"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to a QIB in accordance with Rule 144A,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(1) thereof;</w:t>
      </w:r>
    </w:p>
    <w:p>
      <w:pPr>
        <w:spacing w:after="0" w:line="163" w:lineRule="exact"/>
        <w:rPr>
          <w:rFonts w:ascii="Arial" w:cs="Arial" w:eastAsia="Arial" w:hAnsi="Arial"/>
          <w:sz w:val="20"/>
          <w:szCs w:val="20"/>
          <w:color w:val="auto"/>
        </w:rPr>
      </w:pPr>
    </w:p>
    <w:p>
      <w:pPr>
        <w:jc w:val="both"/>
        <w:ind w:left="640" w:right="20" w:firstLine="1300"/>
        <w:spacing w:after="0" w:line="237" w:lineRule="auto"/>
        <w:tabs>
          <w:tab w:leader="none" w:pos="2423"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(2) thereof;</w:t>
      </w:r>
    </w:p>
    <w:p>
      <w:pPr>
        <w:spacing w:after="0" w:line="155" w:lineRule="exact"/>
        <w:rPr>
          <w:rFonts w:ascii="Arial" w:cs="Arial" w:eastAsia="Arial" w:hAnsi="Arial"/>
          <w:sz w:val="20"/>
          <w:szCs w:val="20"/>
          <w:color w:val="auto"/>
        </w:rPr>
      </w:pPr>
    </w:p>
    <w:p>
      <w:pPr>
        <w:jc w:val="both"/>
        <w:ind w:left="640" w:firstLine="1300"/>
        <w:spacing w:after="0" w:line="237" w:lineRule="auto"/>
        <w:tabs>
          <w:tab w:leader="none" w:pos="25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pursuant to another exemption from the registration requirements of the Securities Act other than in accordance with Rule 144,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(3)(a) thereof;</w:t>
      </w:r>
    </w:p>
    <w:p>
      <w:pPr>
        <w:spacing w:after="0" w:line="169" w:lineRule="exact"/>
        <w:rPr>
          <w:rFonts w:ascii="Arial" w:cs="Arial" w:eastAsia="Arial" w:hAnsi="Arial"/>
          <w:sz w:val="20"/>
          <w:szCs w:val="20"/>
          <w:color w:val="auto"/>
        </w:rPr>
      </w:pPr>
    </w:p>
    <w:p>
      <w:pPr>
        <w:jc w:val="both"/>
        <w:ind w:left="640" w:firstLine="1300"/>
        <w:spacing w:after="0" w:line="292" w:lineRule="auto"/>
        <w:tabs>
          <w:tab w:leader="none" w:pos="2386"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an Institutional Accredited Investor in reliance on an exemption from the registration requirements of the Securities Act other than those listed in subparagraphs (B) through</w:t>
      </w:r>
    </w:p>
    <w:p>
      <w:pPr>
        <w:ind w:left="640" w:firstLine="4"/>
        <w:spacing w:after="0" w:line="234" w:lineRule="auto"/>
        <w:tabs>
          <w:tab w:leader="none" w:pos="986"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above,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certificates and Opinion of Counsel required by item (3)(d) thereof, if applicable;</w:t>
      </w:r>
    </w:p>
    <w:p>
      <w:pPr>
        <w:spacing w:after="0" w:line="170" w:lineRule="exact"/>
        <w:rPr>
          <w:rFonts w:ascii="Arial" w:cs="Arial" w:eastAsia="Arial" w:hAnsi="Arial"/>
          <w:sz w:val="20"/>
          <w:szCs w:val="20"/>
          <w:color w:val="auto"/>
        </w:rPr>
      </w:pPr>
    </w:p>
    <w:p>
      <w:pPr>
        <w:ind w:left="640" w:firstLine="1300"/>
        <w:spacing w:after="0" w:line="272" w:lineRule="auto"/>
        <w:tabs>
          <w:tab w:leader="none" w:pos="2521"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the Issuer or any of its Subsidiaries,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(3)(b) thereof; or</w:t>
      </w:r>
    </w:p>
    <w:p>
      <w:pPr>
        <w:spacing w:after="0" w:line="125" w:lineRule="exact"/>
        <w:rPr>
          <w:rFonts w:ascii="Arial" w:cs="Arial" w:eastAsia="Arial" w:hAnsi="Arial"/>
          <w:sz w:val="19"/>
          <w:szCs w:val="19"/>
          <w:color w:val="auto"/>
        </w:rPr>
      </w:pPr>
    </w:p>
    <w:p>
      <w:pPr>
        <w:jc w:val="both"/>
        <w:ind w:left="640" w:firstLine="1300"/>
        <w:spacing w:after="0" w:line="237" w:lineRule="auto"/>
        <w:tabs>
          <w:tab w:leader="none" w:pos="2466"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pursuant to an effective registration statement under the Securities Act, a certificate to the effect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(3)(c) thereof,</w:t>
      </w:r>
    </w:p>
    <w:p>
      <w:pPr>
        <w:spacing w:after="0" w:line="169" w:lineRule="exact"/>
        <w:rPr>
          <w:sz w:val="20"/>
          <w:szCs w:val="20"/>
          <w:color w:val="auto"/>
        </w:rPr>
      </w:pPr>
    </w:p>
    <w:p>
      <w:pPr>
        <w:jc w:val="both"/>
        <w:ind w:left="640"/>
        <w:spacing w:after="0" w:line="275"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39" w:lineRule="exact"/>
        <w:rPr>
          <w:sz w:val="20"/>
          <w:szCs w:val="20"/>
          <w:color w:val="auto"/>
        </w:rPr>
      </w:pPr>
    </w:p>
    <w:p>
      <w:pPr>
        <w:jc w:val="both"/>
        <w:ind w:firstLine="1292"/>
        <w:spacing w:after="0" w:line="254" w:lineRule="auto"/>
        <w:tabs>
          <w:tab w:leader="none" w:pos="1846"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Unrestricted Global Notes. </w:t>
      </w:r>
      <w:r>
        <w:rPr>
          <w:rFonts w:ascii="Arial" w:cs="Arial" w:eastAsia="Arial" w:hAnsi="Arial"/>
          <w:sz w:val="19"/>
          <w:szCs w:val="19"/>
          <w:color w:val="auto"/>
        </w:rPr>
        <w:t>A Holder of a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43" w:lineRule="exact"/>
        <w:rPr>
          <w:rFonts w:ascii="Arial" w:cs="Arial" w:eastAsia="Arial" w:hAnsi="Arial"/>
          <w:sz w:val="19"/>
          <w:szCs w:val="19"/>
          <w:color w:val="auto"/>
        </w:rPr>
      </w:pPr>
    </w:p>
    <w:p>
      <w:pPr>
        <w:ind w:left="2420" w:hanging="480"/>
        <w:spacing w:after="0"/>
        <w:tabs>
          <w:tab w:leader="none" w:pos="24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400" w:hanging="460"/>
        <w:spacing w:after="0"/>
        <w:tabs>
          <w:tab w:leader="none" w:pos="24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400" w:hanging="460"/>
        <w:spacing w:after="0"/>
        <w:tabs>
          <w:tab w:leader="none" w:pos="24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580"/>
          </w:cols>
          <w:pgMar w:left="980" w:top="1440" w:right="339" w:bottom="1440" w:gutter="0" w:footer="0" w:header="0"/>
        </w:sectPr>
      </w:pPr>
    </w:p>
    <w:bookmarkStart w:id="55" w:name="page56"/>
    <w:bookmarkEnd w:id="55"/>
    <w:p>
      <w:pPr>
        <w:spacing w:after="0" w:line="182" w:lineRule="exact"/>
        <w:rPr>
          <w:sz w:val="20"/>
          <w:szCs w:val="20"/>
          <w:color w:val="auto"/>
        </w:rPr>
      </w:pPr>
    </w:p>
    <w:p>
      <w:pPr>
        <w:ind w:left="3080" w:hanging="480"/>
        <w:spacing w:after="0"/>
        <w:tabs>
          <w:tab w:leader="none" w:pos="30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175" w:lineRule="exact"/>
        <w:rPr>
          <w:rFonts w:ascii="Arial" w:cs="Arial" w:eastAsia="Arial" w:hAnsi="Arial"/>
          <w:sz w:val="20"/>
          <w:szCs w:val="20"/>
          <w:color w:val="auto"/>
        </w:rPr>
      </w:pPr>
    </w:p>
    <w:p>
      <w:pPr>
        <w:ind w:left="1960" w:right="60" w:firstLine="1288"/>
        <w:spacing w:after="0" w:line="237" w:lineRule="auto"/>
        <w:tabs>
          <w:tab w:leader="none" w:pos="364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(1)(c) thereof; or</w:t>
      </w:r>
    </w:p>
    <w:p>
      <w:pPr>
        <w:spacing w:after="0" w:line="169" w:lineRule="exact"/>
        <w:rPr>
          <w:rFonts w:ascii="Arial" w:cs="Arial" w:eastAsia="Arial" w:hAnsi="Arial"/>
          <w:sz w:val="20"/>
          <w:szCs w:val="20"/>
          <w:color w:val="auto"/>
        </w:rPr>
      </w:pPr>
    </w:p>
    <w:p>
      <w:pPr>
        <w:jc w:val="both"/>
        <w:ind w:left="1960" w:firstLine="1288"/>
        <w:spacing w:after="0" w:line="237" w:lineRule="auto"/>
        <w:tabs>
          <w:tab w:leader="none" w:pos="3750"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(4) thereof;</w:t>
      </w:r>
    </w:p>
    <w:p>
      <w:pPr>
        <w:spacing w:after="0" w:line="169" w:lineRule="exact"/>
        <w:rPr>
          <w:sz w:val="20"/>
          <w:szCs w:val="20"/>
          <w:color w:val="auto"/>
        </w:rPr>
      </w:pPr>
    </w:p>
    <w:p>
      <w:pPr>
        <w:jc w:val="both"/>
        <w:ind w:left="1300"/>
        <w:spacing w:after="0" w:line="248"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0" w:lineRule="exact"/>
        <w:rPr>
          <w:sz w:val="20"/>
          <w:szCs w:val="20"/>
          <w:color w:val="auto"/>
        </w:rPr>
      </w:pPr>
    </w:p>
    <w:p>
      <w:pPr>
        <w:ind w:left="660" w:right="20" w:firstLine="648"/>
        <w:spacing w:after="0" w:line="272" w:lineRule="auto"/>
        <w:rPr>
          <w:sz w:val="20"/>
          <w:szCs w:val="20"/>
          <w:color w:val="auto"/>
        </w:rPr>
      </w:pPr>
      <w:r>
        <w:rPr>
          <w:rFonts w:ascii="Arial" w:cs="Arial" w:eastAsia="Arial" w:hAnsi="Arial"/>
          <w:sz w:val="19"/>
          <w:szCs w:val="19"/>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39" w:lineRule="exact"/>
        <w:rPr>
          <w:sz w:val="20"/>
          <w:szCs w:val="20"/>
          <w:color w:val="auto"/>
        </w:rPr>
      </w:pPr>
    </w:p>
    <w:p>
      <w:pPr>
        <w:jc w:val="both"/>
        <w:ind w:left="660" w:firstLine="1292"/>
        <w:spacing w:after="0" w:line="246" w:lineRule="auto"/>
        <w:tabs>
          <w:tab w:leader="none" w:pos="2398"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62" w:lineRule="exact"/>
        <w:rPr>
          <w:rFonts w:ascii="Arial" w:cs="Arial" w:eastAsia="Arial" w:hAnsi="Arial"/>
          <w:sz w:val="19"/>
          <w:szCs w:val="19"/>
          <w:color w:val="auto"/>
        </w:rPr>
      </w:pPr>
    </w:p>
    <w:p>
      <w:pPr>
        <w:jc w:val="both"/>
        <w:ind w:left="660" w:firstLine="1292"/>
        <w:spacing w:after="0" w:line="267" w:lineRule="auto"/>
        <w:tabs>
          <w:tab w:leader="none" w:pos="25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any such exchange or transfer from a Definitive Note to a beneficial interest is effected pursuant to subparagraph (2)(D) or (3) 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31" w:lineRule="exact"/>
        <w:rPr>
          <w:rFonts w:ascii="Arial" w:cs="Arial" w:eastAsia="Arial" w:hAnsi="Arial"/>
          <w:sz w:val="18"/>
          <w:szCs w:val="18"/>
          <w:color w:val="auto"/>
        </w:rPr>
      </w:pPr>
    </w:p>
    <w:p>
      <w:pPr>
        <w:jc w:val="both"/>
        <w:ind w:firstLine="1304"/>
        <w:spacing w:after="0" w:line="244" w:lineRule="auto"/>
        <w:tabs>
          <w:tab w:leader="none" w:pos="1713"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Transfer and Exchange of Definitive Notes for Definitive Notes. </w:t>
      </w:r>
      <w:r>
        <w:rPr>
          <w:rFonts w:ascii="Arial" w:cs="Arial" w:eastAsia="Arial" w:hAnsi="Arial"/>
          <w:sz w:val="19"/>
          <w:szCs w:val="19"/>
          <w:color w:val="auto"/>
        </w:rPr>
        <w:t>Upon request by a Holder of Definitive Notes and such</w:t>
      </w:r>
      <w:r>
        <w:rPr>
          <w:rFonts w:ascii="Arial" w:cs="Arial" w:eastAsia="Arial" w:hAnsi="Arial"/>
          <w:sz w:val="19"/>
          <w:szCs w:val="19"/>
          <w:i w:val="1"/>
          <w:iCs w:val="1"/>
          <w:color w:val="auto"/>
        </w:rPr>
        <w:t xml:space="preserve"> </w:t>
      </w:r>
      <w:r>
        <w:rPr>
          <w:rFonts w:ascii="Arial" w:cs="Arial" w:eastAsia="Arial" w:hAnsi="Arial"/>
          <w:sz w:val="19"/>
          <w:szCs w:val="19"/>
          <w:color w:val="auto"/>
        </w:rPr>
        <w:t>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65" w:lineRule="exact"/>
        <w:rPr>
          <w:rFonts w:ascii="Arial" w:cs="Arial" w:eastAsia="Arial" w:hAnsi="Arial"/>
          <w:sz w:val="19"/>
          <w:szCs w:val="19"/>
          <w:color w:val="auto"/>
        </w:rPr>
      </w:pPr>
    </w:p>
    <w:p>
      <w:pPr>
        <w:ind w:left="660" w:firstLine="1292"/>
        <w:spacing w:after="0" w:line="272" w:lineRule="auto"/>
        <w:tabs>
          <w:tab w:leader="none" w:pos="2384"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Restricted Definitive Notes. </w:t>
      </w:r>
      <w:r>
        <w:rPr>
          <w:rFonts w:ascii="Arial" w:cs="Arial" w:eastAsia="Arial" w:hAnsi="Arial"/>
          <w:sz w:val="19"/>
          <w:szCs w:val="19"/>
          <w:color w:val="auto"/>
        </w:rPr>
        <w:t>Any Restricted Definitive Note may be transferred to</w:t>
      </w:r>
      <w:r>
        <w:rPr>
          <w:rFonts w:ascii="Arial" w:cs="Arial" w:eastAsia="Arial" w:hAnsi="Arial"/>
          <w:sz w:val="19"/>
          <w:szCs w:val="19"/>
          <w:i w:val="1"/>
          <w:iCs w:val="1"/>
          <w:color w:val="auto"/>
        </w:rPr>
        <w:t xml:space="preserve"> </w:t>
      </w:r>
      <w:r>
        <w:rPr>
          <w:rFonts w:ascii="Arial" w:cs="Arial" w:eastAsia="Arial" w:hAnsi="Arial"/>
          <w:sz w:val="19"/>
          <w:szCs w:val="19"/>
          <w:color w:val="auto"/>
        </w:rPr>
        <w:t>and registered in the name of Persons who take delivery thereof in the form of a Restricted Definitive Note if: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2" w:lineRule="exact"/>
        <w:rPr>
          <w:sz w:val="20"/>
          <w:szCs w:val="20"/>
          <w:color w:val="auto"/>
        </w:rPr>
      </w:pPr>
    </w:p>
    <w:p>
      <w:pPr>
        <w:ind w:left="1960" w:hanging="480"/>
        <w:spacing w:after="0"/>
        <w:tabs>
          <w:tab w:leader="none" w:pos="19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175" w:lineRule="exact"/>
        <w:rPr>
          <w:rFonts w:ascii="Arial" w:cs="Arial" w:eastAsia="Arial" w:hAnsi="Arial"/>
          <w:sz w:val="20"/>
          <w:szCs w:val="20"/>
          <w:color w:val="auto"/>
        </w:rPr>
      </w:pPr>
    </w:p>
    <w:p>
      <w:pPr>
        <w:ind w:left="180" w:firstLine="1300"/>
        <w:spacing w:after="0" w:line="246" w:lineRule="auto"/>
        <w:tabs>
          <w:tab w:leader="none" w:pos="1962"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if the transfer will be made pursuant to Rule 144A, then the transferor must deliver a certificate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(1) thereof;</w:t>
      </w:r>
    </w:p>
    <w:p>
      <w:pPr>
        <w:spacing w:after="0" w:line="163" w:lineRule="exact"/>
        <w:rPr>
          <w:rFonts w:ascii="Arial" w:cs="Arial" w:eastAsia="Arial" w:hAnsi="Arial"/>
          <w:sz w:val="20"/>
          <w:szCs w:val="20"/>
          <w:color w:val="auto"/>
        </w:rPr>
      </w:pPr>
    </w:p>
    <w:p>
      <w:pPr>
        <w:ind w:left="180" w:firstLine="1300"/>
        <w:spacing w:after="0" w:line="246" w:lineRule="auto"/>
        <w:tabs>
          <w:tab w:leader="none" w:pos="20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if the transfer will be made pursuant to Rule 903 or Rule 904, then the transferor must deliver a certificate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(2) thereof; and</w:t>
      </w:r>
    </w:p>
    <w:p>
      <w:pPr>
        <w:spacing w:after="0" w:line="163" w:lineRule="exact"/>
        <w:rPr>
          <w:rFonts w:ascii="Arial" w:cs="Arial" w:eastAsia="Arial" w:hAnsi="Arial"/>
          <w:sz w:val="20"/>
          <w:szCs w:val="20"/>
          <w:color w:val="auto"/>
        </w:rPr>
      </w:pPr>
    </w:p>
    <w:p>
      <w:pPr>
        <w:jc w:val="both"/>
        <w:ind w:left="180" w:firstLine="1300"/>
        <w:spacing w:after="0" w:line="237" w:lineRule="auto"/>
        <w:tabs>
          <w:tab w:leader="none" w:pos="1978"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certificates and Opinion of Counsel required by item (3)(d) thereof, if applicable.</w:t>
      </w:r>
    </w:p>
    <w:p>
      <w:pPr>
        <w:spacing w:after="0" w:line="155" w:lineRule="exact"/>
        <w:rPr>
          <w:rFonts w:ascii="Arial" w:cs="Arial" w:eastAsia="Arial" w:hAnsi="Arial"/>
          <w:sz w:val="20"/>
          <w:szCs w:val="20"/>
          <w:color w:val="auto"/>
        </w:rPr>
      </w:pPr>
    </w:p>
    <w:p>
      <w:pPr>
        <w:jc w:val="both"/>
        <w:ind w:left="-460" w:firstLine="1292"/>
        <w:spacing w:after="0" w:line="237" w:lineRule="auto"/>
        <w:tabs>
          <w:tab w:leader="none" w:pos="1264"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 xml:space="preserve">Restricted Definitive Notes to Unrestricted Definitive Notes. </w:t>
      </w:r>
      <w:r>
        <w:rPr>
          <w:rFonts w:ascii="Arial" w:cs="Arial" w:eastAsia="Arial" w:hAnsi="Arial"/>
          <w:sz w:val="20"/>
          <w:szCs w:val="20"/>
          <w:color w:val="auto"/>
        </w:rPr>
        <w:t>Any Restricted Definitive Note may be exchanged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Holder thereof for an Unrestricted Definitive Note or transferred to a Person or Persons who take delivery thereof in the form of an Unrestricted Definitive Note if:</w:t>
      </w:r>
    </w:p>
    <w:p>
      <w:pPr>
        <w:spacing w:after="0" w:line="169" w:lineRule="exact"/>
        <w:rPr>
          <w:rFonts w:ascii="Arial" w:cs="Arial" w:eastAsia="Arial" w:hAnsi="Arial"/>
          <w:sz w:val="20"/>
          <w:szCs w:val="20"/>
          <w:color w:val="auto"/>
        </w:rPr>
      </w:pPr>
    </w:p>
    <w:p>
      <w:pPr>
        <w:ind w:left="1960" w:hanging="480"/>
        <w:spacing w:after="0"/>
        <w:tabs>
          <w:tab w:leader="none" w:pos="19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1940" w:hanging="460"/>
        <w:spacing w:after="0"/>
        <w:tabs>
          <w:tab w:leader="none" w:pos="19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940" w:hanging="460"/>
        <w:spacing w:after="0"/>
        <w:tabs>
          <w:tab w:leader="none" w:pos="19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188" w:lineRule="exact"/>
        <w:rPr>
          <w:rFonts w:ascii="Arial" w:cs="Arial" w:eastAsia="Arial" w:hAnsi="Arial"/>
          <w:sz w:val="20"/>
          <w:szCs w:val="20"/>
          <w:color w:val="auto"/>
        </w:rPr>
      </w:pPr>
    </w:p>
    <w:p>
      <w:pPr>
        <w:ind w:left="1960" w:hanging="480"/>
        <w:spacing w:after="0"/>
        <w:tabs>
          <w:tab w:leader="none" w:pos="19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188" w:lineRule="exact"/>
        <w:rPr>
          <w:rFonts w:ascii="Arial" w:cs="Arial" w:eastAsia="Arial" w:hAnsi="Arial"/>
          <w:sz w:val="20"/>
          <w:szCs w:val="20"/>
          <w:color w:val="auto"/>
        </w:rPr>
      </w:pPr>
    </w:p>
    <w:p>
      <w:pPr>
        <w:ind w:left="840" w:right="560" w:firstLine="1288"/>
        <w:spacing w:after="0" w:line="237" w:lineRule="auto"/>
        <w:tabs>
          <w:tab w:leader="none" w:pos="2521" w:val="left"/>
        </w:tabs>
        <w:numPr>
          <w:ilvl w:val="2"/>
          <w:numId w:val="72"/>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including the certifications in item (1)(d) thereof; or</w:t>
      </w:r>
    </w:p>
    <w:p>
      <w:pPr>
        <w:spacing w:after="0" w:line="155" w:lineRule="exact"/>
        <w:rPr>
          <w:rFonts w:ascii="Arial" w:cs="Arial" w:eastAsia="Arial" w:hAnsi="Arial"/>
          <w:sz w:val="20"/>
          <w:szCs w:val="20"/>
          <w:color w:val="auto"/>
        </w:rPr>
      </w:pPr>
    </w:p>
    <w:p>
      <w:pPr>
        <w:jc w:val="both"/>
        <w:ind w:left="840" w:firstLine="1288"/>
        <w:spacing w:after="0" w:line="237" w:lineRule="auto"/>
        <w:tabs>
          <w:tab w:leader="none" w:pos="2624" w:val="left"/>
        </w:tabs>
        <w:numPr>
          <w:ilvl w:val="2"/>
          <w:numId w:val="72"/>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including the certifications in item (4) thereof;</w:t>
      </w:r>
    </w:p>
    <w:p>
      <w:pPr>
        <w:spacing w:after="0" w:line="169" w:lineRule="exact"/>
        <w:rPr>
          <w:sz w:val="20"/>
          <w:szCs w:val="20"/>
          <w:color w:val="auto"/>
        </w:rPr>
      </w:pPr>
    </w:p>
    <w:p>
      <w:pPr>
        <w:jc w:val="both"/>
        <w:ind w:left="180"/>
        <w:spacing w:after="0" w:line="234" w:lineRule="auto"/>
        <w:rPr>
          <w:sz w:val="20"/>
          <w:szCs w:val="20"/>
          <w:color w:val="auto"/>
        </w:rPr>
      </w:pPr>
      <w:r>
        <w:rPr>
          <w:rFonts w:ascii="Arial" w:cs="Arial" w:eastAsia="Arial" w:hAnsi="Arial"/>
          <w:sz w:val="20"/>
          <w:szCs w:val="20"/>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jc w:val="both"/>
        <w:ind w:left="-460" w:firstLine="1292"/>
        <w:spacing w:after="0" w:line="234" w:lineRule="auto"/>
        <w:tabs>
          <w:tab w:leader="none" w:pos="1291" w:val="left"/>
        </w:tabs>
        <w:numPr>
          <w:ilvl w:val="1"/>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Unrestricted Definitive Notes to Unrestricted Definitive Notes. </w:t>
      </w:r>
      <w:r>
        <w:rPr>
          <w:rFonts w:ascii="Arial" w:cs="Arial" w:eastAsia="Arial" w:hAnsi="Arial"/>
          <w:sz w:val="20"/>
          <w:szCs w:val="20"/>
          <w:color w:val="auto"/>
        </w:rPr>
        <w:t>A Holder of Unrestricted Definitive Notes may</w:t>
      </w:r>
      <w:r>
        <w:rPr>
          <w:rFonts w:ascii="Arial" w:cs="Arial" w:eastAsia="Arial" w:hAnsi="Arial"/>
          <w:sz w:val="20"/>
          <w:szCs w:val="20"/>
          <w:i w:val="1"/>
          <w:iCs w:val="1"/>
          <w:color w:val="auto"/>
        </w:rPr>
        <w:t xml:space="preserve"> </w:t>
      </w:r>
      <w:r>
        <w:rPr>
          <w:rFonts w:ascii="Arial" w:cs="Arial" w:eastAsia="Arial" w:hAnsi="Arial"/>
          <w:sz w:val="20"/>
          <w:szCs w:val="20"/>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56" w:lineRule="exact"/>
        <w:rPr>
          <w:rFonts w:ascii="Arial" w:cs="Arial" w:eastAsia="Arial" w:hAnsi="Arial"/>
          <w:sz w:val="20"/>
          <w:szCs w:val="20"/>
          <w:color w:val="auto"/>
        </w:rPr>
      </w:pPr>
    </w:p>
    <w:p>
      <w:pPr>
        <w:ind w:left="580" w:hanging="396"/>
        <w:spacing w:after="0"/>
        <w:tabs>
          <w:tab w:leader="none" w:pos="580" w:val="left"/>
        </w:tabs>
        <w:numPr>
          <w:ilvl w:val="0"/>
          <w:numId w:val="74"/>
        </w:numPr>
        <w:rPr>
          <w:rFonts w:ascii="Arial" w:cs="Arial" w:eastAsia="Arial" w:hAnsi="Arial"/>
          <w:sz w:val="20"/>
          <w:szCs w:val="20"/>
          <w:color w:val="auto"/>
        </w:rPr>
      </w:pPr>
      <w:r>
        <w:rPr>
          <w:rFonts w:ascii="Arial" w:cs="Arial" w:eastAsia="Arial" w:hAnsi="Arial"/>
          <w:sz w:val="20"/>
          <w:szCs w:val="20"/>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182" w:lineRule="exact"/>
        <w:rPr>
          <w:sz w:val="20"/>
          <w:szCs w:val="20"/>
          <w:color w:val="auto"/>
        </w:rPr>
      </w:pPr>
    </w:p>
    <w:p>
      <w:pPr>
        <w:ind w:right="20" w:firstLine="1304"/>
        <w:spacing w:after="0" w:line="246" w:lineRule="auto"/>
        <w:tabs>
          <w:tab w:leader="none" w:pos="1725"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Legends. </w:t>
      </w:r>
      <w:r>
        <w:rPr>
          <w:rFonts w:ascii="Arial" w:cs="Arial" w:eastAsia="Arial" w:hAnsi="Arial"/>
          <w:sz w:val="20"/>
          <w:szCs w:val="20"/>
          <w:color w:val="auto"/>
        </w:rPr>
        <w:t>The following legends will appear on all Global Notes and Definitive Notes issued under this Indenture unless</w:t>
      </w:r>
      <w:r>
        <w:rPr>
          <w:rFonts w:ascii="Arial" w:cs="Arial" w:eastAsia="Arial" w:hAnsi="Arial"/>
          <w:sz w:val="20"/>
          <w:szCs w:val="20"/>
          <w:i w:val="1"/>
          <w:iCs w:val="1"/>
          <w:color w:val="auto"/>
        </w:rPr>
        <w:t xml:space="preserve"> </w:t>
      </w:r>
      <w:r>
        <w:rPr>
          <w:rFonts w:ascii="Arial" w:cs="Arial" w:eastAsia="Arial" w:hAnsi="Arial"/>
          <w:sz w:val="20"/>
          <w:szCs w:val="20"/>
          <w:color w:val="auto"/>
        </w:rPr>
        <w:t>specifically stated otherwise in the applicable provisions of this Indenture.</w:t>
      </w:r>
    </w:p>
    <w:p>
      <w:pPr>
        <w:spacing w:after="0" w:line="149" w:lineRule="exact"/>
        <w:rPr>
          <w:rFonts w:ascii="Arial" w:cs="Arial" w:eastAsia="Arial" w:hAnsi="Arial"/>
          <w:sz w:val="20"/>
          <w:szCs w:val="20"/>
          <w:i w:val="1"/>
          <w:iCs w:val="1"/>
          <w:color w:val="auto"/>
        </w:rPr>
      </w:pPr>
    </w:p>
    <w:p>
      <w:pPr>
        <w:ind w:left="2380" w:hanging="428"/>
        <w:spacing w:after="0"/>
        <w:tabs>
          <w:tab w:leader="none" w:pos="2380" w:val="left"/>
        </w:tabs>
        <w:numPr>
          <w:ilvl w:val="1"/>
          <w:numId w:val="75"/>
        </w:numPr>
        <w:rPr>
          <w:rFonts w:ascii="Arial" w:cs="Arial" w:eastAsia="Arial" w:hAnsi="Arial"/>
          <w:sz w:val="20"/>
          <w:szCs w:val="20"/>
          <w:color w:val="auto"/>
        </w:rPr>
      </w:pPr>
      <w:r>
        <w:rPr>
          <w:rFonts w:ascii="Arial" w:cs="Arial" w:eastAsia="Arial" w:hAnsi="Arial"/>
          <w:sz w:val="20"/>
          <w:szCs w:val="20"/>
          <w:i w:val="1"/>
          <w:iCs w:val="1"/>
          <w:color w:val="auto"/>
        </w:rPr>
        <w:t>Private Placement Legend</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300" w:firstLine="1300"/>
        <w:spacing w:after="0" w:line="300" w:lineRule="auto"/>
        <w:tabs>
          <w:tab w:leader="none" w:pos="3117"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1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 LEGALLY AVAILABLE. THIS LEGEND WILL BE REMOVED UPON THE REQUEST OF THE HOLDER AFTER THE RESALE RESTRICTION TERMINATION DATE.</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20"/>
          <w:szCs w:val="20"/>
          <w:b w:val="1"/>
          <w:bCs w:val="1"/>
          <w:color w:val="auto"/>
        </w:rPr>
        <w:t>ANY EMPLOYEE BENEFIT PLAN THAT IS SUBJECT TO TITLE I OF THE U.S. EMPLOYEE RETIREMENT INCOME SECURITY ACT OF 1974, 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156" w:lineRule="exact"/>
        <w:rPr>
          <w:sz w:val="20"/>
          <w:szCs w:val="20"/>
          <w:color w:val="auto"/>
        </w:rPr>
      </w:pPr>
    </w:p>
    <w:p>
      <w:pPr>
        <w:jc w:val="both"/>
        <w:ind w:left="1300" w:firstLine="1300"/>
        <w:spacing w:after="0" w:line="237" w:lineRule="auto"/>
        <w:tabs>
          <w:tab w:leader="none" w:pos="3098"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Notwithstanding the foregoing, any Global Note or Definitive Note issued pursuant to subparagraphs (b)(4), (c)(2), (c)(3), (d)(2), (d)(3), (e)(2) or (e)(3) of this Section 2.06 (and all Notes issued in exchange therefor or substitution thereof) will not bear the Private Placement Legend.</w:t>
      </w:r>
    </w:p>
    <w:p>
      <w:pPr>
        <w:spacing w:after="0" w:line="169" w:lineRule="exact"/>
        <w:rPr>
          <w:sz w:val="20"/>
          <w:szCs w:val="20"/>
          <w:color w:val="auto"/>
        </w:rPr>
      </w:pPr>
    </w:p>
    <w:p>
      <w:pPr>
        <w:jc w:val="both"/>
        <w:ind w:left="1300" w:firstLine="648"/>
        <w:spacing w:after="0" w:line="252" w:lineRule="auto"/>
        <w:rPr>
          <w:sz w:val="20"/>
          <w:szCs w:val="20"/>
          <w:color w:val="auto"/>
        </w:rPr>
      </w:pPr>
      <w:r>
        <w:rPr>
          <w:rFonts w:ascii="Arial" w:cs="Arial" w:eastAsia="Arial" w:hAnsi="Arial"/>
          <w:sz w:val="18"/>
          <w:szCs w:val="18"/>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 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 deemed to be or to have been, respectively, owned by an Affiliate of the Issuer; and (ii) “Principal Officer”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Holder of any Note evidenced by any Restricted Global Note, by its acceptance thereof, (A) authorizes and consents to,</w:t>
      </w:r>
    </w:p>
    <w:p>
      <w:pPr>
        <w:spacing w:after="0" w:line="48" w:lineRule="exact"/>
        <w:rPr>
          <w:sz w:val="20"/>
          <w:szCs w:val="20"/>
          <w:color w:val="auto"/>
        </w:rPr>
      </w:pPr>
    </w:p>
    <w:p>
      <w:pPr>
        <w:jc w:val="both"/>
        <w:ind w:left="1300" w:firstLine="4"/>
        <w:spacing w:after="0"/>
        <w:tabs>
          <w:tab w:leader="none" w:pos="1614" w:val="left"/>
        </w:tabs>
        <w:numPr>
          <w:ilvl w:val="0"/>
          <w:numId w:val="77"/>
        </w:numPr>
        <w:rPr>
          <w:rFonts w:ascii="Arial" w:cs="Arial" w:eastAsia="Arial" w:hAnsi="Arial"/>
          <w:sz w:val="19"/>
          <w:szCs w:val="19"/>
          <w:color w:val="auto"/>
        </w:rPr>
      </w:pPr>
      <w:r>
        <w:rPr>
          <w:rFonts w:ascii="Arial" w:cs="Arial" w:eastAsia="Arial" w:hAnsi="Arial"/>
          <w:sz w:val="19"/>
          <w:szCs w:val="19"/>
          <w:color w:val="auto"/>
        </w:rPr>
        <w:t>appoints the Issuer as its agent for the sole purpose of delivering such electronic messages, executing and delivering such instruments and taking such other actions, on such Holder’s behalf, as the Depositary or the Trustee may require to effect, and (C) 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155" w:lineRule="exact"/>
        <w:rPr>
          <w:rFonts w:ascii="Arial" w:cs="Arial" w:eastAsia="Arial" w:hAnsi="Arial"/>
          <w:sz w:val="19"/>
          <w:szCs w:val="19"/>
          <w:color w:val="auto"/>
        </w:rPr>
      </w:pPr>
    </w:p>
    <w:p>
      <w:pPr>
        <w:ind w:left="2380" w:hanging="428"/>
        <w:spacing w:after="0"/>
        <w:tabs>
          <w:tab w:leader="none" w:pos="2380" w:val="left"/>
        </w:tabs>
        <w:numPr>
          <w:ilvl w:val="1"/>
          <w:numId w:val="77"/>
        </w:numPr>
        <w:rPr>
          <w:rFonts w:ascii="Arial" w:cs="Arial" w:eastAsia="Arial" w:hAnsi="Arial"/>
          <w:sz w:val="20"/>
          <w:szCs w:val="20"/>
          <w:color w:val="auto"/>
        </w:rPr>
      </w:pPr>
      <w:r>
        <w:rPr>
          <w:rFonts w:ascii="Arial" w:cs="Arial" w:eastAsia="Arial" w:hAnsi="Arial"/>
          <w:sz w:val="20"/>
          <w:szCs w:val="20"/>
          <w:i w:val="1"/>
          <w:iCs w:val="1"/>
          <w:color w:val="auto"/>
        </w:rPr>
        <w:t>Global Note Legend</w:t>
      </w:r>
      <w:r>
        <w:rPr>
          <w:rFonts w:ascii="Arial" w:cs="Arial" w:eastAsia="Arial" w:hAnsi="Arial"/>
          <w:sz w:val="20"/>
          <w:szCs w:val="20"/>
          <w:color w:val="auto"/>
        </w:rPr>
        <w:t>. Each Global Note will bear a legend in substantially the following form:</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6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65"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i w:val="1"/>
          <w:iCs w:val="1"/>
          <w:color w:val="auto"/>
        </w:rPr>
        <w:t>Regulation S Legend</w:t>
      </w:r>
      <w:r>
        <w:rPr>
          <w:rFonts w:ascii="Arial" w:cs="Arial" w:eastAsia="Arial" w:hAnsi="Arial"/>
          <w:sz w:val="18"/>
          <w:szCs w:val="18"/>
          <w:color w:val="auto"/>
        </w:rPr>
        <w:t>. Each Regulation S Global Note will bear a legend in substantially the following form:</w:t>
      </w:r>
    </w:p>
    <w:p>
      <w:pPr>
        <w:spacing w:after="0" w:line="183" w:lineRule="exact"/>
        <w:rPr>
          <w:sz w:val="20"/>
          <w:szCs w:val="20"/>
          <w:color w:val="auto"/>
        </w:rPr>
      </w:pPr>
    </w:p>
    <w:p>
      <w:pPr>
        <w:ind w:right="560"/>
        <w:spacing w:after="0" w:line="239" w:lineRule="auto"/>
        <w:rPr>
          <w:sz w:val="20"/>
          <w:szCs w:val="20"/>
          <w:color w:val="auto"/>
        </w:rPr>
      </w:pPr>
      <w:r>
        <w:rPr>
          <w:rFonts w:ascii="Arial" w:cs="Arial" w:eastAsia="Arial" w:hAnsi="Arial"/>
          <w:sz w:val="20"/>
          <w:szCs w:val="20"/>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2" w:lineRule="exact"/>
        <w:rPr>
          <w:sz w:val="20"/>
          <w:szCs w:val="20"/>
          <w:color w:val="auto"/>
        </w:rPr>
      </w:pPr>
    </w:p>
    <w:p>
      <w:pPr>
        <w:jc w:val="both"/>
        <w:ind w:firstLine="1304"/>
        <w:spacing w:after="0" w:line="241" w:lineRule="auto"/>
        <w:tabs>
          <w:tab w:leader="none" w:pos="1792"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55" w:lineRule="exact"/>
        <w:rPr>
          <w:rFonts w:ascii="Arial" w:cs="Arial" w:eastAsia="Arial" w:hAnsi="Arial"/>
          <w:sz w:val="19"/>
          <w:szCs w:val="19"/>
          <w:color w:val="auto"/>
        </w:rPr>
      </w:pPr>
    </w:p>
    <w:p>
      <w:pPr>
        <w:ind w:left="1680" w:hanging="376"/>
        <w:spacing w:after="0"/>
        <w:tabs>
          <w:tab w:leader="none" w:pos="16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G</w:t>
      </w:r>
      <w:r>
        <w:rPr>
          <w:rFonts w:ascii="Arial" w:cs="Arial" w:eastAsia="Arial" w:hAnsi="Arial"/>
          <w:sz w:val="20"/>
          <w:szCs w:val="20"/>
          <w:i w:val="1"/>
          <w:iCs w:val="1"/>
          <w:color w:val="auto"/>
        </w:rPr>
        <w:t>eneral Provisions Relating to Transfers and Exchanges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1292"/>
        <w:spacing w:after="0" w:line="237" w:lineRule="auto"/>
        <w:tabs>
          <w:tab w:leader="none" w:pos="2466" w:val="left"/>
        </w:tabs>
        <w:numPr>
          <w:ilvl w:val="1"/>
          <w:numId w:val="78"/>
        </w:numPr>
        <w:rPr>
          <w:rFonts w:ascii="Arial" w:cs="Arial" w:eastAsia="Arial" w:hAnsi="Arial"/>
          <w:sz w:val="20"/>
          <w:szCs w:val="20"/>
          <w:color w:val="auto"/>
        </w:rPr>
      </w:pPr>
      <w:r>
        <w:rPr>
          <w:rFonts w:ascii="Arial" w:cs="Arial" w:eastAsia="Arial" w:hAnsi="Arial"/>
          <w:sz w:val="20"/>
          <w:szCs w:val="20"/>
          <w:color w:val="auto"/>
        </w:rPr>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169" w:lineRule="exact"/>
        <w:rPr>
          <w:rFonts w:ascii="Arial" w:cs="Arial" w:eastAsia="Arial" w:hAnsi="Arial"/>
          <w:sz w:val="20"/>
          <w:szCs w:val="20"/>
          <w:color w:val="auto"/>
        </w:rPr>
      </w:pPr>
    </w:p>
    <w:p>
      <w:pPr>
        <w:jc w:val="both"/>
        <w:ind w:left="660" w:firstLine="1292"/>
        <w:spacing w:after="0" w:line="267" w:lineRule="auto"/>
        <w:tabs>
          <w:tab w:leader="none" w:pos="24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3.09, 4.10, 4.15 and 9.04 not involving any transfer).</w:t>
      </w:r>
    </w:p>
    <w:p>
      <w:pPr>
        <w:spacing w:after="0" w:line="131" w:lineRule="exact"/>
        <w:rPr>
          <w:rFonts w:ascii="Arial" w:cs="Arial" w:eastAsia="Arial" w:hAnsi="Arial"/>
          <w:sz w:val="18"/>
          <w:szCs w:val="18"/>
          <w:color w:val="auto"/>
        </w:rPr>
      </w:pPr>
    </w:p>
    <w:p>
      <w:pPr>
        <w:ind w:left="660" w:firstLine="1292"/>
        <w:spacing w:after="0" w:line="246" w:lineRule="auto"/>
        <w:tabs>
          <w:tab w:leader="none" w:pos="239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63" w:lineRule="exact"/>
        <w:rPr>
          <w:rFonts w:ascii="Arial" w:cs="Arial" w:eastAsia="Arial" w:hAnsi="Arial"/>
          <w:sz w:val="20"/>
          <w:szCs w:val="20"/>
          <w:color w:val="auto"/>
        </w:rPr>
      </w:pPr>
    </w:p>
    <w:p>
      <w:pPr>
        <w:jc w:val="both"/>
        <w:ind w:left="660" w:firstLine="1292"/>
        <w:spacing w:after="0" w:line="275" w:lineRule="auto"/>
        <w:tabs>
          <w:tab w:leader="none" w:pos="23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138" w:lineRule="exact"/>
        <w:rPr>
          <w:rFonts w:ascii="Arial" w:cs="Arial" w:eastAsia="Arial" w:hAnsi="Arial"/>
          <w:sz w:val="18"/>
          <w:szCs w:val="18"/>
          <w:color w:val="auto"/>
        </w:rPr>
      </w:pPr>
    </w:p>
    <w:p>
      <w:pPr>
        <w:ind w:left="2380" w:hanging="428"/>
        <w:spacing w:after="0"/>
        <w:tabs>
          <w:tab w:leader="none" w:pos="23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Neither the Registrar nor the Issuer will be required:</w:t>
      </w:r>
    </w:p>
    <w:p>
      <w:pPr>
        <w:spacing w:after="0" w:line="175" w:lineRule="exact"/>
        <w:rPr>
          <w:rFonts w:ascii="Arial" w:cs="Arial" w:eastAsia="Arial" w:hAnsi="Arial"/>
          <w:sz w:val="20"/>
          <w:szCs w:val="20"/>
          <w:color w:val="auto"/>
        </w:rPr>
      </w:pPr>
    </w:p>
    <w:p>
      <w:pPr>
        <w:jc w:val="both"/>
        <w:ind w:left="1300" w:firstLine="1300"/>
        <w:spacing w:after="0" w:line="237" w:lineRule="auto"/>
        <w:tabs>
          <w:tab w:leader="none" w:pos="3100" w:val="left"/>
        </w:tabs>
        <w:numPr>
          <w:ilvl w:val="2"/>
          <w:numId w:val="78"/>
        </w:numPr>
        <w:rPr>
          <w:rFonts w:ascii="Arial" w:cs="Arial" w:eastAsia="Arial" w:hAnsi="Arial"/>
          <w:sz w:val="20"/>
          <w:szCs w:val="20"/>
          <w:color w:val="auto"/>
        </w:rPr>
      </w:pPr>
      <w:r>
        <w:rPr>
          <w:rFonts w:ascii="Arial" w:cs="Arial" w:eastAsia="Arial" w:hAnsi="Arial"/>
          <w:sz w:val="20"/>
          <w:szCs w:val="20"/>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69" w:lineRule="exact"/>
        <w:rPr>
          <w:rFonts w:ascii="Arial" w:cs="Arial" w:eastAsia="Arial" w:hAnsi="Arial"/>
          <w:sz w:val="20"/>
          <w:szCs w:val="20"/>
          <w:color w:val="auto"/>
        </w:rPr>
      </w:pPr>
    </w:p>
    <w:p>
      <w:pPr>
        <w:ind w:left="1300" w:firstLine="1300"/>
        <w:spacing w:after="0" w:line="246" w:lineRule="auto"/>
        <w:tabs>
          <w:tab w:leader="none" w:pos="3092" w:val="left"/>
        </w:tabs>
        <w:numPr>
          <w:ilvl w:val="2"/>
          <w:numId w:val="78"/>
        </w:numPr>
        <w:rPr>
          <w:rFonts w:ascii="Arial" w:cs="Arial" w:eastAsia="Arial" w:hAnsi="Arial"/>
          <w:sz w:val="20"/>
          <w:szCs w:val="20"/>
          <w:color w:val="auto"/>
        </w:rPr>
      </w:pPr>
      <w:r>
        <w:rPr>
          <w:rFonts w:ascii="Arial" w:cs="Arial" w:eastAsia="Arial" w:hAnsi="Arial"/>
          <w:sz w:val="20"/>
          <w:szCs w:val="20"/>
          <w:color w:val="auto"/>
        </w:rPr>
        <w:t>to register the transfer of or to exchange any Note selected for redemption in whole or in part, except the unredeemed portion of any Note being redeemed in part; or</w:t>
      </w:r>
    </w:p>
    <w:p>
      <w:pPr>
        <w:spacing w:after="0" w:line="163" w:lineRule="exact"/>
        <w:rPr>
          <w:rFonts w:ascii="Arial" w:cs="Arial" w:eastAsia="Arial" w:hAnsi="Arial"/>
          <w:sz w:val="20"/>
          <w:szCs w:val="20"/>
          <w:color w:val="auto"/>
        </w:rPr>
      </w:pPr>
    </w:p>
    <w:p>
      <w:pPr>
        <w:ind w:left="3080" w:hanging="480"/>
        <w:spacing w:after="0"/>
        <w:tabs>
          <w:tab w:leader="none" w:pos="3080" w:val="left"/>
        </w:tabs>
        <w:numPr>
          <w:ilvl w:val="2"/>
          <w:numId w:val="78"/>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w:t>
      </w:r>
    </w:p>
    <w:p>
      <w:pPr>
        <w:spacing w:after="0" w:line="4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Payment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2" w:lineRule="exact"/>
        <w:rPr>
          <w:sz w:val="20"/>
          <w:szCs w:val="20"/>
          <w:color w:val="auto"/>
        </w:rPr>
      </w:pPr>
    </w:p>
    <w:p>
      <w:pPr>
        <w:jc w:val="both"/>
        <w:ind w:left="660" w:firstLine="1292"/>
        <w:spacing w:after="0" w:line="234" w:lineRule="auto"/>
        <w:tabs>
          <w:tab w:leader="none" w:pos="2446"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56" w:lineRule="exact"/>
        <w:rPr>
          <w:rFonts w:ascii="Arial" w:cs="Arial" w:eastAsia="Arial" w:hAnsi="Arial"/>
          <w:sz w:val="20"/>
          <w:szCs w:val="20"/>
          <w:color w:val="auto"/>
        </w:rPr>
      </w:pPr>
    </w:p>
    <w:p>
      <w:pPr>
        <w:ind w:left="2420" w:hanging="468"/>
        <w:spacing w:after="0"/>
        <w:tabs>
          <w:tab w:leader="none" w:pos="2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2.02.</w:t>
      </w:r>
    </w:p>
    <w:p>
      <w:pPr>
        <w:spacing w:after="0" w:line="172" w:lineRule="exact"/>
        <w:rPr>
          <w:rFonts w:ascii="Arial" w:cs="Arial" w:eastAsia="Arial" w:hAnsi="Arial"/>
          <w:sz w:val="18"/>
          <w:szCs w:val="18"/>
          <w:color w:val="auto"/>
        </w:rPr>
      </w:pPr>
    </w:p>
    <w:p>
      <w:pPr>
        <w:ind w:left="660" w:firstLine="1292"/>
        <w:spacing w:after="0" w:line="272" w:lineRule="auto"/>
        <w:tabs>
          <w:tab w:leader="none" w:pos="237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139" w:lineRule="exact"/>
        <w:rPr>
          <w:rFonts w:ascii="Arial" w:cs="Arial" w:eastAsia="Arial" w:hAnsi="Arial"/>
          <w:sz w:val="19"/>
          <w:szCs w:val="19"/>
          <w:color w:val="auto"/>
        </w:rPr>
      </w:pPr>
    </w:p>
    <w:p>
      <w:pPr>
        <w:jc w:val="both"/>
        <w:ind w:left="660" w:right="20" w:firstLine="1292"/>
        <w:spacing w:after="0" w:line="237" w:lineRule="auto"/>
        <w:tabs>
          <w:tab w:leader="none" w:pos="2523"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6"/>
          <w:szCs w:val="16"/>
          <w:i w:val="1"/>
          <w:iCs w:val="1"/>
          <w:color w:val="auto"/>
        </w:rPr>
        <w:t>Replacement Notes.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Every replacement Note is an additional obligation of the Issuer and will be entitled to all of the benefits of this Indenture equally and proportionately with all other Notes duly issued hereunder.</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principal amount of any Note is considered paid under Section 4.01, it ceases to be outstanding and interest on it ceases to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accrue.</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the Paying Agent (other than the Issuer, a Subsidiary or an Affiliate of any thereof) holds, by 11:00 a.m., New York City time, on a redemption date or other maturity date, money sufficient to pay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payable on that date, then on and after that date such Notes will be deemed to be no longer outstanding and will cease to accrue interest.</w:t>
      </w:r>
    </w:p>
    <w:p>
      <w:pPr>
        <w:spacing w:after="0" w:line="19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i w:val="1"/>
          <w:iCs w:val="1"/>
          <w:color w:val="auto"/>
        </w:rPr>
        <w:t>Treasury Notes.</w:t>
      </w:r>
    </w:p>
    <w:p>
      <w:pPr>
        <w:spacing w:after="0" w:line="1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i w:val="1"/>
          <w:iCs w:val="1"/>
          <w:color w:val="auto"/>
        </w:rPr>
        <w:t>Temporary Notes.</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Holders of temporary Notes will be entitled to all of the benefits of this Indenture.</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i w:val="1"/>
          <w:iCs w:val="1"/>
          <w:color w:val="auto"/>
        </w:rPr>
        <w:t>Cancellation.</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i w:val="1"/>
          <w:iCs w:val="1"/>
          <w:color w:val="auto"/>
        </w:rPr>
        <w:t>Defaulted Interest.</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If the Issuer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For purposes of Sections 2.05, 2.06, 3.05, 3.07, 3.09,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8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i w:val="1"/>
          <w:iCs w:val="1"/>
          <w:color w:val="auto"/>
        </w:rPr>
        <w:t>Issuance of Additional Notes.</w:t>
      </w:r>
    </w:p>
    <w:p>
      <w:pPr>
        <w:spacing w:after="0" w:line="189" w:lineRule="exact"/>
        <w:rPr>
          <w:sz w:val="20"/>
          <w:szCs w:val="20"/>
          <w:color w:val="auto"/>
        </w:rPr>
      </w:pPr>
    </w:p>
    <w:p>
      <w:pPr>
        <w:jc w:val="both"/>
        <w:ind w:firstLine="1304"/>
        <w:spacing w:after="0" w:line="241" w:lineRule="auto"/>
        <w:tabs>
          <w:tab w:leader="none" w:pos="1779"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any Additional Notes are not fungible with the Initial Notes for U.S. federal income tax purposes, such Additional Notes shall have a different CUSIP number (or other applicable identifying number).</w:t>
      </w:r>
    </w:p>
    <w:p>
      <w:pPr>
        <w:spacing w:after="0" w:line="168" w:lineRule="exact"/>
        <w:rPr>
          <w:rFonts w:ascii="Arial" w:cs="Arial" w:eastAsia="Arial" w:hAnsi="Arial"/>
          <w:sz w:val="19"/>
          <w:szCs w:val="19"/>
          <w:color w:val="auto"/>
        </w:rPr>
      </w:pPr>
    </w:p>
    <w:p>
      <w:pPr>
        <w:ind w:firstLine="1304"/>
        <w:spacing w:after="0" w:line="246" w:lineRule="auto"/>
        <w:tabs>
          <w:tab w:leader="none" w:pos="1730" w:val="left"/>
        </w:tabs>
        <w:numPr>
          <w:ilvl w:val="0"/>
          <w:numId w:val="80"/>
        </w:numPr>
        <w:rPr>
          <w:rFonts w:ascii="Arial" w:cs="Arial" w:eastAsia="Arial" w:hAnsi="Arial"/>
          <w:sz w:val="20"/>
          <w:szCs w:val="20"/>
          <w:color w:val="auto"/>
        </w:rPr>
      </w:pPr>
      <w:r>
        <w:rPr>
          <w:rFonts w:ascii="Arial" w:cs="Arial" w:eastAsia="Arial" w:hAnsi="Arial"/>
          <w:sz w:val="20"/>
          <w:szCs w:val="20"/>
          <w:color w:val="auto"/>
        </w:rPr>
        <w:t>With respect to any Additional Notes, the Issuer shall set forth in a supplemental indenture or an Officers’ Certificate, a copy of which shall be delivered to the Trustee at or prior to original issuance thereof, the following information:</w:t>
      </w:r>
    </w:p>
    <w:p>
      <w:pPr>
        <w:spacing w:after="0" w:line="149" w:lineRule="exact"/>
        <w:rPr>
          <w:rFonts w:ascii="Arial" w:cs="Arial" w:eastAsia="Arial" w:hAnsi="Arial"/>
          <w:sz w:val="20"/>
          <w:szCs w:val="20"/>
          <w:color w:val="auto"/>
        </w:rPr>
      </w:pPr>
    </w:p>
    <w:p>
      <w:pPr>
        <w:ind w:left="2480" w:hanging="528"/>
        <w:spacing w:after="0"/>
        <w:tabs>
          <w:tab w:leader="none" w:pos="2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Indenture;</w:t>
      </w:r>
    </w:p>
    <w:p>
      <w:pPr>
        <w:spacing w:after="0" w:line="172" w:lineRule="exact"/>
        <w:rPr>
          <w:rFonts w:ascii="Arial" w:cs="Arial" w:eastAsia="Arial" w:hAnsi="Arial"/>
          <w:sz w:val="18"/>
          <w:szCs w:val="18"/>
          <w:color w:val="auto"/>
        </w:rPr>
      </w:pPr>
    </w:p>
    <w:p>
      <w:pPr>
        <w:ind w:left="660" w:right="20" w:firstLine="1292"/>
        <w:spacing w:after="0" w:line="246" w:lineRule="auto"/>
        <w:tabs>
          <w:tab w:leader="none" w:pos="2517"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issue date (and the corresponding date from which interest shall accrue thereon and the first Interest Payment Date therefor), the CUSIP and/or ISIN number and the issue price of such Additional Notes; and</w:t>
      </w:r>
    </w:p>
    <w:p>
      <w:pPr>
        <w:spacing w:after="0" w:line="163" w:lineRule="exact"/>
        <w:rPr>
          <w:rFonts w:ascii="Arial" w:cs="Arial" w:eastAsia="Arial" w:hAnsi="Arial"/>
          <w:sz w:val="20"/>
          <w:szCs w:val="20"/>
          <w:color w:val="auto"/>
        </w:rPr>
      </w:pPr>
    </w:p>
    <w:p>
      <w:pPr>
        <w:ind w:left="660" w:firstLine="1292"/>
        <w:spacing w:after="0" w:line="246" w:lineRule="auto"/>
        <w:tabs>
          <w:tab w:leader="none" w:pos="2385" w:val="left"/>
        </w:tabs>
        <w:numPr>
          <w:ilvl w:val="1"/>
          <w:numId w:val="80"/>
        </w:numPr>
        <w:rPr>
          <w:rFonts w:ascii="Arial" w:cs="Arial" w:eastAsia="Arial" w:hAnsi="Arial"/>
          <w:sz w:val="20"/>
          <w:szCs w:val="20"/>
          <w:color w:val="auto"/>
        </w:rPr>
      </w:pPr>
      <w:r>
        <w:rPr>
          <w:rFonts w:ascii="Arial" w:cs="Arial" w:eastAsia="Arial" w:hAnsi="Arial"/>
          <w:sz w:val="20"/>
          <w:szCs w:val="20"/>
          <w:color w:val="auto"/>
        </w:rPr>
        <w:t>whether such Additional Notes shall be subject to the restrictions on transfer set forth in Section 2.06 relating to Restricted Global Notes and Restricted Definitive Notes.</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i w:val="1"/>
          <w:iCs w:val="1"/>
          <w:color w:val="auto"/>
        </w:rPr>
        <w:t>Computation of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on the Notes shall be computed on the basis of a 360-day year of twelve 30-day months.</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i w:val="1"/>
          <w:iCs w:val="1"/>
          <w:color w:val="auto"/>
        </w:rPr>
        <w:t>CUSIP Number.</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The Issuer in issuing the Notes may use “CUSIP” numbers (if then generally in use), and, if so, the Trustee shall use “CUSIP”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shall have no liability for any defect in the CUSIP numbers as they appear on the Notes, in any 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REDEMPTION AND PREPAYMENT</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i w:val="1"/>
          <w:iCs w:val="1"/>
          <w:color w:val="auto"/>
        </w:rPr>
        <w:t>Notices to Trustee.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the Issuer elects to redeem Notes pursuant to the optional redemption provisions of Section 3.07, the Issuer must furnish to the Trustee, at least five Business Days prior to the giving of notice of a redemption (or such shorter period as shall be acceptable to the Trustee), an Officers’ Certificate setting forth:</w:t>
      </w:r>
    </w:p>
    <w:p>
      <w:pPr>
        <w:spacing w:after="0" w:line="169" w:lineRule="exact"/>
        <w:rPr>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clause of this Indenture pursuant to which the redemption shall occur;</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redemption date;</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principal amount of Notes to be redeemed; and</w:t>
      </w:r>
    </w:p>
    <w:p>
      <w:pPr>
        <w:spacing w:after="0" w:line="188" w:lineRule="exact"/>
        <w:rPr>
          <w:rFonts w:ascii="Arial" w:cs="Arial" w:eastAsia="Arial" w:hAnsi="Arial"/>
          <w:sz w:val="20"/>
          <w:szCs w:val="20"/>
          <w:color w:val="auto"/>
        </w:rPr>
      </w:pPr>
    </w:p>
    <w:p>
      <w:pPr>
        <w:ind w:left="660" w:right="2740" w:firstLine="644"/>
        <w:spacing w:after="0" w:line="429" w:lineRule="auto"/>
        <w:tabs>
          <w:tab w:leader="none" w:pos="1737"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the redemption price (if then determined and otherwise the method of determination). Section 3.02 </w:t>
      </w:r>
      <w:r>
        <w:rPr>
          <w:rFonts w:ascii="Arial" w:cs="Arial" w:eastAsia="Arial" w:hAnsi="Arial"/>
          <w:sz w:val="20"/>
          <w:szCs w:val="20"/>
          <w:i w:val="1"/>
          <w:iCs w:val="1"/>
          <w:color w:val="auto"/>
        </w:rPr>
        <w:t>Selection of Notes to Be Redeemed.</w:t>
      </w:r>
    </w:p>
    <w:p>
      <w:pPr>
        <w:spacing w:after="0" w:line="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 xml:space="preserve">If less than all of the Notes are to be redeemed at any time, the Trustee will select Notes for redemption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in the case of Notes issued in global form pursuant to Article 2, based on a method as DTC or its nominee or successor may require or a method that most nearly approximates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selection as the Trustee deems fair and appropriate and is in accordance with the applicable procedures of DTC) unless otherwise required by law or applicable stock exchange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Trustee knows of such listing) or depositary requirements.</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 the event of partial redemption by lot, the particular Notes to be redeemed will be selected, unless otherwise provided herein, not less than 10 nor more than 60 days prior to the redemption date by the Trustee from the outstanding Notes not previously called for redemption.</w:t>
      </w:r>
    </w:p>
    <w:p>
      <w:pPr>
        <w:spacing w:after="0" w:line="15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notice will identify the Notes to be redeemed and will state:</w:t>
      </w:r>
    </w:p>
    <w:p>
      <w:pPr>
        <w:spacing w:after="0" w:line="18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82" w:lineRule="exact"/>
        <w:rPr>
          <w:sz w:val="20"/>
          <w:szCs w:val="20"/>
          <w:color w:val="auto"/>
        </w:rPr>
      </w:pPr>
    </w:p>
    <w:p>
      <w:pPr>
        <w:ind w:left="1740" w:hanging="436"/>
        <w:spacing w:after="0"/>
        <w:tabs>
          <w:tab w:leader="none" w:pos="17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redemption price (if then determined and otherwise the method of determination);</w:t>
      </w:r>
    </w:p>
    <w:p>
      <w:pPr>
        <w:spacing w:after="0" w:line="175" w:lineRule="exact"/>
        <w:rPr>
          <w:rFonts w:ascii="Arial" w:cs="Arial" w:eastAsia="Arial" w:hAnsi="Arial"/>
          <w:sz w:val="20"/>
          <w:szCs w:val="20"/>
          <w:color w:val="auto"/>
        </w:rPr>
      </w:pPr>
    </w:p>
    <w:p>
      <w:pPr>
        <w:jc w:val="both"/>
        <w:ind w:firstLine="1304"/>
        <w:spacing w:after="0" w:line="237" w:lineRule="auto"/>
        <w:tabs>
          <w:tab w:leader="none" w:pos="1751"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69" w:lineRule="exact"/>
        <w:rPr>
          <w:rFonts w:ascii="Arial" w:cs="Arial" w:eastAsia="Arial" w:hAnsi="Arial"/>
          <w:sz w:val="20"/>
          <w:szCs w:val="20"/>
          <w:color w:val="auto"/>
        </w:rPr>
      </w:pPr>
    </w:p>
    <w:p>
      <w:pPr>
        <w:ind w:left="1740" w:hanging="436"/>
        <w:spacing w:after="0"/>
        <w:tabs>
          <w:tab w:leader="none" w:pos="17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name and address of the Paying Agent;</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that Notes called for redemption must be surrendered to the Paying Agent to collect the redemption price;</w:t>
      </w:r>
    </w:p>
    <w:p>
      <w:pPr>
        <w:spacing w:after="0" w:line="175" w:lineRule="exact"/>
        <w:rPr>
          <w:rFonts w:ascii="Arial" w:cs="Arial" w:eastAsia="Arial" w:hAnsi="Arial"/>
          <w:sz w:val="20"/>
          <w:szCs w:val="20"/>
          <w:color w:val="auto"/>
        </w:rPr>
      </w:pPr>
    </w:p>
    <w:p>
      <w:pPr>
        <w:ind w:right="20" w:firstLine="1304"/>
        <w:spacing w:after="0" w:line="246" w:lineRule="auto"/>
        <w:tabs>
          <w:tab w:leader="none" w:pos="1776"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that, unless the Issuer defaults in making such redemption payment, interest on Notes or portions thereof called for redemption ceases to accrue on and after the redemption date;</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redeemed;</w:t>
      </w:r>
    </w:p>
    <w:p>
      <w:pPr>
        <w:spacing w:after="0" w:line="172" w:lineRule="exact"/>
        <w:rPr>
          <w:rFonts w:ascii="Arial" w:cs="Arial" w:eastAsia="Arial" w:hAnsi="Arial"/>
          <w:sz w:val="16"/>
          <w:szCs w:val="16"/>
          <w:color w:val="auto"/>
        </w:rPr>
      </w:pPr>
    </w:p>
    <w:p>
      <w:pPr>
        <w:ind w:firstLine="1304"/>
        <w:spacing w:after="0" w:line="246" w:lineRule="auto"/>
        <w:tabs>
          <w:tab w:leader="none" w:pos="1792"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that no representation is made as to the correctness or accuracy of the CUSIP or ISIN number, if any, listed in such notice or printed on the Notes; and</w:t>
      </w:r>
    </w:p>
    <w:p>
      <w:pPr>
        <w:spacing w:after="0" w:line="149" w:lineRule="exact"/>
        <w:rPr>
          <w:rFonts w:ascii="Arial" w:cs="Arial" w:eastAsia="Arial" w:hAnsi="Arial"/>
          <w:sz w:val="20"/>
          <w:szCs w:val="20"/>
          <w:color w:val="auto"/>
        </w:rPr>
      </w:pPr>
    </w:p>
    <w:p>
      <w:pPr>
        <w:ind w:left="1680" w:hanging="376"/>
        <w:spacing w:after="0"/>
        <w:tabs>
          <w:tab w:leader="none" w:pos="16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conditions precedent to such redemption.</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At the Issuer’s request, the Trustee will give the notice of redemption in the Issuer’s name and at the Issuer’s expense;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Officers’ Certificate delivered to the Trustee pursuant to Section 3.01 requests that the Trustee give such notice and sets</w:t>
      </w:r>
      <w:r>
        <w:rPr>
          <w:rFonts w:ascii="Arial" w:cs="Arial" w:eastAsia="Arial" w:hAnsi="Arial"/>
          <w:sz w:val="20"/>
          <w:szCs w:val="20"/>
          <w:i w:val="1"/>
          <w:iCs w:val="1"/>
          <w:color w:val="auto"/>
        </w:rPr>
        <w:t xml:space="preserve"> </w:t>
      </w:r>
      <w:r>
        <w:rPr>
          <w:rFonts w:ascii="Arial" w:cs="Arial" w:eastAsia="Arial" w:hAnsi="Arial"/>
          <w:sz w:val="20"/>
          <w:szCs w:val="20"/>
          <w:color w:val="auto"/>
        </w:rPr>
        <w:t>forth the information to be stated in such notice as provided in the preceding paragraph.</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A notice of redemption with respect to a redemption described in Section 3.07(b)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2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i w:val="1"/>
          <w:iCs w:val="1"/>
          <w:color w:val="auto"/>
        </w:rPr>
        <w:t>Deposit of Redemption Price.</w:t>
      </w:r>
    </w:p>
    <w:p>
      <w:pPr>
        <w:spacing w:after="0" w:line="17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No later than 11:00 a.m., New York City time, on the redemption date, the Issuer will deposit with the Trustee or with the Paying Agent money sufficient to pay the redemption price of and accrued interest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7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6"/>
          <w:szCs w:val="16"/>
          <w:i w:val="1"/>
          <w:iCs w:val="1"/>
          <w:color w:val="auto"/>
        </w:rPr>
        <w:t>Notes Redeemed in Part.</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3.07</w:t>
      </w:r>
      <w:r>
        <w:rPr>
          <w:sz w:val="20"/>
          <w:szCs w:val="20"/>
          <w:color w:val="auto"/>
        </w:rPr>
        <w:tab/>
      </w:r>
      <w:r>
        <w:rPr>
          <w:rFonts w:ascii="Arial" w:cs="Arial" w:eastAsia="Arial" w:hAnsi="Arial"/>
          <w:sz w:val="18"/>
          <w:szCs w:val="18"/>
          <w:i w:val="1"/>
          <w:iCs w:val="1"/>
          <w:color w:val="auto"/>
        </w:rPr>
        <w:t>Optional Redemption.</w:t>
      </w:r>
    </w:p>
    <w:p>
      <w:pPr>
        <w:spacing w:after="0" w:line="189" w:lineRule="exact"/>
        <w:rPr>
          <w:sz w:val="20"/>
          <w:szCs w:val="20"/>
          <w:color w:val="auto"/>
        </w:rPr>
      </w:pPr>
    </w:p>
    <w:p>
      <w:pPr>
        <w:jc w:val="both"/>
        <w:ind w:firstLine="1304"/>
        <w:spacing w:after="0" w:line="285" w:lineRule="auto"/>
        <w:tabs>
          <w:tab w:leader="none" w:pos="1713"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At any time prior to February 1, 2023, the Issuer may on any one or more occasions redeem up to 35%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107.125% of the principal amount of the Notes redeemed, plus accrued and unpaid interest, if any, to, but excluding, the date of redemption (subject to the rights of Holders of Notes on the relevant record date to receive interest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 w:lineRule="exact"/>
        <w:rPr>
          <w:rFonts w:ascii="Arial" w:cs="Arial" w:eastAsia="Arial" w:hAnsi="Arial"/>
          <w:sz w:val="16"/>
          <w:szCs w:val="16"/>
          <w:color w:val="auto"/>
        </w:rPr>
      </w:pPr>
    </w:p>
    <w:p>
      <w:pPr>
        <w:jc w:val="both"/>
        <w:ind w:firstLine="8"/>
        <w:spacing w:after="0" w:line="231" w:lineRule="auto"/>
        <w:tabs>
          <w:tab w:leader="none" w:pos="29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70" w:lineRule="exact"/>
        <w:rPr>
          <w:rFonts w:ascii="Arial" w:cs="Arial" w:eastAsia="Arial" w:hAnsi="Arial"/>
          <w:sz w:val="20"/>
          <w:szCs w:val="20"/>
          <w:color w:val="auto"/>
        </w:rPr>
      </w:pPr>
    </w:p>
    <w:p>
      <w:pPr>
        <w:jc w:val="both"/>
        <w:ind w:firstLine="1304"/>
        <w:spacing w:after="0" w:line="248" w:lineRule="auto"/>
        <w:tabs>
          <w:tab w:leader="none" w:pos="1745" w:val="left"/>
        </w:tabs>
        <w:numPr>
          <w:ilvl w:val="1"/>
          <w:numId w:val="84"/>
        </w:numPr>
        <w:rPr>
          <w:rFonts w:ascii="Arial" w:cs="Arial" w:eastAsia="Arial" w:hAnsi="Arial"/>
          <w:sz w:val="19"/>
          <w:szCs w:val="19"/>
          <w:color w:val="auto"/>
        </w:rPr>
      </w:pPr>
      <w:r>
        <w:rPr>
          <w:rFonts w:ascii="Arial" w:cs="Arial" w:eastAsia="Arial" w:hAnsi="Arial"/>
          <w:sz w:val="19"/>
          <w:szCs w:val="19"/>
          <w:color w:val="auto"/>
        </w:rPr>
        <w:t>At any time prior to February 1, 2023, the Issuer may on any one or more occasions redeem all or a part of the Notes, upon notice as provided in this Indenture, at a redemption price equal to 100% of the principal amount of the Notes redeemed, plus the Applicable Premium as of, and accrued and unpaid interest to, but excluding, the date of redemption, subject to the rights of Holders of Notes on the relevant record date to receive interest due on the relevant Interest Payment Date.</w:t>
      </w:r>
    </w:p>
    <w:p>
      <w:pPr>
        <w:spacing w:after="0" w:line="149" w:lineRule="exact"/>
        <w:rPr>
          <w:rFonts w:ascii="Arial" w:cs="Arial" w:eastAsia="Arial" w:hAnsi="Arial"/>
          <w:sz w:val="19"/>
          <w:szCs w:val="19"/>
          <w:color w:val="auto"/>
        </w:rPr>
      </w:pPr>
    </w:p>
    <w:p>
      <w:pPr>
        <w:ind w:left="1740" w:hanging="436"/>
        <w:spacing w:after="0"/>
        <w:tabs>
          <w:tab w:leader="none" w:pos="1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pursuant to Section 3.07(a), (b) or (e), the Notes will not be redeemable at the Issuer’s option prior to February</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1, 2023.</w:t>
      </w:r>
    </w:p>
    <w:p>
      <w:pPr>
        <w:spacing w:after="0" w:line="172" w:lineRule="exact"/>
        <w:rPr>
          <w:rFonts w:ascii="Arial" w:cs="Arial" w:eastAsia="Arial" w:hAnsi="Arial"/>
          <w:sz w:val="18"/>
          <w:szCs w:val="18"/>
          <w:color w:val="auto"/>
        </w:rPr>
      </w:pPr>
    </w:p>
    <w:p>
      <w:pPr>
        <w:jc w:val="both"/>
        <w:ind w:firstLine="1304"/>
        <w:spacing w:after="0" w:line="232" w:lineRule="auto"/>
        <w:tabs>
          <w:tab w:leader="none" w:pos="1795" w:val="left"/>
        </w:tabs>
        <w:numPr>
          <w:ilvl w:val="1"/>
          <w:numId w:val="84"/>
        </w:numPr>
        <w:rPr>
          <w:rFonts w:ascii="Arial" w:cs="Arial" w:eastAsia="Arial" w:hAnsi="Arial"/>
          <w:sz w:val="20"/>
          <w:szCs w:val="20"/>
          <w:color w:val="auto"/>
        </w:rPr>
      </w:pPr>
      <w:r>
        <w:rPr>
          <w:rFonts w:ascii="Arial" w:cs="Arial" w:eastAsia="Arial" w:hAnsi="Arial"/>
          <w:sz w:val="20"/>
          <w:szCs w:val="20"/>
          <w:color w:val="auto"/>
        </w:rPr>
        <w:t>On or after February 1, 2023, the Issuer may on any one or more occasions redeem all or a part of the Notes, upon notice as provided in this Indenture, at the redemption prices (expressed as percentages of principal amount) set forth below, plus accrued and unpaid interest, if any, on the Notes redeemed to, but excluding, the applicable date of redemption, subject to the rights of Holders of Notes on the relevant record date to receive interest on the relevant Interest Payment Date, if redeemed during the twelve-month period beginning on February 1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98"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0"/>
              </w:rPr>
              <w:t>Year</w:t>
            </w:r>
          </w:p>
        </w:tc>
        <w:tc>
          <w:tcPr>
            <w:tcW w:w="49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Percentage</w:t>
            </w:r>
          </w:p>
        </w:tc>
      </w:tr>
      <w:tr>
        <w:trPr>
          <w:trHeight w:val="260"/>
        </w:trPr>
        <w:tc>
          <w:tcPr>
            <w:tcW w:w="5260" w:type="dxa"/>
            <w:vAlign w:val="bottom"/>
            <w:gridSpan w:val="2"/>
          </w:tcPr>
          <w:p>
            <w:pPr>
              <w:spacing w:after="0"/>
              <w:rPr>
                <w:sz w:val="20"/>
                <w:szCs w:val="20"/>
                <w:color w:val="auto"/>
              </w:rPr>
            </w:pPr>
            <w:r>
              <w:rPr>
                <w:rFonts w:ascii="Arial" w:cs="Arial" w:eastAsia="Arial" w:hAnsi="Arial"/>
                <w:sz w:val="20"/>
                <w:szCs w:val="20"/>
                <w:color w:val="auto"/>
              </w:rPr>
              <w:t>2023</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103.563%</w:t>
            </w:r>
          </w:p>
        </w:tc>
      </w:tr>
      <w:tr>
        <w:trPr>
          <w:trHeight w:val="243"/>
        </w:trPr>
        <w:tc>
          <w:tcPr>
            <w:tcW w:w="5260" w:type="dxa"/>
            <w:vAlign w:val="bottom"/>
            <w:gridSpan w:val="2"/>
          </w:tcPr>
          <w:p>
            <w:pPr>
              <w:spacing w:after="0"/>
              <w:rPr>
                <w:sz w:val="20"/>
                <w:szCs w:val="20"/>
                <w:color w:val="auto"/>
              </w:rPr>
            </w:pPr>
            <w:r>
              <w:rPr>
                <w:rFonts w:ascii="Arial" w:cs="Arial" w:eastAsia="Arial" w:hAnsi="Arial"/>
                <w:sz w:val="20"/>
                <w:szCs w:val="20"/>
                <w:color w:val="auto"/>
              </w:rPr>
              <w:t>2024</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101.781%</w:t>
            </w:r>
          </w:p>
        </w:tc>
      </w:tr>
      <w:tr>
        <w:trPr>
          <w:trHeight w:val="250"/>
        </w:trPr>
        <w:tc>
          <w:tcPr>
            <w:tcW w:w="5260" w:type="dxa"/>
            <w:vAlign w:val="bottom"/>
            <w:gridSpan w:val="2"/>
          </w:tcPr>
          <w:p>
            <w:pPr>
              <w:spacing w:after="0"/>
              <w:rPr>
                <w:sz w:val="20"/>
                <w:szCs w:val="20"/>
                <w:color w:val="auto"/>
              </w:rPr>
            </w:pPr>
            <w:r>
              <w:rPr>
                <w:rFonts w:ascii="Arial" w:cs="Arial" w:eastAsia="Arial" w:hAnsi="Arial"/>
                <w:sz w:val="20"/>
                <w:szCs w:val="20"/>
                <w:color w:val="auto"/>
              </w:rPr>
              <w:t>2025 and thereafter</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100.000%</w:t>
            </w:r>
          </w:p>
        </w:tc>
      </w:tr>
    </w:tbl>
    <w:p>
      <w:pPr>
        <w:spacing w:after="0" w:line="26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The Issuer may redeem all (but not a portion of) the Notes when permitted by, and pursuant to the conditions in, Section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4.15(f).</w:t>
      </w:r>
    </w:p>
    <w:p>
      <w:pPr>
        <w:spacing w:after="0" w:line="173" w:lineRule="exact"/>
        <w:rPr>
          <w:sz w:val="20"/>
          <w:szCs w:val="20"/>
          <w:color w:val="auto"/>
        </w:rPr>
      </w:pPr>
    </w:p>
    <w:p>
      <w:pPr>
        <w:ind w:left="660" w:right="280" w:firstLine="644"/>
        <w:spacing w:after="0" w:line="429" w:lineRule="auto"/>
        <w:tabs>
          <w:tab w:leader="none" w:pos="1693"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Any redemption pursuant to this Section 3.07 shall be made pursuant to the provisions of Sections 3.01 through 3.06. Section 3.08 </w:t>
      </w:r>
      <w:r>
        <w:rPr>
          <w:rFonts w:ascii="Arial" w:cs="Arial" w:eastAsia="Arial" w:hAnsi="Arial"/>
          <w:sz w:val="20"/>
          <w:szCs w:val="20"/>
          <w:i w:val="1"/>
          <w:iCs w:val="1"/>
          <w:color w:val="auto"/>
        </w:rPr>
        <w:t>Mandatory Redemption.</w:t>
      </w:r>
    </w:p>
    <w:p>
      <w:pPr>
        <w:spacing w:after="0" w:line="1"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8"/>
          <w:szCs w:val="18"/>
          <w:color w:val="auto"/>
        </w:rPr>
        <w:t>The Issuer is not required to make mandatory redemption or sinking fund payments with respect to the Notes. The Issuer may at any time and from time to time purchase Notes in the open market or otherwise, in each case without any restriction under this Indenture.</w:t>
      </w:r>
    </w:p>
    <w:p>
      <w:pPr>
        <w:spacing w:after="0" w:line="11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that, pursuant to Section 4.10, the Issuer is required to commence an Asset Sale Offer to all Holders to purchase Notes, it will follow the procedures specified below.</w:t>
      </w:r>
    </w:p>
    <w:p>
      <w:pPr>
        <w:spacing w:after="0" w:line="1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The Asset Sale Offer shall be made to all Holders and all holders of other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Notes containing provisions similar to those set forth in this Indenture with respect to offers to purchase, prepay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9"/>
          <w:szCs w:val="19"/>
          <w:i w:val="1"/>
          <w:iCs w:val="1"/>
          <w:color w:val="auto"/>
        </w:rPr>
        <w:t>Offer Period</w:t>
      </w:r>
      <w:r>
        <w:rPr>
          <w:rFonts w:ascii="Arial" w:cs="Arial" w:eastAsia="Arial" w:hAnsi="Arial"/>
          <w:sz w:val="19"/>
          <w:szCs w:val="19"/>
          <w:color w:val="auto"/>
        </w:rPr>
        <w:t>”). No later than three Business Days after the termination of the Offer Period (the “</w:t>
      </w:r>
      <w:r>
        <w:rPr>
          <w:rFonts w:ascii="Arial" w:cs="Arial" w:eastAsia="Arial" w:hAnsi="Arial"/>
          <w:sz w:val="19"/>
          <w:szCs w:val="19"/>
          <w:i w:val="1"/>
          <w:iCs w:val="1"/>
          <w:color w:val="auto"/>
        </w:rPr>
        <w:t>Purchase Date</w:t>
      </w:r>
      <w:r>
        <w:rPr>
          <w:rFonts w:ascii="Arial" w:cs="Arial" w:eastAsia="Arial" w:hAnsi="Arial"/>
          <w:sz w:val="19"/>
          <w:szCs w:val="19"/>
          <w:color w:val="auto"/>
        </w:rPr>
        <w:t>”), the Issuer will apply all Excess Proceeds (the “</w:t>
      </w:r>
      <w:r>
        <w:rPr>
          <w:rFonts w:ascii="Arial" w:cs="Arial" w:eastAsia="Arial" w:hAnsi="Arial"/>
          <w:sz w:val="19"/>
          <w:szCs w:val="19"/>
          <w:i w:val="1"/>
          <w:iCs w:val="1"/>
          <w:color w:val="auto"/>
        </w:rPr>
        <w:t>Offer Amount</w:t>
      </w:r>
      <w:r>
        <w:rPr>
          <w:rFonts w:ascii="Arial" w:cs="Arial" w:eastAsia="Arial" w:hAnsi="Arial"/>
          <w:sz w:val="19"/>
          <w:szCs w:val="19"/>
          <w:color w:val="auto"/>
        </w:rPr>
        <w:t xml:space="preserve">”) to the purchase of Notes and such other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Indebtedness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based on the principal amount of Notes and such other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Indebtedness surrendered, if applicable) or, if less than the Offer Amount has been tendered, all Notes and other Indebtedness tendered in response to the Asset Sale Offer. Payment for any Notes so purchased will be made in the same manner specified in the last paragraph of this Section 3.09.</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5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169" w:lineRule="exact"/>
        <w:rPr>
          <w:sz w:val="20"/>
          <w:szCs w:val="20"/>
          <w:color w:val="auto"/>
        </w:rPr>
      </w:pPr>
    </w:p>
    <w:p>
      <w:pPr>
        <w:ind w:firstLine="1304"/>
        <w:spacing w:after="0" w:line="246" w:lineRule="auto"/>
        <w:tabs>
          <w:tab w:leader="none" w:pos="17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that the Asset Sale Offer is being made pursuant to this Section 3.09 and Section 4.10 and the length of time the Asset Sale Offer will remain open;</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Offer Amount, the purchase price and the Purchase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2" w:lineRule="exact"/>
        <w:rPr>
          <w:sz w:val="20"/>
          <w:szCs w:val="20"/>
          <w:color w:val="auto"/>
        </w:rPr>
      </w:pPr>
    </w:p>
    <w:p>
      <w:pPr>
        <w:ind w:left="1720" w:hanging="416"/>
        <w:spacing w:after="0"/>
        <w:tabs>
          <w:tab w:leader="none" w:pos="1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any Note not tendered or accepted for payment will continue to accrue interest;</w:t>
      </w:r>
    </w:p>
    <w:p>
      <w:pPr>
        <w:spacing w:after="0" w:line="175" w:lineRule="exact"/>
        <w:rPr>
          <w:rFonts w:ascii="Arial" w:cs="Arial" w:eastAsia="Arial" w:hAnsi="Arial"/>
          <w:sz w:val="20"/>
          <w:szCs w:val="20"/>
          <w:color w:val="auto"/>
        </w:rPr>
      </w:pPr>
    </w:p>
    <w:p>
      <w:pPr>
        <w:ind w:firstLine="1304"/>
        <w:spacing w:after="0" w:line="246" w:lineRule="auto"/>
        <w:tabs>
          <w:tab w:leader="none" w:pos="180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unless the Issuer defaults in making such payment, any Note accepted for payment pursuant to the Asset Sale Offer will cease to accrue interest on and after the Purchase Date;</w:t>
      </w:r>
    </w:p>
    <w:p>
      <w:pPr>
        <w:spacing w:after="0" w:line="163" w:lineRule="exact"/>
        <w:rPr>
          <w:rFonts w:ascii="Arial" w:cs="Arial" w:eastAsia="Arial" w:hAnsi="Arial"/>
          <w:sz w:val="20"/>
          <w:szCs w:val="20"/>
          <w:color w:val="auto"/>
        </w:rPr>
      </w:pPr>
    </w:p>
    <w:p>
      <w:pPr>
        <w:ind w:firstLine="1304"/>
        <w:spacing w:after="0" w:line="246" w:lineRule="auto"/>
        <w:tabs>
          <w:tab w:leader="none" w:pos="1761"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Holders electing to have a Note purchased pursuant to an Asset Sale Offer may elect to have Notes purchased in minimum denominations of $2,000 and any integral multiple of $1,000 in excess thereof;</w:t>
      </w:r>
    </w:p>
    <w:p>
      <w:pPr>
        <w:spacing w:after="0" w:line="163" w:lineRule="exact"/>
        <w:rPr>
          <w:rFonts w:ascii="Arial" w:cs="Arial" w:eastAsia="Arial" w:hAnsi="Arial"/>
          <w:sz w:val="20"/>
          <w:szCs w:val="20"/>
          <w:color w:val="auto"/>
        </w:rPr>
      </w:pPr>
    </w:p>
    <w:p>
      <w:pPr>
        <w:jc w:val="both"/>
        <w:ind w:firstLine="1304"/>
        <w:spacing w:after="0" w:line="325" w:lineRule="auto"/>
        <w:tabs>
          <w:tab w:leader="none" w:pos="172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89" w:lineRule="exact"/>
        <w:rPr>
          <w:rFonts w:ascii="Arial" w:cs="Arial" w:eastAsia="Arial" w:hAnsi="Arial"/>
          <w:sz w:val="16"/>
          <w:szCs w:val="16"/>
          <w:color w:val="auto"/>
        </w:rPr>
      </w:pPr>
    </w:p>
    <w:p>
      <w:pPr>
        <w:jc w:val="both"/>
        <w:ind w:firstLine="1304"/>
        <w:spacing w:after="0" w:line="234" w:lineRule="auto"/>
        <w:tabs>
          <w:tab w:leader="none" w:pos="172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69" w:lineRule="exact"/>
        <w:rPr>
          <w:rFonts w:ascii="Arial" w:cs="Arial" w:eastAsia="Arial" w:hAnsi="Arial"/>
          <w:sz w:val="20"/>
          <w:szCs w:val="20"/>
          <w:color w:val="auto"/>
        </w:rPr>
      </w:pPr>
    </w:p>
    <w:p>
      <w:pPr>
        <w:jc w:val="both"/>
        <w:ind w:firstLine="1304"/>
        <w:spacing w:after="0" w:line="260" w:lineRule="auto"/>
        <w:tabs>
          <w:tab w:leader="none" w:pos="17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(except that any Notes represented by a Global Note shall be selected by such method as DTC or its nominee or successor may require or a method that most nearly approximates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53" w:lineRule="exact"/>
        <w:rPr>
          <w:rFonts w:ascii="Arial" w:cs="Arial" w:eastAsia="Arial" w:hAnsi="Arial"/>
          <w:sz w:val="18"/>
          <w:szCs w:val="18"/>
          <w:color w:val="auto"/>
        </w:rPr>
      </w:pPr>
    </w:p>
    <w:p>
      <w:pPr>
        <w:ind w:firstLine="1304"/>
        <w:spacing w:after="0" w:line="246" w:lineRule="auto"/>
        <w:tabs>
          <w:tab w:leader="none" w:pos="17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Holders whose Notes were purchased only in part will be issued new Notes equal in principal amount to the unpurchased portion of the Notes surrendered (or transferred by book-entry transfer).</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or before the Purchase Date, the Issuer will, to the extent lawful, accept for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the extent necessary, the Notes or portions thereof tendered pursuant to the Asset Sale Offer and required to be purchased pursuant to this Section 3.09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3.09.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 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The Issuer will pay or cause to be paid the principal of, premium on, if any, and interest on the Notes on the dates and in the manner provided in the Notes. Principal, premium, if any, and interest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premium, if any, and interest, if any, then due.</w:t>
      </w:r>
    </w:p>
    <w:p>
      <w:pPr>
        <w:spacing w:after="0" w:line="1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4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provided that the Trustee shall not be deemed an agent of the Issuer for service of legal process.</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Issuer hereby designates the Corporate Trust Office of the Trustee as one such office or agency of the Issuer in accordance with Section 2.03 of this Indenture.</w:t>
      </w:r>
    </w:p>
    <w:p>
      <w:pPr>
        <w:spacing w:after="0" w:line="16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any such presentation, surrender or delivery effected pursuant to the Applicable Procedures of the Depositary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shall be deemed to have been effected at such office or agency in accordance with the provisions of this Indenture.</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4.03</w:t>
      </w:r>
      <w:r>
        <w:rPr>
          <w:sz w:val="20"/>
          <w:szCs w:val="20"/>
          <w:color w:val="auto"/>
        </w:rPr>
        <w:tab/>
      </w:r>
      <w:r>
        <w:rPr>
          <w:rFonts w:ascii="Arial" w:cs="Arial" w:eastAsia="Arial" w:hAnsi="Arial"/>
          <w:sz w:val="16"/>
          <w:szCs w:val="16"/>
          <w:i w:val="1"/>
          <w:iCs w:val="1"/>
          <w:color w:val="auto"/>
        </w:rPr>
        <w:t>Reports.</w:t>
      </w:r>
    </w:p>
    <w:p>
      <w:pPr>
        <w:spacing w:after="0" w:line="189" w:lineRule="exact"/>
        <w:rPr>
          <w:sz w:val="20"/>
          <w:szCs w:val="20"/>
          <w:color w:val="auto"/>
        </w:rPr>
      </w:pPr>
    </w:p>
    <w:p>
      <w:pPr>
        <w:jc w:val="both"/>
        <w:ind w:firstLine="1304"/>
        <w:spacing w:after="0" w:line="254" w:lineRule="auto"/>
        <w:tabs>
          <w:tab w:leader="none" w:pos="1747" w:val="left"/>
        </w:tabs>
        <w:numPr>
          <w:ilvl w:val="0"/>
          <w:numId w:val="88"/>
        </w:numPr>
        <w:rPr>
          <w:rFonts w:ascii="Arial" w:cs="Arial" w:eastAsia="Arial" w:hAnsi="Arial"/>
          <w:sz w:val="19"/>
          <w:szCs w:val="19"/>
          <w:color w:val="auto"/>
        </w:rPr>
      </w:pPr>
      <w:r>
        <w:rPr>
          <w:rFonts w:ascii="Arial" w:cs="Arial" w:eastAsia="Arial" w:hAnsi="Arial"/>
          <w:sz w:val="19"/>
          <w:szCs w:val="19"/>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156" w:lineRule="exact"/>
        <w:rPr>
          <w:rFonts w:ascii="Arial" w:cs="Arial" w:eastAsia="Arial" w:hAnsi="Arial"/>
          <w:sz w:val="19"/>
          <w:szCs w:val="19"/>
          <w:color w:val="auto"/>
        </w:rPr>
      </w:pPr>
    </w:p>
    <w:p>
      <w:pPr>
        <w:jc w:val="both"/>
        <w:ind w:left="660" w:firstLine="1292"/>
        <w:spacing w:after="0" w:line="234" w:lineRule="auto"/>
        <w:tabs>
          <w:tab w:leader="none" w:pos="2398" w:val="left"/>
        </w:tabs>
        <w:numPr>
          <w:ilvl w:val="1"/>
          <w:numId w:val="88"/>
        </w:numPr>
        <w:rPr>
          <w:rFonts w:ascii="Arial" w:cs="Arial" w:eastAsia="Arial" w:hAnsi="Arial"/>
          <w:sz w:val="20"/>
          <w:szCs w:val="20"/>
          <w:color w:val="auto"/>
        </w:rPr>
      </w:pPr>
      <w:r>
        <w:rPr>
          <w:rFonts w:ascii="Arial" w:cs="Arial" w:eastAsia="Arial" w:hAnsi="Arial"/>
          <w:sz w:val="20"/>
          <w:szCs w:val="20"/>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and</w:t>
      </w:r>
    </w:p>
    <w:p>
      <w:pPr>
        <w:spacing w:after="0" w:line="156" w:lineRule="exact"/>
        <w:rPr>
          <w:rFonts w:ascii="Arial" w:cs="Arial" w:eastAsia="Arial" w:hAnsi="Arial"/>
          <w:sz w:val="20"/>
          <w:szCs w:val="20"/>
          <w:color w:val="auto"/>
        </w:rPr>
      </w:pPr>
    </w:p>
    <w:p>
      <w:pPr>
        <w:ind w:left="2420" w:hanging="468"/>
        <w:spacing w:after="0"/>
        <w:tabs>
          <w:tab w:leader="none" w:pos="2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 were required to</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file such reports.</w:t>
      </w:r>
    </w:p>
    <w:p>
      <w:pPr>
        <w:spacing w:after="0" w:line="173"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availability of the foregoing reports on the SEC’s EDGAR filing system will be deemed to satisfy the foregoing delivery requirements.</w:t>
      </w:r>
    </w:p>
    <w:p>
      <w:pPr>
        <w:spacing w:after="0" w:line="163" w:lineRule="exact"/>
        <w:rPr>
          <w:sz w:val="20"/>
          <w:szCs w:val="20"/>
          <w:color w:val="auto"/>
        </w:rPr>
      </w:pPr>
    </w:p>
    <w:p>
      <w:pPr>
        <w:jc w:val="both"/>
        <w:ind w:firstLine="1304"/>
        <w:spacing w:after="0" w:line="244" w:lineRule="auto"/>
        <w:tabs>
          <w:tab w:leader="none" w:pos="1727"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the Issuer has designated as an Unrestricted Subsidiary any of its Subsidiaries that is a Significant Subsidiary (or that, taken together with other Unrestricted Subsidiaries, would be a Significant Subsidiary), then the quarterly and annual financial information required by Section 4.03(a) will include,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52" w:lineRule="exact"/>
        <w:rPr>
          <w:rFonts w:ascii="Arial" w:cs="Arial" w:eastAsia="Arial" w:hAnsi="Arial"/>
          <w:sz w:val="19"/>
          <w:szCs w:val="19"/>
          <w:color w:val="auto"/>
        </w:rPr>
      </w:pPr>
    </w:p>
    <w:p>
      <w:pPr>
        <w:jc w:val="both"/>
        <w:ind w:firstLine="1304"/>
        <w:spacing w:after="0" w:line="232" w:lineRule="auto"/>
        <w:tabs>
          <w:tab w:leader="none" w:pos="175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170" w:lineRule="exact"/>
        <w:rPr>
          <w:rFonts w:ascii="Arial" w:cs="Arial" w:eastAsia="Arial" w:hAnsi="Arial"/>
          <w:sz w:val="20"/>
          <w:szCs w:val="20"/>
          <w:color w:val="auto"/>
        </w:rPr>
      </w:pPr>
    </w:p>
    <w:p>
      <w:pPr>
        <w:jc w:val="both"/>
        <w:ind w:firstLine="1304"/>
        <w:spacing w:after="0" w:line="231" w:lineRule="auto"/>
        <w:tabs>
          <w:tab w:leader="none" w:pos="182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cure shall not otherwise affect the rights of the Holders under Article 6 if the principal, premium, if any, and interest have been accelerated in accordance with the terms of this Indenture and such acceleration has not been rescinded or cancelled prior to such cure.</w:t>
      </w:r>
    </w:p>
    <w:p>
      <w:pPr>
        <w:spacing w:after="0" w:line="170" w:lineRule="exact"/>
        <w:rPr>
          <w:rFonts w:ascii="Arial" w:cs="Arial" w:eastAsia="Arial" w:hAnsi="Arial"/>
          <w:sz w:val="20"/>
          <w:szCs w:val="20"/>
          <w:color w:val="auto"/>
        </w:rPr>
      </w:pPr>
    </w:p>
    <w:p>
      <w:pPr>
        <w:jc w:val="both"/>
        <w:ind w:firstLine="1304"/>
        <w:spacing w:after="0" w:line="237" w:lineRule="auto"/>
        <w:tabs>
          <w:tab w:leader="none" w:pos="1729" w:val="left"/>
        </w:tabs>
        <w:numPr>
          <w:ilvl w:val="0"/>
          <w:numId w:val="89"/>
        </w:numPr>
        <w:rPr>
          <w:rFonts w:ascii="Arial" w:cs="Arial" w:eastAsia="Arial" w:hAnsi="Arial"/>
          <w:sz w:val="20"/>
          <w:szCs w:val="20"/>
          <w:color w:val="auto"/>
        </w:rPr>
      </w:pPr>
      <w:r>
        <w:rPr>
          <w:rFonts w:ascii="Arial" w:cs="Arial" w:eastAsia="Arial" w:hAnsi="Arial"/>
          <w:sz w:val="20"/>
          <w:szCs w:val="20"/>
          <w:color w:val="auto"/>
        </w:rPr>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2" w:lineRule="exact"/>
        <w:rPr>
          <w:sz w:val="20"/>
          <w:szCs w:val="20"/>
          <w:color w:val="auto"/>
        </w:rPr>
      </w:pPr>
    </w:p>
    <w:p>
      <w:pPr>
        <w:jc w:val="both"/>
        <w:ind w:firstLine="1304"/>
        <w:spacing w:after="0" w:line="244" w:lineRule="auto"/>
        <w:tabs>
          <w:tab w:leader="none" w:pos="1738"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This Section 4.03 does not impose any duty on the Issuer under the Sarbanes Oxley Act of 2002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“Issuer Website” means the collection of web pages that may be accessed on the World Wide Web using the URL address http://www.crc.com or such other address as the Issuer may from time to time maintain for public information.</w:t>
      </w:r>
    </w:p>
    <w:p>
      <w:pPr>
        <w:spacing w:after="0" w:line="152" w:lineRule="exact"/>
        <w:rPr>
          <w:rFonts w:ascii="Arial" w:cs="Arial" w:eastAsia="Arial" w:hAnsi="Arial"/>
          <w:sz w:val="19"/>
          <w:szCs w:val="19"/>
          <w:color w:val="auto"/>
        </w:rPr>
      </w:pPr>
    </w:p>
    <w:p>
      <w:pPr>
        <w:jc w:val="both"/>
        <w:ind w:firstLine="1304"/>
        <w:spacing w:after="0" w:line="231" w:lineRule="auto"/>
        <w:tabs>
          <w:tab w:leader="none" w:pos="1725" w:val="left"/>
        </w:tabs>
        <w:numPr>
          <w:ilvl w:val="0"/>
          <w:numId w:val="90"/>
        </w:numPr>
        <w:rPr>
          <w:rFonts w:ascii="Arial" w:cs="Arial" w:eastAsia="Arial" w:hAnsi="Arial"/>
          <w:sz w:val="20"/>
          <w:szCs w:val="20"/>
          <w:color w:val="auto"/>
        </w:rPr>
      </w:pPr>
      <w:r>
        <w:rPr>
          <w:rFonts w:ascii="Arial" w:cs="Arial" w:eastAsia="Arial" w:hAnsi="Arial"/>
          <w:sz w:val="20"/>
          <w:szCs w:val="20"/>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Trustee’s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4.04</w:t>
      </w:r>
      <w:r>
        <w:rPr>
          <w:sz w:val="20"/>
          <w:szCs w:val="20"/>
          <w:color w:val="auto"/>
        </w:rPr>
        <w:tab/>
      </w:r>
      <w:r>
        <w:rPr>
          <w:rFonts w:ascii="Arial" w:cs="Arial" w:eastAsia="Arial" w:hAnsi="Arial"/>
          <w:sz w:val="18"/>
          <w:szCs w:val="18"/>
          <w:i w:val="1"/>
          <w:iCs w:val="1"/>
          <w:color w:val="auto"/>
        </w:rPr>
        <w:t>Compliance Certificate.</w:t>
      </w:r>
    </w:p>
    <w:p>
      <w:pPr>
        <w:spacing w:after="0" w:line="189" w:lineRule="exact"/>
        <w:rPr>
          <w:sz w:val="20"/>
          <w:szCs w:val="20"/>
          <w:color w:val="auto"/>
        </w:rPr>
      </w:pPr>
    </w:p>
    <w:p>
      <w:pPr>
        <w:jc w:val="both"/>
        <w:ind w:firstLine="1304"/>
        <w:spacing w:after="0" w:line="242" w:lineRule="auto"/>
        <w:tabs>
          <w:tab w:leader="none" w:pos="1742"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Issuer shall deliver to the Trustee, within 120 days after the end of each fiscal year, beginning with the fiscal year ending December 31, 2021,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54" w:lineRule="exact"/>
        <w:rPr>
          <w:rFonts w:ascii="Arial" w:cs="Arial" w:eastAsia="Arial" w:hAnsi="Arial"/>
          <w:sz w:val="19"/>
          <w:szCs w:val="19"/>
          <w:color w:val="auto"/>
        </w:rPr>
      </w:pPr>
    </w:p>
    <w:p>
      <w:pPr>
        <w:jc w:val="both"/>
        <w:ind w:firstLine="1304"/>
        <w:spacing w:after="0" w:line="267" w:lineRule="auto"/>
        <w:tabs>
          <w:tab w:leader="none" w:pos="17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Event of Default, unless such Default or Event of Default has been cured before the end of the 30-day period.</w:t>
      </w:r>
    </w:p>
    <w:p>
      <w:pPr>
        <w:spacing w:after="0" w:line="14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4.05</w:t>
      </w:r>
      <w:r>
        <w:rPr>
          <w:sz w:val="20"/>
          <w:szCs w:val="20"/>
          <w:color w:val="auto"/>
        </w:rPr>
        <w:tab/>
      </w:r>
      <w:r>
        <w:rPr>
          <w:rFonts w:ascii="Arial" w:cs="Arial" w:eastAsia="Arial" w:hAnsi="Arial"/>
          <w:sz w:val="16"/>
          <w:szCs w:val="16"/>
          <w:i w:val="1"/>
          <w:iCs w:val="1"/>
          <w:color w:val="auto"/>
        </w:rPr>
        <w:t>Taxes.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Issuer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that it will not, by resort to any such law, hinder, delay or impede the execution of any power herein granted to the Trustee, but will suffer and permit the execution of every such power as though no such law has been enacted.</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4.07</w:t>
      </w:r>
      <w:r>
        <w:rPr>
          <w:sz w:val="20"/>
          <w:szCs w:val="20"/>
          <w:color w:val="auto"/>
        </w:rPr>
        <w:tab/>
      </w:r>
      <w:r>
        <w:rPr>
          <w:rFonts w:ascii="Arial" w:cs="Arial" w:eastAsia="Arial" w:hAnsi="Arial"/>
          <w:sz w:val="16"/>
          <w:szCs w:val="16"/>
          <w:i w:val="1"/>
          <w:iCs w:val="1"/>
          <w:color w:val="auto"/>
        </w:rPr>
        <w:t>Restricted Payments.</w:t>
      </w:r>
    </w:p>
    <w:p>
      <w:pPr>
        <w:spacing w:after="0" w:line="189" w:lineRule="exact"/>
        <w:rPr>
          <w:sz w:val="20"/>
          <w:szCs w:val="20"/>
          <w:color w:val="auto"/>
        </w:rPr>
      </w:pPr>
    </w:p>
    <w:p>
      <w:pPr>
        <w:ind w:left="1720" w:hanging="416"/>
        <w:spacing w:after="0"/>
        <w:tabs>
          <w:tab w:leader="none" w:pos="1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Issuer will not, and will not permit any of its Restricted Subsidiaries to, directly or indirectly:</w:t>
      </w:r>
    </w:p>
    <w:p>
      <w:pPr>
        <w:spacing w:after="0" w:line="188" w:lineRule="exact"/>
        <w:rPr>
          <w:rFonts w:ascii="Arial" w:cs="Arial" w:eastAsia="Arial" w:hAnsi="Arial"/>
          <w:sz w:val="20"/>
          <w:szCs w:val="20"/>
          <w:color w:val="auto"/>
        </w:rPr>
      </w:pPr>
    </w:p>
    <w:p>
      <w:pPr>
        <w:jc w:val="both"/>
        <w:ind w:left="660" w:firstLine="1292"/>
        <w:spacing w:after="0" w:line="231" w:lineRule="auto"/>
        <w:tabs>
          <w:tab w:leader="none" w:pos="2416" w:val="left"/>
        </w:tabs>
        <w:numPr>
          <w:ilvl w:val="1"/>
          <w:numId w:val="92"/>
        </w:numPr>
        <w:rPr>
          <w:rFonts w:ascii="Arial" w:cs="Arial" w:eastAsia="Arial" w:hAnsi="Arial"/>
          <w:sz w:val="20"/>
          <w:szCs w:val="20"/>
          <w:color w:val="auto"/>
        </w:rPr>
      </w:pPr>
      <w:r>
        <w:rPr>
          <w:rFonts w:ascii="Arial" w:cs="Arial" w:eastAsia="Arial" w:hAnsi="Arial"/>
          <w:sz w:val="20"/>
          <w:szCs w:val="20"/>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distributions payable in Equity Interests (other than Disqualified Stock) of the Issuer and other than dividends or distributions payable to the Issuer or a Restricted Subsidiary of the Issuer);</w:t>
      </w:r>
    </w:p>
    <w:p>
      <w:pPr>
        <w:spacing w:after="0" w:line="156" w:lineRule="exact"/>
        <w:rPr>
          <w:rFonts w:ascii="Arial" w:cs="Arial" w:eastAsia="Arial" w:hAnsi="Arial"/>
          <w:sz w:val="20"/>
          <w:szCs w:val="20"/>
          <w:color w:val="auto"/>
        </w:rPr>
      </w:pPr>
    </w:p>
    <w:p>
      <w:pPr>
        <w:jc w:val="both"/>
        <w:ind w:left="660" w:firstLine="1292"/>
        <w:spacing w:after="0" w:line="248" w:lineRule="auto"/>
        <w:tabs>
          <w:tab w:leader="none" w:pos="2442" w:val="left"/>
        </w:tabs>
        <w:numPr>
          <w:ilvl w:val="1"/>
          <w:numId w:val="92"/>
        </w:numPr>
        <w:rPr>
          <w:rFonts w:ascii="Arial" w:cs="Arial" w:eastAsia="Arial" w:hAnsi="Arial"/>
          <w:sz w:val="19"/>
          <w:szCs w:val="19"/>
          <w:color w:val="auto"/>
        </w:rPr>
      </w:pPr>
      <w:r>
        <w:rPr>
          <w:rFonts w:ascii="Arial" w:cs="Arial" w:eastAsia="Arial" w:hAnsi="Arial"/>
          <w:sz w:val="19"/>
          <w:szCs w:val="19"/>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163" w:lineRule="exact"/>
        <w:rPr>
          <w:rFonts w:ascii="Arial" w:cs="Arial" w:eastAsia="Arial" w:hAnsi="Arial"/>
          <w:sz w:val="19"/>
          <w:szCs w:val="19"/>
          <w:color w:val="auto"/>
        </w:rPr>
      </w:pPr>
    </w:p>
    <w:p>
      <w:pPr>
        <w:jc w:val="both"/>
        <w:ind w:left="660" w:firstLine="1292"/>
        <w:spacing w:after="0" w:line="244" w:lineRule="auto"/>
        <w:tabs>
          <w:tab w:leader="none" w:pos="2392" w:val="left"/>
        </w:tabs>
        <w:numPr>
          <w:ilvl w:val="1"/>
          <w:numId w:val="92"/>
        </w:numPr>
        <w:rPr>
          <w:rFonts w:ascii="Arial" w:cs="Arial" w:eastAsia="Arial" w:hAnsi="Arial"/>
          <w:sz w:val="19"/>
          <w:szCs w:val="19"/>
          <w:color w:val="auto"/>
        </w:rPr>
      </w:pPr>
      <w:r>
        <w:rPr>
          <w:rFonts w:ascii="Arial" w:cs="Arial" w:eastAsia="Arial" w:hAnsi="Arial"/>
          <w:sz w:val="19"/>
          <w:szCs w:val="19"/>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165" w:lineRule="exact"/>
        <w:rPr>
          <w:rFonts w:ascii="Arial" w:cs="Arial" w:eastAsia="Arial" w:hAnsi="Arial"/>
          <w:sz w:val="19"/>
          <w:szCs w:val="19"/>
          <w:color w:val="auto"/>
        </w:rPr>
      </w:pPr>
    </w:p>
    <w:p>
      <w:pPr>
        <w:ind w:left="660" w:right="20" w:firstLine="1292"/>
        <w:spacing w:after="0" w:line="246" w:lineRule="auto"/>
        <w:tabs>
          <w:tab w:leader="none" w:pos="2397" w:val="left"/>
        </w:tabs>
        <w:numPr>
          <w:ilvl w:val="1"/>
          <w:numId w:val="92"/>
        </w:numPr>
        <w:rPr>
          <w:rFonts w:ascii="Arial" w:cs="Arial" w:eastAsia="Arial" w:hAnsi="Arial"/>
          <w:sz w:val="20"/>
          <w:szCs w:val="20"/>
          <w:color w:val="auto"/>
        </w:rPr>
      </w:pPr>
      <w:r>
        <w:rPr>
          <w:rFonts w:ascii="Arial" w:cs="Arial" w:eastAsia="Arial" w:hAnsi="Arial"/>
          <w:sz w:val="20"/>
          <w:szCs w:val="20"/>
          <w:color w:val="auto"/>
        </w:rPr>
        <w:t>make any Restricted Investment (all such payments and other actions set forth in clauses (1) through (4) of this Section 4.07(a), being collectively referred to as “</w:t>
      </w:r>
      <w:r>
        <w:rPr>
          <w:rFonts w:ascii="Arial" w:cs="Arial" w:eastAsia="Arial" w:hAnsi="Arial"/>
          <w:sz w:val="20"/>
          <w:szCs w:val="20"/>
          <w:i w:val="1"/>
          <w:iCs w:val="1"/>
          <w:color w:val="auto"/>
        </w:rPr>
        <w:t>Restricted Payments</w:t>
      </w:r>
      <w:r>
        <w:rPr>
          <w:rFonts w:ascii="Arial" w:cs="Arial" w:eastAsia="Arial" w:hAnsi="Arial"/>
          <w:sz w:val="20"/>
          <w:szCs w:val="20"/>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unless, at the time of and after giving effect to such Restricted Payment,</w:t>
      </w:r>
    </w:p>
    <w:p>
      <w:pPr>
        <w:spacing w:after="0" w:line="189" w:lineRule="exact"/>
        <w:rPr>
          <w:sz w:val="20"/>
          <w:szCs w:val="20"/>
          <w:color w:val="auto"/>
        </w:rPr>
      </w:pPr>
    </w:p>
    <w:p>
      <w:pPr>
        <w:ind w:left="1300" w:right="20" w:firstLine="1300"/>
        <w:spacing w:after="0" w:line="246" w:lineRule="auto"/>
        <w:tabs>
          <w:tab w:leader="none" w:pos="3143"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occur as a consequence of such Restricted Payment;</w:t>
      </w:r>
    </w:p>
    <w:p>
      <w:pPr>
        <w:spacing w:after="0" w:line="163" w:lineRule="exact"/>
        <w:rPr>
          <w:rFonts w:ascii="Arial" w:cs="Arial" w:eastAsia="Arial" w:hAnsi="Arial"/>
          <w:sz w:val="20"/>
          <w:szCs w:val="20"/>
          <w:color w:val="auto"/>
        </w:rPr>
      </w:pPr>
    </w:p>
    <w:p>
      <w:pPr>
        <w:jc w:val="both"/>
        <w:ind w:left="1300" w:firstLine="1300"/>
        <w:spacing w:after="0" w:line="275" w:lineRule="auto"/>
        <w:tabs>
          <w:tab w:leader="none" w:pos="30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125" w:lineRule="exact"/>
        <w:rPr>
          <w:rFonts w:ascii="Arial" w:cs="Arial" w:eastAsia="Arial" w:hAnsi="Arial"/>
          <w:sz w:val="18"/>
          <w:szCs w:val="18"/>
          <w:color w:val="auto"/>
        </w:rPr>
      </w:pPr>
    </w:p>
    <w:p>
      <w:pPr>
        <w:jc w:val="both"/>
        <w:ind w:left="1300" w:firstLine="1300"/>
        <w:spacing w:after="0" w:line="237" w:lineRule="auto"/>
        <w:tabs>
          <w:tab w:leader="none" w:pos="3058" w:val="left"/>
        </w:tabs>
        <w:numPr>
          <w:ilvl w:val="0"/>
          <w:numId w:val="93"/>
        </w:numPr>
        <w:rPr>
          <w:rFonts w:ascii="Arial" w:cs="Arial" w:eastAsia="Arial" w:hAnsi="Arial"/>
          <w:sz w:val="20"/>
          <w:szCs w:val="20"/>
          <w:color w:val="auto"/>
        </w:rPr>
      </w:pPr>
      <w:r>
        <w:rPr>
          <w:rFonts w:ascii="Arial" w:cs="Arial" w:eastAsia="Arial" w:hAnsi="Arial"/>
          <w:sz w:val="20"/>
          <w:szCs w:val="20"/>
          <w:color w:val="auto"/>
        </w:rPr>
        <w:t>such Restricted Payment, together with the aggregate amount of all other Restricted Payments made by the Issuer and its Restricted Subsidiaries since the Issue Date (excluding Restricted Payments permitted by clauses (1) (with respect to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82" w:lineRule="exact"/>
        <w:rPr>
          <w:sz w:val="20"/>
          <w:szCs w:val="20"/>
          <w:color w:val="auto"/>
        </w:rPr>
      </w:pPr>
    </w:p>
    <w:p>
      <w:pPr>
        <w:ind w:left="180" w:right="20"/>
        <w:spacing w:after="0" w:line="246" w:lineRule="auto"/>
        <w:rPr>
          <w:sz w:val="20"/>
          <w:szCs w:val="20"/>
          <w:color w:val="auto"/>
        </w:rPr>
      </w:pPr>
      <w:r>
        <w:rPr>
          <w:rFonts w:ascii="Arial" w:cs="Arial" w:eastAsia="Arial" w:hAnsi="Arial"/>
          <w:sz w:val="20"/>
          <w:szCs w:val="20"/>
          <w:color w:val="auto"/>
        </w:rPr>
        <w:t>Restricted Payment made under clauses (2) through (12) of Section 4.07(b)) or clauses (2) through (12) of Section 4.07(b)), is less than the sum, without duplication, of:</w:t>
      </w:r>
    </w:p>
    <w:p>
      <w:pPr>
        <w:spacing w:after="0" w:line="150" w:lineRule="exact"/>
        <w:rPr>
          <w:sz w:val="20"/>
          <w:szCs w:val="20"/>
          <w:color w:val="auto"/>
        </w:rPr>
      </w:pPr>
    </w:p>
    <w:p>
      <w:pPr>
        <w:ind w:left="840" w:right="40" w:firstLine="1288"/>
        <w:spacing w:after="0" w:line="234" w:lineRule="auto"/>
        <w:tabs>
          <w:tab w:leader="none" w:pos="2521"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50% of the Consolidated Net Income of the Issuer for the period (taken as one accounting period) from January 1, 2021 to the end of the Issuer’s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20"/>
          <w:szCs w:val="20"/>
          <w:i w:val="1"/>
          <w:iCs w:val="1"/>
          <w:color w:val="auto"/>
        </w:rPr>
        <w:t>plus</w:t>
      </w:r>
    </w:p>
    <w:p>
      <w:pPr>
        <w:spacing w:after="0" w:line="169" w:lineRule="exact"/>
        <w:rPr>
          <w:rFonts w:ascii="Arial" w:cs="Arial" w:eastAsia="Arial" w:hAnsi="Arial"/>
          <w:sz w:val="20"/>
          <w:szCs w:val="20"/>
          <w:color w:val="auto"/>
        </w:rPr>
      </w:pPr>
    </w:p>
    <w:p>
      <w:pPr>
        <w:jc w:val="both"/>
        <w:ind w:left="840" w:firstLine="1288"/>
        <w:spacing w:after="0" w:line="255" w:lineRule="auto"/>
        <w:tabs>
          <w:tab w:leader="none" w:pos="26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the Issue Date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the Issue Date or from the issue or sale of options, warrants or rights to purchase such Equity Interests that have been exercised for such Equity Interests since the Issue Date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Arial" w:cs="Arial" w:eastAsia="Arial" w:hAnsi="Arial"/>
          <w:sz w:val="18"/>
          <w:szCs w:val="18"/>
          <w:i w:val="1"/>
          <w:iCs w:val="1"/>
          <w:color w:val="auto"/>
        </w:rPr>
        <w:t>plus</w:t>
      </w:r>
    </w:p>
    <w:p>
      <w:pPr>
        <w:spacing w:after="0" w:line="155" w:lineRule="exact"/>
        <w:rPr>
          <w:rFonts w:ascii="Arial" w:cs="Arial" w:eastAsia="Arial" w:hAnsi="Arial"/>
          <w:sz w:val="18"/>
          <w:szCs w:val="18"/>
          <w:color w:val="auto"/>
        </w:rPr>
      </w:pPr>
    </w:p>
    <w:p>
      <w:pPr>
        <w:jc w:val="both"/>
        <w:ind w:left="840" w:firstLine="1288"/>
        <w:spacing w:after="0" w:line="230" w:lineRule="auto"/>
        <w:tabs>
          <w:tab w:leader="none" w:pos="2802"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to the extent not already included in Consolidated Net Income for such period, if any Restricted Investment that was made by the Issuer or any of its Restricted Subsidiaries after the Issue Date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(less any out-of-pocket costs incurred in connection with any such sale); </w:t>
      </w:r>
      <w:r>
        <w:rPr>
          <w:rFonts w:ascii="Arial" w:cs="Arial" w:eastAsia="Arial" w:hAnsi="Arial"/>
          <w:sz w:val="20"/>
          <w:szCs w:val="20"/>
          <w:i w:val="1"/>
          <w:iCs w:val="1"/>
          <w:color w:val="auto"/>
        </w:rPr>
        <w:t>plus</w:t>
      </w:r>
    </w:p>
    <w:p>
      <w:pPr>
        <w:spacing w:after="0" w:line="158" w:lineRule="exact"/>
        <w:rPr>
          <w:rFonts w:ascii="Arial" w:cs="Arial" w:eastAsia="Arial" w:hAnsi="Arial"/>
          <w:sz w:val="20"/>
          <w:szCs w:val="20"/>
          <w:color w:val="auto"/>
        </w:rPr>
      </w:pPr>
    </w:p>
    <w:p>
      <w:pPr>
        <w:jc w:val="both"/>
        <w:ind w:left="840" w:firstLine="1288"/>
        <w:spacing w:after="0" w:line="257" w:lineRule="auto"/>
        <w:tabs>
          <w:tab w:leader="none" w:pos="26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amount by which Indebtedness of the Issuer or its Restricted Subsidiaries is reduced on the Issuer’s balance sheet upon the conversion or exchange (other than by a Restricted Subsidiary of the Issuer) subsequent to the Issue Date of any such Indebtedness of the Issuer or its Restricted Subsidiaries convertible or exchangeable for Equity Interests (other than Disqualified Stock) of the Issuer (less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Arial" w:cs="Arial" w:eastAsia="Arial" w:hAnsi="Arial"/>
          <w:sz w:val="18"/>
          <w:szCs w:val="18"/>
          <w:i w:val="1"/>
          <w:iCs w:val="1"/>
          <w:color w:val="auto"/>
        </w:rPr>
        <w:t>plus</w:t>
      </w:r>
    </w:p>
    <w:p>
      <w:pPr>
        <w:spacing w:after="0" w:line="157" w:lineRule="exact"/>
        <w:rPr>
          <w:rFonts w:ascii="Arial" w:cs="Arial" w:eastAsia="Arial" w:hAnsi="Arial"/>
          <w:sz w:val="18"/>
          <w:szCs w:val="18"/>
          <w:color w:val="auto"/>
        </w:rPr>
      </w:pPr>
    </w:p>
    <w:p>
      <w:pPr>
        <w:ind w:left="2560" w:hanging="432"/>
        <w:spacing w:after="0"/>
        <w:tabs>
          <w:tab w:leader="none" w:pos="25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the extent that any Unrestricted Subsidiary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0120"/>
          </w:cols>
          <w:pgMar w:left="1440" w:top="1440" w:right="339" w:bottom="1440" w:gutter="0" w:footer="0" w:header="0"/>
        </w:sectPr>
      </w:pPr>
    </w:p>
    <w:bookmarkStart w:id="75" w:name="page76"/>
    <w:bookmarkEnd w:id="75"/>
    <w:p>
      <w:pPr>
        <w:spacing w:after="0" w:line="182" w:lineRule="exact"/>
        <w:rPr>
          <w:sz w:val="20"/>
          <w:szCs w:val="20"/>
          <w:color w:val="auto"/>
        </w:rPr>
      </w:pPr>
    </w:p>
    <w:p>
      <w:pPr>
        <w:jc w:val="both"/>
        <w:ind w:left="840"/>
        <w:spacing w:after="0" w:line="242" w:lineRule="auto"/>
        <w:rPr>
          <w:sz w:val="20"/>
          <w:szCs w:val="20"/>
          <w:color w:val="auto"/>
        </w:rPr>
      </w:pPr>
      <w:r>
        <w:rPr>
          <w:rFonts w:ascii="Arial" w:cs="Arial" w:eastAsia="Arial" w:hAnsi="Arial"/>
          <w:sz w:val="19"/>
          <w:szCs w:val="19"/>
          <w:color w:val="auto"/>
        </w:rPr>
        <w:t xml:space="preserve">Issuer designated as such after the Issue Date is redesignated as a Restricted Subsidiary pursuant to the terms of this Indenture or is merged or consolidated with or into, or transfers or otherwise disposes of all of substantially all of its properties or assets to or is liquidated into, the Issuer or a Restricted Subsidiary after the Issue Date,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the Issue Date; </w:t>
      </w:r>
      <w:r>
        <w:rPr>
          <w:rFonts w:ascii="Arial" w:cs="Arial" w:eastAsia="Arial" w:hAnsi="Arial"/>
          <w:sz w:val="19"/>
          <w:szCs w:val="19"/>
          <w:i w:val="1"/>
          <w:iCs w:val="1"/>
          <w:color w:val="auto"/>
        </w:rPr>
        <w:t>plus</w:t>
      </w:r>
    </w:p>
    <w:p>
      <w:pPr>
        <w:spacing w:after="0" w:line="155" w:lineRule="exact"/>
        <w:rPr>
          <w:sz w:val="20"/>
          <w:szCs w:val="20"/>
          <w:color w:val="auto"/>
        </w:rPr>
      </w:pPr>
    </w:p>
    <w:p>
      <w:pPr>
        <w:jc w:val="both"/>
        <w:ind w:left="840" w:firstLine="1288"/>
        <w:spacing w:after="0" w:line="263" w:lineRule="auto"/>
        <w:tabs>
          <w:tab w:leader="none" w:pos="2707" w:val="left"/>
        </w:tabs>
        <w:numPr>
          <w:ilvl w:val="2"/>
          <w:numId w:val="95"/>
        </w:numPr>
        <w:rPr>
          <w:rFonts w:ascii="Arial" w:cs="Arial" w:eastAsia="Arial" w:hAnsi="Arial"/>
          <w:sz w:val="18"/>
          <w:szCs w:val="18"/>
          <w:color w:val="auto"/>
        </w:rPr>
      </w:pPr>
      <w:r>
        <w:rPr>
          <w:rFonts w:ascii="Arial" w:cs="Arial" w:eastAsia="Arial" w:hAnsi="Arial"/>
          <w:sz w:val="18"/>
          <w:szCs w:val="18"/>
          <w:color w:val="auto"/>
        </w:rPr>
        <w:t xml:space="preserve">the amount equal to the net reduction in Restricted Investments made since the Issue Date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Arial" w:cs="Arial" w:eastAsia="Arial" w:hAnsi="Arial"/>
          <w:sz w:val="18"/>
          <w:szCs w:val="18"/>
          <w:i w:val="1"/>
          <w:iCs w:val="1"/>
          <w:color w:val="auto"/>
        </w:rPr>
        <w:t>plus</w:t>
      </w:r>
    </w:p>
    <w:p>
      <w:pPr>
        <w:spacing w:after="0" w:line="148" w:lineRule="exact"/>
        <w:rPr>
          <w:rFonts w:ascii="Arial" w:cs="Arial" w:eastAsia="Arial" w:hAnsi="Arial"/>
          <w:sz w:val="18"/>
          <w:szCs w:val="18"/>
          <w:color w:val="auto"/>
        </w:rPr>
      </w:pPr>
    </w:p>
    <w:p>
      <w:pPr>
        <w:jc w:val="both"/>
        <w:ind w:left="840" w:firstLine="1288"/>
        <w:spacing w:after="0" w:line="254" w:lineRule="auto"/>
        <w:tabs>
          <w:tab w:leader="none" w:pos="2675" w:val="left"/>
        </w:tabs>
        <w:numPr>
          <w:ilvl w:val="2"/>
          <w:numId w:val="95"/>
        </w:numPr>
        <w:rPr>
          <w:rFonts w:ascii="Arial" w:cs="Arial" w:eastAsia="Arial" w:hAnsi="Arial"/>
          <w:sz w:val="19"/>
          <w:szCs w:val="19"/>
          <w:color w:val="auto"/>
        </w:rPr>
      </w:pPr>
      <w:r>
        <w:rPr>
          <w:rFonts w:ascii="Arial" w:cs="Arial" w:eastAsia="Arial" w:hAnsi="Arial"/>
          <w:sz w:val="19"/>
          <w:szCs w:val="19"/>
          <w:color w:val="auto"/>
        </w:rPr>
        <w:t>to the extent not included in clause (vi), any dividends received in cash by the Issuer or any of its Restricted Subsidiaries since the Issue Date from an Unrestricted Subsidiary, to the extent such dividends were not otherwise included in the Consolidated Net Income of the Issuer for such period.</w:t>
      </w:r>
    </w:p>
    <w:p>
      <w:pPr>
        <w:spacing w:after="0" w:line="156" w:lineRule="exact"/>
        <w:rPr>
          <w:rFonts w:ascii="Arial" w:cs="Arial" w:eastAsia="Arial" w:hAnsi="Arial"/>
          <w:sz w:val="19"/>
          <w:szCs w:val="19"/>
          <w:color w:val="auto"/>
        </w:rPr>
      </w:pPr>
    </w:p>
    <w:p>
      <w:pPr>
        <w:ind w:left="600" w:hanging="416"/>
        <w:spacing w:after="0"/>
        <w:tabs>
          <w:tab w:leader="none" w:pos="6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provisions of Section 4.07(a) will not prohibit any of the following actions:</w:t>
      </w:r>
    </w:p>
    <w:p>
      <w:pPr>
        <w:spacing w:after="0" w:line="175" w:lineRule="exact"/>
        <w:rPr>
          <w:rFonts w:ascii="Arial" w:cs="Arial" w:eastAsia="Arial" w:hAnsi="Arial"/>
          <w:sz w:val="20"/>
          <w:szCs w:val="20"/>
          <w:color w:val="auto"/>
        </w:rPr>
      </w:pPr>
    </w:p>
    <w:p>
      <w:pPr>
        <w:jc w:val="both"/>
        <w:ind w:left="-460" w:firstLine="1292"/>
        <w:spacing w:after="0" w:line="237" w:lineRule="auto"/>
        <w:tabs>
          <w:tab w:leader="none" w:pos="129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169" w:lineRule="exact"/>
        <w:rPr>
          <w:rFonts w:ascii="Arial" w:cs="Arial" w:eastAsia="Arial" w:hAnsi="Arial"/>
          <w:sz w:val="20"/>
          <w:szCs w:val="20"/>
          <w:color w:val="auto"/>
        </w:rPr>
      </w:pPr>
    </w:p>
    <w:p>
      <w:pPr>
        <w:jc w:val="both"/>
        <w:ind w:left="-460" w:firstLine="1292"/>
        <w:spacing w:after="0" w:line="231" w:lineRule="auto"/>
        <w:tabs>
          <w:tab w:leader="none" w:pos="1424"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of any such net cash proceeds that are utilized for any such Restricted Payment will not be considered to be net proceeds of Equity Interests for purposes of clause (C)(ii) of Section 4.07(a) above and will not be considered to be net cash proceeds from an Equity Offering for purposes of Section 3.07;</w:t>
      </w:r>
    </w:p>
    <w:p>
      <w:pPr>
        <w:spacing w:after="0" w:line="170" w:lineRule="exact"/>
        <w:rPr>
          <w:rFonts w:ascii="Arial" w:cs="Arial" w:eastAsia="Arial" w:hAnsi="Arial"/>
          <w:sz w:val="20"/>
          <w:szCs w:val="20"/>
          <w:color w:val="auto"/>
        </w:rPr>
      </w:pPr>
    </w:p>
    <w:p>
      <w:pPr>
        <w:jc w:val="both"/>
        <w:ind w:left="-460" w:firstLine="1292"/>
        <w:spacing w:after="0" w:line="237" w:lineRule="auto"/>
        <w:tabs>
          <w:tab w:leader="none" w:pos="1391"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the payment of any dividend (or, in the case of any partnership or limited liability company, any similar distribution) by a Restricted Subsidiary of the Issuer to the holders of its Equity Interests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a basis more favorable to the Issuer);</w:t>
      </w:r>
    </w:p>
    <w:p>
      <w:pPr>
        <w:spacing w:after="0" w:line="155" w:lineRule="exact"/>
        <w:rPr>
          <w:rFonts w:ascii="Arial" w:cs="Arial" w:eastAsia="Arial" w:hAnsi="Arial"/>
          <w:sz w:val="20"/>
          <w:szCs w:val="20"/>
          <w:color w:val="auto"/>
        </w:rPr>
      </w:pPr>
    </w:p>
    <w:p>
      <w:pPr>
        <w:jc w:val="both"/>
        <w:ind w:left="-460" w:firstLine="1292"/>
        <w:spacing w:after="0" w:line="234" w:lineRule="auto"/>
        <w:tabs>
          <w:tab w:leader="none" w:pos="1306"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120"/>
          </w:cols>
          <w:pgMar w:left="1440" w:top="1440" w:right="339" w:bottom="1440" w:gutter="0" w:footer="0" w:header="0"/>
        </w:sectPr>
      </w:pPr>
    </w:p>
    <w:bookmarkStart w:id="76" w:name="page77"/>
    <w:bookmarkEnd w:id="76"/>
    <w:p>
      <w:pPr>
        <w:spacing w:after="0" w:line="182" w:lineRule="exact"/>
        <w:rPr>
          <w:sz w:val="20"/>
          <w:szCs w:val="20"/>
          <w:color w:val="auto"/>
        </w:rPr>
      </w:pPr>
    </w:p>
    <w:p>
      <w:pPr>
        <w:jc w:val="both"/>
        <w:ind w:left="-460" w:firstLine="1292"/>
        <w:spacing w:after="0" w:line="255" w:lineRule="auto"/>
        <w:tabs>
          <w:tab w:leader="none" w:pos="13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price paid for all such repurchased, redeemed, acquired or retired Equity Interests may not exceed $10.0 million in any calendar year (with any portion of such $10.0 million amount that is unused in any calendar year to be carried forward to successive calendar years and added to such amount), plus (a) 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plus (b) the cash proceeds of key man life insurance policies received by the Issuer or any of its Restricted Subsidiaries after the Issue Date, less (c) the amount of payments previously effected by using amounts specified in the foregoing clauses (a) and (b);</w:t>
      </w:r>
    </w:p>
    <w:p>
      <w:pPr>
        <w:spacing w:after="0" w:line="145" w:lineRule="exact"/>
        <w:rPr>
          <w:rFonts w:ascii="Arial" w:cs="Arial" w:eastAsia="Arial" w:hAnsi="Arial"/>
          <w:sz w:val="18"/>
          <w:szCs w:val="18"/>
          <w:color w:val="auto"/>
        </w:rPr>
      </w:pPr>
    </w:p>
    <w:p>
      <w:pPr>
        <w:jc w:val="both"/>
        <w:ind w:left="-460" w:firstLine="1292"/>
        <w:spacing w:after="0" w:line="234" w:lineRule="auto"/>
        <w:tabs>
          <w:tab w:leader="none" w:pos="1286" w:val="left"/>
        </w:tabs>
        <w:numPr>
          <w:ilvl w:val="0"/>
          <w:numId w:val="97"/>
        </w:numPr>
        <w:rPr>
          <w:rFonts w:ascii="Arial" w:cs="Arial" w:eastAsia="Arial" w:hAnsi="Arial"/>
          <w:sz w:val="20"/>
          <w:szCs w:val="20"/>
          <w:color w:val="auto"/>
        </w:rPr>
      </w:pPr>
      <w:r>
        <w:rPr>
          <w:rFonts w:ascii="Arial" w:cs="Arial" w:eastAsia="Arial" w:hAnsi="Arial"/>
          <w:sz w:val="20"/>
          <w:szCs w:val="20"/>
          <w:color w:val="auto"/>
        </w:rPr>
        <w:t>loans or advances to employees of the Issuer or employees or directors of any Subsidiary of the Issuer, in each case as permitted by Section 402 of the Sarbanes-Oxley Act of 2002, the proceeds of which are used to purchase Capital Stock of the Issuer, or to refinance loans or advances made pursuant to this clause (6), in an aggregate amount not in excess of $2.0 million at any one time outstanding;</w:t>
      </w:r>
    </w:p>
    <w:p>
      <w:pPr>
        <w:spacing w:after="0" w:line="169" w:lineRule="exact"/>
        <w:rPr>
          <w:rFonts w:ascii="Arial" w:cs="Arial" w:eastAsia="Arial" w:hAnsi="Arial"/>
          <w:sz w:val="20"/>
          <w:szCs w:val="20"/>
          <w:color w:val="auto"/>
        </w:rPr>
      </w:pPr>
    </w:p>
    <w:p>
      <w:pPr>
        <w:jc w:val="both"/>
        <w:ind w:left="-460" w:firstLine="1292"/>
        <w:spacing w:after="0" w:line="231" w:lineRule="auto"/>
        <w:tabs>
          <w:tab w:leader="none" w:pos="14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170" w:lineRule="exact"/>
        <w:rPr>
          <w:rFonts w:ascii="Arial" w:cs="Arial" w:eastAsia="Arial" w:hAnsi="Arial"/>
          <w:sz w:val="20"/>
          <w:szCs w:val="20"/>
          <w:color w:val="auto"/>
        </w:rPr>
      </w:pPr>
    </w:p>
    <w:p>
      <w:pPr>
        <w:jc w:val="both"/>
        <w:ind w:left="-460" w:firstLine="1292"/>
        <w:spacing w:after="0" w:line="254" w:lineRule="auto"/>
        <w:tabs>
          <w:tab w:leader="none" w:pos="1301"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repurchase, redemption or other acquisition or retirement for value of Equity Interests of the Issuer or any Restricted Subsidiary of the Issuer representing fractional units of such Equity Interests in connection with a merger or consolidation involving the Issuer or such Restricted Subsidiary or any other transaction permitted by this Indenture;</w:t>
      </w:r>
    </w:p>
    <w:p>
      <w:pPr>
        <w:spacing w:after="0" w:line="143" w:lineRule="exact"/>
        <w:rPr>
          <w:rFonts w:ascii="Arial" w:cs="Arial" w:eastAsia="Arial" w:hAnsi="Arial"/>
          <w:sz w:val="19"/>
          <w:szCs w:val="19"/>
          <w:color w:val="auto"/>
        </w:rPr>
      </w:pPr>
    </w:p>
    <w:p>
      <w:pPr>
        <w:jc w:val="both"/>
        <w:ind w:left="-460" w:firstLine="1292"/>
        <w:spacing w:after="0" w:line="237" w:lineRule="auto"/>
        <w:tabs>
          <w:tab w:leader="none" w:pos="1331"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declaration and payment of regularly scheduled or accrued dividends to holders of any class or series of Disqualified Stock of the Issuer or any Preferred Stock of any Restricted Subsidiary of the Issuer issued in accordance with Section 4.09;</w:t>
      </w:r>
    </w:p>
    <w:p>
      <w:pPr>
        <w:spacing w:after="0" w:line="169" w:lineRule="exact"/>
        <w:rPr>
          <w:rFonts w:ascii="Arial" w:cs="Arial" w:eastAsia="Arial" w:hAnsi="Arial"/>
          <w:sz w:val="20"/>
          <w:szCs w:val="20"/>
          <w:color w:val="auto"/>
        </w:rPr>
      </w:pPr>
    </w:p>
    <w:p>
      <w:pPr>
        <w:jc w:val="both"/>
        <w:ind w:left="-460" w:firstLine="1292"/>
        <w:spacing w:after="0" w:line="234" w:lineRule="auto"/>
        <w:tabs>
          <w:tab w:leader="none" w:pos="1404" w:val="left"/>
        </w:tabs>
        <w:numPr>
          <w:ilvl w:val="0"/>
          <w:numId w:val="97"/>
        </w:numPr>
        <w:rPr>
          <w:rFonts w:ascii="Arial" w:cs="Arial" w:eastAsia="Arial" w:hAnsi="Arial"/>
          <w:sz w:val="20"/>
          <w:szCs w:val="20"/>
          <w:color w:val="auto"/>
        </w:rPr>
      </w:pPr>
      <w:r>
        <w:rPr>
          <w:rFonts w:ascii="Arial" w:cs="Arial" w:eastAsia="Arial" w:hAnsi="Arial"/>
          <w:sz w:val="20"/>
          <w:szCs w:val="20"/>
          <w:color w:val="auto"/>
        </w:rPr>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169" w:lineRule="exact"/>
        <w:rPr>
          <w:rFonts w:ascii="Arial" w:cs="Arial" w:eastAsia="Arial" w:hAnsi="Arial"/>
          <w:sz w:val="20"/>
          <w:szCs w:val="20"/>
          <w:color w:val="auto"/>
        </w:rPr>
      </w:pPr>
    </w:p>
    <w:p>
      <w:pPr>
        <w:jc w:val="both"/>
        <w:ind w:left="-460" w:firstLine="1292"/>
        <w:spacing w:after="0" w:line="232" w:lineRule="auto"/>
        <w:tabs>
          <w:tab w:leader="none" w:pos="140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plus accrued and unpaid interest thereon, in connection with any change of control offer or prepayment offer required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120"/>
          </w:cols>
          <w:pgMar w:left="1440" w:top="1440" w:right="339" w:bottom="1440" w:gutter="0" w:footer="0" w:header="0"/>
        </w:sectPr>
      </w:pPr>
    </w:p>
    <w:bookmarkStart w:id="77" w:name="page78"/>
    <w:bookmarkEnd w:id="77"/>
    <w:p>
      <w:pPr>
        <w:spacing w:after="0" w:line="182"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color w:val="auto"/>
        </w:rPr>
        <w:t>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 and</w:t>
      </w:r>
    </w:p>
    <w:p>
      <w:pPr>
        <w:spacing w:after="0" w:line="156" w:lineRule="exact"/>
        <w:rPr>
          <w:sz w:val="20"/>
          <w:szCs w:val="20"/>
          <w:color w:val="auto"/>
        </w:rPr>
      </w:pPr>
    </w:p>
    <w:p>
      <w:pPr>
        <w:ind w:left="660" w:firstLine="1292"/>
        <w:spacing w:after="0" w:line="246" w:lineRule="auto"/>
        <w:tabs>
          <w:tab w:leader="none" w:pos="2504"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Restricted Payment, which when combined with the outstanding amount of all other Restricted Payments effected pursuant to this clause (12), does not exceed $100.0 million at any one time outstanding.</w:t>
      </w:r>
    </w:p>
    <w:p>
      <w:pPr>
        <w:spacing w:after="0" w:line="163" w:lineRule="exact"/>
        <w:rPr>
          <w:sz w:val="20"/>
          <w:szCs w:val="20"/>
          <w:color w:val="auto"/>
        </w:rPr>
      </w:pPr>
    </w:p>
    <w:p>
      <w:pPr>
        <w:ind w:right="20" w:firstLine="324"/>
        <w:spacing w:after="0" w:line="248" w:lineRule="auto"/>
        <w:rPr>
          <w:sz w:val="20"/>
          <w:szCs w:val="20"/>
          <w:color w:val="auto"/>
        </w:rPr>
      </w:pPr>
      <w:r>
        <w:rPr>
          <w:rFonts w:ascii="Arial" w:cs="Arial" w:eastAsia="Arial" w:hAnsi="Arial"/>
          <w:sz w:val="19"/>
          <w:szCs w:val="19"/>
          <w:color w:val="auto"/>
        </w:rPr>
        <w:t xml:space="preserve">Notwithstanding the foregoing, the Issuer will not, and will not permit any Restricted Subsidiary to, directly or indirectly declare or make any Restricted Payment of the type described in clause (1) or (2) of the definition of “Restricted Payment” pursuant to Section 4.07(a) or clause (12) of Section 4.07(b) unless at the time of declaration and making of such Restricted Payment the Total Leverage Ratio is not greater than 2.25 to 1.00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such Restricted Payment.</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 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 criteria of more than one of the categories of Restricted Payments described in the preceding clauses (1) through (12)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Arial" w:cs="Arial" w:eastAsia="Arial" w:hAnsi="Arial"/>
          <w:sz w:val="18"/>
          <w:szCs w:val="18"/>
          <w:i w:val="1"/>
          <w:iCs w:val="1"/>
          <w:color w:val="auto"/>
        </w:rPr>
        <w:t>Permitted Payment</w:t>
      </w:r>
      <w:r>
        <w:rPr>
          <w:rFonts w:ascii="Arial" w:cs="Arial" w:eastAsia="Arial" w:hAnsi="Arial"/>
          <w:sz w:val="18"/>
          <w:szCs w:val="18"/>
          <w:color w:val="auto"/>
        </w:rPr>
        <w:t>” means any transaction expressly excluded from clauses (1), (2) and (3) of Section 4.07(a).</w:t>
      </w:r>
    </w:p>
    <w:p>
      <w:pPr>
        <w:spacing w:after="0" w:line="14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4.08</w:t>
      </w:r>
      <w:r>
        <w:rPr>
          <w:sz w:val="20"/>
          <w:szCs w:val="20"/>
          <w:color w:val="auto"/>
        </w:rPr>
        <w:tab/>
      </w:r>
      <w:r>
        <w:rPr>
          <w:rFonts w:ascii="Arial" w:cs="Arial" w:eastAsia="Arial" w:hAnsi="Arial"/>
          <w:sz w:val="18"/>
          <w:szCs w:val="18"/>
          <w:i w:val="1"/>
          <w:iCs w:val="1"/>
          <w:color w:val="auto"/>
        </w:rPr>
        <w:t>Dividend and Other Payment Restrictions Affecting Restricted Subsidiaries.</w:t>
      </w:r>
    </w:p>
    <w:p>
      <w:pPr>
        <w:spacing w:after="0" w:line="189" w:lineRule="exact"/>
        <w:rPr>
          <w:sz w:val="20"/>
          <w:szCs w:val="20"/>
          <w:color w:val="auto"/>
        </w:rPr>
      </w:pPr>
    </w:p>
    <w:p>
      <w:pPr>
        <w:ind w:firstLine="1304"/>
        <w:spacing w:after="0" w:line="246" w:lineRule="auto"/>
        <w:tabs>
          <w:tab w:leader="none" w:pos="1759"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149" w:lineRule="exact"/>
        <w:rPr>
          <w:rFonts w:ascii="Arial" w:cs="Arial" w:eastAsia="Arial" w:hAnsi="Arial"/>
          <w:sz w:val="20"/>
          <w:szCs w:val="20"/>
          <w:color w:val="auto"/>
        </w:rPr>
      </w:pPr>
    </w:p>
    <w:p>
      <w:pPr>
        <w:jc w:val="both"/>
        <w:ind w:left="660" w:firstLine="1292"/>
        <w:spacing w:after="0" w:line="231" w:lineRule="auto"/>
        <w:tabs>
          <w:tab w:leader="none" w:pos="2522" w:val="left"/>
        </w:tabs>
        <w:numPr>
          <w:ilvl w:val="1"/>
          <w:numId w:val="99"/>
        </w:numPr>
        <w:rPr>
          <w:rFonts w:ascii="Arial" w:cs="Arial" w:eastAsia="Arial" w:hAnsi="Arial"/>
          <w:sz w:val="20"/>
          <w:szCs w:val="20"/>
          <w:color w:val="auto"/>
        </w:rPr>
      </w:pPr>
      <w:r>
        <w:rPr>
          <w:rFonts w:ascii="Arial" w:cs="Arial" w:eastAsia="Arial" w:hAnsi="Arial"/>
          <w:sz w:val="20"/>
          <w:szCs w:val="20"/>
          <w:color w:val="auto"/>
        </w:rPr>
        <w:t xml:space="preserve">pay dividends or make any other distributions on its Capital Stock to the Issuer or any of its Restricted Subsidiaries, or pay any indebtedness owed to the Issuer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any Restricted Subsidiary to other Indebtedness incurred by any Restricted Subsidiary shall not be deemed a restriction on the ability to pay Indebtedness;</w:t>
      </w:r>
    </w:p>
    <w:p>
      <w:pPr>
        <w:spacing w:after="0" w:line="150" w:lineRule="exact"/>
        <w:rPr>
          <w:sz w:val="20"/>
          <w:szCs w:val="20"/>
          <w:color w:val="auto"/>
        </w:rPr>
      </w:pPr>
    </w:p>
    <w:p>
      <w:pPr>
        <w:jc w:val="both"/>
        <w:ind w:left="-80" w:firstLine="1291"/>
        <w:spacing w:after="0" w:line="237" w:lineRule="auto"/>
        <w:tabs>
          <w:tab w:leader="none" w:pos="181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169" w:lineRule="exact"/>
        <w:rPr>
          <w:rFonts w:ascii="Arial" w:cs="Arial" w:eastAsia="Arial" w:hAnsi="Arial"/>
          <w:sz w:val="20"/>
          <w:szCs w:val="20"/>
          <w:color w:val="auto"/>
        </w:rPr>
      </w:pPr>
    </w:p>
    <w:p>
      <w:pPr>
        <w:ind w:left="1640" w:hanging="429"/>
        <w:spacing w:after="0"/>
        <w:tabs>
          <w:tab w:leader="none" w:pos="16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sell, lease or transfer any of its properties or assets to the Issuer or any of its Restricted Subsidiaries.</w:t>
      </w:r>
    </w:p>
    <w:p>
      <w:pPr>
        <w:spacing w:after="0" w:line="188" w:lineRule="exact"/>
        <w:rPr>
          <w:rFonts w:ascii="Arial" w:cs="Arial" w:eastAsia="Arial" w:hAnsi="Arial"/>
          <w:sz w:val="20"/>
          <w:szCs w:val="20"/>
          <w:color w:val="auto"/>
        </w:rPr>
      </w:pPr>
    </w:p>
    <w:p>
      <w:pPr>
        <w:ind w:left="1060" w:hanging="416"/>
        <w:spacing w:after="0"/>
        <w:tabs>
          <w:tab w:leader="none" w:pos="10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restrictions in Section 4.08(a) will not apply to encumbrances or restrictions existing under or by reason of:</w:t>
      </w:r>
    </w:p>
    <w:p>
      <w:pPr>
        <w:spacing w:after="0" w:line="186" w:lineRule="exact"/>
        <w:rPr>
          <w:rFonts w:ascii="Arial" w:cs="Arial" w:eastAsia="Arial" w:hAnsi="Arial"/>
          <w:sz w:val="19"/>
          <w:szCs w:val="19"/>
          <w:color w:val="auto"/>
        </w:rPr>
      </w:pPr>
    </w:p>
    <w:p>
      <w:pPr>
        <w:jc w:val="both"/>
        <w:ind w:firstLine="1292"/>
        <w:spacing w:after="0" w:line="263" w:lineRule="auto"/>
        <w:tabs>
          <w:tab w:leader="none" w:pos="1765" w:val="left"/>
        </w:tabs>
        <w:numPr>
          <w:ilvl w:val="2"/>
          <w:numId w:val="101"/>
        </w:numPr>
        <w:rPr>
          <w:rFonts w:ascii="Arial" w:cs="Arial" w:eastAsia="Arial" w:hAnsi="Arial"/>
          <w:sz w:val="18"/>
          <w:szCs w:val="18"/>
          <w:color w:val="auto"/>
        </w:rPr>
      </w:pPr>
      <w:r>
        <w:rPr>
          <w:rFonts w:ascii="Arial" w:cs="Arial" w:eastAsia="Arial" w:hAnsi="Arial"/>
          <w:sz w:val="18"/>
          <w:szCs w:val="18"/>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encumbrances or restrictions contained in such amendments, restatements, modifications, renewals, supplements,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148" w:lineRule="exact"/>
        <w:rPr>
          <w:rFonts w:ascii="Arial" w:cs="Arial" w:eastAsia="Arial" w:hAnsi="Arial"/>
          <w:sz w:val="18"/>
          <w:szCs w:val="18"/>
          <w:color w:val="auto"/>
        </w:rPr>
      </w:pPr>
    </w:p>
    <w:p>
      <w:pPr>
        <w:ind w:left="1720" w:hanging="428"/>
        <w:spacing w:after="0"/>
        <w:tabs>
          <w:tab w:leader="none" w:pos="1720" w:val="left"/>
        </w:tabs>
        <w:numPr>
          <w:ilvl w:val="2"/>
          <w:numId w:val="101"/>
        </w:numPr>
        <w:rPr>
          <w:rFonts w:ascii="Arial" w:cs="Arial" w:eastAsia="Arial" w:hAnsi="Arial"/>
          <w:sz w:val="20"/>
          <w:szCs w:val="20"/>
          <w:color w:val="auto"/>
        </w:rPr>
      </w:pPr>
      <w:r>
        <w:rPr>
          <w:rFonts w:ascii="Arial" w:cs="Arial" w:eastAsia="Arial" w:hAnsi="Arial"/>
          <w:sz w:val="20"/>
          <w:szCs w:val="20"/>
          <w:color w:val="auto"/>
        </w:rPr>
        <w:t>this Indenture, the Notes and the Guarantees;</w:t>
      </w:r>
    </w:p>
    <w:p>
      <w:pPr>
        <w:spacing w:after="0" w:line="188" w:lineRule="exact"/>
        <w:rPr>
          <w:rFonts w:ascii="Arial" w:cs="Arial" w:eastAsia="Arial" w:hAnsi="Arial"/>
          <w:sz w:val="20"/>
          <w:szCs w:val="20"/>
          <w:color w:val="auto"/>
        </w:rPr>
      </w:pPr>
    </w:p>
    <w:p>
      <w:pPr>
        <w:jc w:val="both"/>
        <w:ind w:firstLine="1292"/>
        <w:spacing w:after="0" w:line="232" w:lineRule="auto"/>
        <w:tabs>
          <w:tab w:leader="none" w:pos="1727" w:val="left"/>
        </w:tabs>
        <w:numPr>
          <w:ilvl w:val="2"/>
          <w:numId w:val="101"/>
        </w:numPr>
        <w:rPr>
          <w:rFonts w:ascii="Arial" w:cs="Arial" w:eastAsia="Arial" w:hAnsi="Arial"/>
          <w:sz w:val="20"/>
          <w:szCs w:val="20"/>
          <w:color w:val="auto"/>
        </w:rPr>
      </w:pPr>
      <w:r>
        <w:rPr>
          <w:rFonts w:ascii="Arial" w:cs="Arial" w:eastAsia="Arial" w:hAnsi="Arial"/>
          <w:sz w:val="20"/>
          <w:szCs w:val="20"/>
          <w:color w:val="auto"/>
        </w:rPr>
        <w:t xml:space="preserve">agreements governing other Indebtedness permitted to be incurred under the provisions of Section 4.09 and any amendments, restatements, modifications, renewals, supplements, refundings, replacements or refinancings of those agreements;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encumbrances or restrictions contained therein are not materially more restrictive, taken as a whole, than those</w:t>
      </w:r>
      <w:r>
        <w:rPr>
          <w:rFonts w:ascii="Arial" w:cs="Arial" w:eastAsia="Arial" w:hAnsi="Arial"/>
          <w:sz w:val="20"/>
          <w:szCs w:val="20"/>
          <w:i w:val="1"/>
          <w:iCs w:val="1"/>
          <w:color w:val="auto"/>
        </w:rPr>
        <w:t xml:space="preserve"> </w:t>
      </w:r>
      <w:r>
        <w:rPr>
          <w:rFonts w:ascii="Arial" w:cs="Arial" w:eastAsia="Arial" w:hAnsi="Arial"/>
          <w:sz w:val="20"/>
          <w:szCs w:val="20"/>
          <w:color w:val="auto"/>
        </w:rPr>
        <w:t>contained in this Indenture, the Notes and the Guarantees or the Credit Agreement as in effect on the Issue Date, as determined in good faith by the Issuer;</w:t>
      </w:r>
    </w:p>
    <w:p>
      <w:pPr>
        <w:spacing w:after="0" w:line="157" w:lineRule="exact"/>
        <w:rPr>
          <w:rFonts w:ascii="Arial" w:cs="Arial" w:eastAsia="Arial" w:hAnsi="Arial"/>
          <w:sz w:val="20"/>
          <w:szCs w:val="20"/>
          <w:color w:val="auto"/>
        </w:rPr>
      </w:pPr>
    </w:p>
    <w:p>
      <w:pPr>
        <w:ind w:left="1720" w:hanging="428"/>
        <w:spacing w:after="0"/>
        <w:tabs>
          <w:tab w:leader="none" w:pos="1720" w:val="left"/>
        </w:tabs>
        <w:numPr>
          <w:ilvl w:val="2"/>
          <w:numId w:val="101"/>
        </w:numPr>
        <w:rPr>
          <w:rFonts w:ascii="Arial" w:cs="Arial" w:eastAsia="Arial" w:hAnsi="Arial"/>
          <w:sz w:val="20"/>
          <w:szCs w:val="20"/>
          <w:color w:val="auto"/>
        </w:rPr>
      </w:pPr>
      <w:r>
        <w:rPr>
          <w:rFonts w:ascii="Arial" w:cs="Arial" w:eastAsia="Arial" w:hAnsi="Arial"/>
          <w:sz w:val="20"/>
          <w:szCs w:val="20"/>
          <w:color w:val="auto"/>
        </w:rPr>
        <w:t>applicable law, rule, regulation, order, approval, license, permit or similar restriction;</w:t>
      </w:r>
    </w:p>
    <w:p>
      <w:pPr>
        <w:spacing w:after="0" w:line="188" w:lineRule="exact"/>
        <w:rPr>
          <w:rFonts w:ascii="Arial" w:cs="Arial" w:eastAsia="Arial" w:hAnsi="Arial"/>
          <w:sz w:val="20"/>
          <w:szCs w:val="20"/>
          <w:color w:val="auto"/>
        </w:rPr>
      </w:pPr>
    </w:p>
    <w:p>
      <w:pPr>
        <w:jc w:val="both"/>
        <w:ind w:firstLine="1292"/>
        <w:spacing w:after="0" w:line="244" w:lineRule="auto"/>
        <w:tabs>
          <w:tab w:leader="none" w:pos="1742" w:val="left"/>
        </w:tabs>
        <w:numPr>
          <w:ilvl w:val="2"/>
          <w:numId w:val="101"/>
        </w:numPr>
        <w:rPr>
          <w:rFonts w:ascii="Arial" w:cs="Arial" w:eastAsia="Arial" w:hAnsi="Arial"/>
          <w:sz w:val="19"/>
          <w:szCs w:val="19"/>
          <w:color w:val="auto"/>
        </w:rPr>
      </w:pPr>
      <w:r>
        <w:rPr>
          <w:rFonts w:ascii="Arial" w:cs="Arial" w:eastAsia="Arial" w:hAnsi="Arial"/>
          <w:sz w:val="19"/>
          <w:szCs w:val="19"/>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Indebtedness, such Indebtedness was permitted by the terms of this Indenture to be incurred;</w:t>
      </w:r>
    </w:p>
    <w:p>
      <w:pPr>
        <w:spacing w:after="0" w:line="165" w:lineRule="exact"/>
        <w:rPr>
          <w:rFonts w:ascii="Arial" w:cs="Arial" w:eastAsia="Arial" w:hAnsi="Arial"/>
          <w:sz w:val="19"/>
          <w:szCs w:val="19"/>
          <w:color w:val="auto"/>
        </w:rPr>
      </w:pPr>
    </w:p>
    <w:p>
      <w:pPr>
        <w:ind w:firstLine="1292"/>
        <w:spacing w:after="0" w:line="300" w:lineRule="auto"/>
        <w:tabs>
          <w:tab w:leader="none" w:pos="1809" w:val="left"/>
        </w:tabs>
        <w:numPr>
          <w:ilvl w:val="2"/>
          <w:numId w:val="101"/>
        </w:numPr>
        <w:rPr>
          <w:rFonts w:ascii="Arial" w:cs="Arial" w:eastAsia="Arial" w:hAnsi="Arial"/>
          <w:sz w:val="18"/>
          <w:szCs w:val="18"/>
          <w:color w:val="auto"/>
        </w:rPr>
      </w:pPr>
      <w:r>
        <w:rPr>
          <w:rFonts w:ascii="Arial" w:cs="Arial" w:eastAsia="Arial" w:hAnsi="Arial"/>
          <w:sz w:val="18"/>
          <w:szCs w:val="18"/>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103" w:lineRule="exact"/>
        <w:rPr>
          <w:rFonts w:ascii="Arial" w:cs="Arial" w:eastAsia="Arial" w:hAnsi="Arial"/>
          <w:sz w:val="18"/>
          <w:szCs w:val="18"/>
          <w:color w:val="auto"/>
        </w:rPr>
      </w:pPr>
    </w:p>
    <w:p>
      <w:pPr>
        <w:ind w:right="20" w:firstLine="1292"/>
        <w:spacing w:after="0" w:line="300" w:lineRule="auto"/>
        <w:tabs>
          <w:tab w:leader="none" w:pos="18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580"/>
          </w:cols>
          <w:pgMar w:left="980" w:top="1440" w:right="339" w:bottom="1440" w:gutter="0" w:footer="0" w:header="0"/>
        </w:sectPr>
      </w:pPr>
    </w:p>
    <w:bookmarkStart w:id="79" w:name="page80"/>
    <w:bookmarkEnd w:id="79"/>
    <w:p>
      <w:pPr>
        <w:spacing w:after="0" w:line="182" w:lineRule="exact"/>
        <w:rPr>
          <w:sz w:val="20"/>
          <w:szCs w:val="20"/>
          <w:color w:val="auto"/>
        </w:rPr>
      </w:pPr>
    </w:p>
    <w:p>
      <w:pPr>
        <w:ind w:left="-460" w:right="20" w:firstLine="1292"/>
        <w:spacing w:after="0" w:line="246" w:lineRule="auto"/>
        <w:tabs>
          <w:tab w:leader="none" w:pos="13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agreement for the sale or other disposition of a Restricted Subsidiary that restricts distributions by that Restricted Subsidiary pending its sale or other disposition;</w:t>
      </w:r>
    </w:p>
    <w:p>
      <w:pPr>
        <w:spacing w:after="0" w:line="149" w:lineRule="exact"/>
        <w:rPr>
          <w:rFonts w:ascii="Arial" w:cs="Arial" w:eastAsia="Arial" w:hAnsi="Arial"/>
          <w:sz w:val="20"/>
          <w:szCs w:val="20"/>
          <w:color w:val="auto"/>
        </w:rPr>
      </w:pPr>
    </w:p>
    <w:p>
      <w:pPr>
        <w:jc w:val="both"/>
        <w:ind w:left="-460" w:firstLine="1292"/>
        <w:spacing w:after="0" w:line="237" w:lineRule="auto"/>
        <w:tabs>
          <w:tab w:leader="none" w:pos="128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Permitted Refinancing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169" w:lineRule="exact"/>
        <w:rPr>
          <w:rFonts w:ascii="Arial" w:cs="Arial" w:eastAsia="Arial" w:hAnsi="Arial"/>
          <w:sz w:val="20"/>
          <w:szCs w:val="20"/>
          <w:color w:val="auto"/>
        </w:rPr>
      </w:pPr>
    </w:p>
    <w:p>
      <w:pPr>
        <w:ind w:left="-460" w:firstLine="1292"/>
        <w:spacing w:after="0" w:line="246" w:lineRule="auto"/>
        <w:tabs>
          <w:tab w:leader="none" w:pos="137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Liens permitted to be incurred under the provisions of Section 4.12 that limit the right of the debtor to dispose of the assets subject to such Liens;</w:t>
      </w:r>
    </w:p>
    <w:p>
      <w:pPr>
        <w:spacing w:after="0" w:line="163" w:lineRule="exact"/>
        <w:rPr>
          <w:rFonts w:ascii="Arial" w:cs="Arial" w:eastAsia="Arial" w:hAnsi="Arial"/>
          <w:sz w:val="20"/>
          <w:szCs w:val="20"/>
          <w:color w:val="auto"/>
        </w:rPr>
      </w:pPr>
    </w:p>
    <w:p>
      <w:pPr>
        <w:jc w:val="both"/>
        <w:ind w:left="-460" w:firstLine="1292"/>
        <w:spacing w:after="0" w:line="232" w:lineRule="auto"/>
        <w:tabs>
          <w:tab w:leader="none" w:pos="139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157" w:lineRule="exact"/>
        <w:rPr>
          <w:rFonts w:ascii="Arial" w:cs="Arial" w:eastAsia="Arial" w:hAnsi="Arial"/>
          <w:sz w:val="20"/>
          <w:szCs w:val="20"/>
          <w:color w:val="auto"/>
        </w:rPr>
      </w:pPr>
    </w:p>
    <w:p>
      <w:pPr>
        <w:jc w:val="both"/>
        <w:ind w:left="-460" w:firstLine="1292"/>
        <w:spacing w:after="0" w:line="237" w:lineRule="auto"/>
        <w:tabs>
          <w:tab w:leader="none" w:pos="140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169" w:lineRule="exact"/>
        <w:rPr>
          <w:rFonts w:ascii="Arial" w:cs="Arial" w:eastAsia="Arial" w:hAnsi="Arial"/>
          <w:sz w:val="20"/>
          <w:szCs w:val="20"/>
          <w:color w:val="auto"/>
        </w:rPr>
      </w:pPr>
    </w:p>
    <w:p>
      <w:pPr>
        <w:ind w:left="-460" w:right="20" w:firstLine="1292"/>
        <w:spacing w:after="0" w:line="272" w:lineRule="auto"/>
        <w:tabs>
          <w:tab w:leader="none" w:pos="139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encumbrances or restrictions on cash, Cash Equivalents or other deposits or net worth requirements imposed by customers or lessors under contracts or leases entered into in the ordinary course of business;</w:t>
      </w:r>
    </w:p>
    <w:p>
      <w:pPr>
        <w:spacing w:after="0" w:line="139" w:lineRule="exact"/>
        <w:rPr>
          <w:rFonts w:ascii="Arial" w:cs="Arial" w:eastAsia="Arial" w:hAnsi="Arial"/>
          <w:sz w:val="19"/>
          <w:szCs w:val="19"/>
          <w:color w:val="auto"/>
        </w:rPr>
      </w:pPr>
    </w:p>
    <w:p>
      <w:pPr>
        <w:jc w:val="both"/>
        <w:ind w:left="-460" w:firstLine="1292"/>
        <w:spacing w:after="0" w:line="232" w:lineRule="auto"/>
        <w:tabs>
          <w:tab w:leader="none" w:pos="14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any Preferred Stock issued by a Restricted Subsidiary of the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157" w:lineRule="exact"/>
        <w:rPr>
          <w:rFonts w:ascii="Arial" w:cs="Arial" w:eastAsia="Arial" w:hAnsi="Arial"/>
          <w:sz w:val="20"/>
          <w:szCs w:val="20"/>
          <w:color w:val="auto"/>
        </w:rPr>
      </w:pPr>
    </w:p>
    <w:p>
      <w:pPr>
        <w:jc w:val="both"/>
        <w:ind w:left="-460" w:firstLine="1292"/>
        <w:spacing w:after="0" w:line="244" w:lineRule="auto"/>
        <w:tabs>
          <w:tab w:leader="none" w:pos="147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 (y) the encumbrance or restriction is not materially more disadvantageous to the Holders than is customary in comparable financings or agreements, as determined in good faith by the Issuer;</w:t>
      </w:r>
    </w:p>
    <w:p>
      <w:pPr>
        <w:spacing w:after="0" w:line="165" w:lineRule="exact"/>
        <w:rPr>
          <w:rFonts w:ascii="Arial" w:cs="Arial" w:eastAsia="Arial" w:hAnsi="Arial"/>
          <w:sz w:val="19"/>
          <w:szCs w:val="19"/>
          <w:color w:val="auto"/>
        </w:rPr>
      </w:pPr>
    </w:p>
    <w:p>
      <w:pPr>
        <w:ind w:left="1360" w:hanging="528"/>
        <w:spacing w:after="0"/>
        <w:tabs>
          <w:tab w:leader="none" w:pos="13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Hedging Obligations permitted from time to time under this Indenture;</w:t>
      </w:r>
    </w:p>
    <w:p>
      <w:pPr>
        <w:spacing w:after="0" w:line="188" w:lineRule="exact"/>
        <w:rPr>
          <w:rFonts w:ascii="Arial" w:cs="Arial" w:eastAsia="Arial" w:hAnsi="Arial"/>
          <w:sz w:val="20"/>
          <w:szCs w:val="20"/>
          <w:color w:val="auto"/>
        </w:rPr>
      </w:pPr>
    </w:p>
    <w:p>
      <w:pPr>
        <w:jc w:val="both"/>
        <w:ind w:left="-460" w:firstLine="1292"/>
        <w:spacing w:after="0" w:line="248" w:lineRule="auto"/>
        <w:tabs>
          <w:tab w:leader="none" w:pos="147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0120"/>
          </w:cols>
          <w:pgMar w:left="1440" w:top="1440" w:right="339" w:bottom="1440" w:gutter="0" w:footer="0" w:header="0"/>
        </w:sectPr>
      </w:pPr>
    </w:p>
    <w:bookmarkStart w:id="80" w:name="page81"/>
    <w:bookmarkEnd w:id="80"/>
    <w:p>
      <w:pPr>
        <w:spacing w:after="0" w:line="182"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such encumbrances or restrictions will not materially affect the Issuer’s ability to make principal or interest payments on the Notes, as determined in good faith by the Issuer;</w:t>
      </w:r>
    </w:p>
    <w:p>
      <w:pPr>
        <w:spacing w:after="0" w:line="150" w:lineRule="exact"/>
        <w:rPr>
          <w:sz w:val="20"/>
          <w:szCs w:val="20"/>
          <w:color w:val="auto"/>
        </w:rPr>
      </w:pPr>
    </w:p>
    <w:p>
      <w:pPr>
        <w:ind w:left="660" w:firstLine="1292"/>
        <w:spacing w:after="0" w:line="246" w:lineRule="auto"/>
        <w:tabs>
          <w:tab w:leader="none" w:pos="252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customary encumbrances and restrictions contained in agreements of the types described in the definition of “Permitted Business Investments”; or</w:t>
      </w:r>
    </w:p>
    <w:p>
      <w:pPr>
        <w:spacing w:after="0" w:line="163" w:lineRule="exact"/>
        <w:rPr>
          <w:rFonts w:ascii="Arial" w:cs="Arial" w:eastAsia="Arial" w:hAnsi="Arial"/>
          <w:sz w:val="20"/>
          <w:szCs w:val="20"/>
          <w:color w:val="auto"/>
        </w:rPr>
      </w:pPr>
    </w:p>
    <w:p>
      <w:pPr>
        <w:ind w:left="2480" w:hanging="528"/>
        <w:spacing w:after="0"/>
        <w:tabs>
          <w:tab w:leader="none" w:pos="24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Permitted Investment.</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4.09</w:t>
      </w:r>
      <w:r>
        <w:rPr>
          <w:sz w:val="20"/>
          <w:szCs w:val="20"/>
          <w:color w:val="auto"/>
        </w:rPr>
        <w:tab/>
      </w:r>
      <w:r>
        <w:rPr>
          <w:rFonts w:ascii="Arial" w:cs="Arial" w:eastAsia="Arial" w:hAnsi="Arial"/>
          <w:sz w:val="16"/>
          <w:szCs w:val="16"/>
          <w:i w:val="1"/>
          <w:iCs w:val="1"/>
          <w:color w:val="auto"/>
        </w:rPr>
        <w:t>Incurrence of Indebtedness and Issuance of Preferred Stock.</w:t>
      </w:r>
    </w:p>
    <w:p>
      <w:pPr>
        <w:spacing w:after="0" w:line="189" w:lineRule="exact"/>
        <w:rPr>
          <w:sz w:val="20"/>
          <w:szCs w:val="20"/>
          <w:color w:val="auto"/>
        </w:rPr>
      </w:pPr>
    </w:p>
    <w:p>
      <w:pPr>
        <w:jc w:val="both"/>
        <w:ind w:firstLine="1304"/>
        <w:spacing w:after="0" w:line="241" w:lineRule="auto"/>
        <w:tabs>
          <w:tab w:leader="none" w:pos="175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9"/>
          <w:szCs w:val="19"/>
          <w:i w:val="1"/>
          <w:iCs w:val="1"/>
          <w:color w:val="auto"/>
        </w:rPr>
        <w:t>incur</w:t>
      </w:r>
      <w:r>
        <w:rPr>
          <w:rFonts w:ascii="Arial" w:cs="Arial" w:eastAsia="Arial" w:hAnsi="Arial"/>
          <w:sz w:val="19"/>
          <w:szCs w:val="19"/>
          <w:color w:val="auto"/>
        </w:rPr>
        <w:t xml:space="preserve">”) any Indebtedness (including Acquired Debt), and the Issuer will not issue any Disqualified Stock and will not permit any of its Restricted Subsidiaries to issue any Preferred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 may incur Indebtedness (including Acquired Debt) or issue Disqualified Stock, and any Guarantor may incur Indebtedness (including Acquired Debt) or issue Preferred Stock, if the Fixed Charge Coverage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68" w:lineRule="exact"/>
        <w:rPr>
          <w:rFonts w:ascii="Arial" w:cs="Arial" w:eastAsia="Arial" w:hAnsi="Arial"/>
          <w:sz w:val="19"/>
          <w:szCs w:val="19"/>
          <w:color w:val="auto"/>
        </w:rPr>
      </w:pPr>
    </w:p>
    <w:p>
      <w:pPr>
        <w:ind w:firstLine="1304"/>
        <w:spacing w:after="0" w:line="246" w:lineRule="auto"/>
        <w:tabs>
          <w:tab w:leader="none" w:pos="189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Section 4.09(a) will not prohibit the incurrence of any of the following items of Indebtedness or issuances of Disqualified Stock or Preferred Stock, as applicable (collectively, “</w:t>
      </w:r>
      <w:r>
        <w:rPr>
          <w:rFonts w:ascii="Arial" w:cs="Arial" w:eastAsia="Arial" w:hAnsi="Arial"/>
          <w:sz w:val="20"/>
          <w:szCs w:val="20"/>
          <w:i w:val="1"/>
          <w:iCs w:val="1"/>
          <w:color w:val="auto"/>
        </w:rPr>
        <w:t>Permitted Debt</w:t>
      </w:r>
      <w:r>
        <w:rPr>
          <w:rFonts w:ascii="Arial" w:cs="Arial" w:eastAsia="Arial" w:hAnsi="Arial"/>
          <w:sz w:val="20"/>
          <w:szCs w:val="20"/>
          <w:color w:val="auto"/>
        </w:rPr>
        <w:t>”):</w:t>
      </w:r>
    </w:p>
    <w:p>
      <w:pPr>
        <w:spacing w:after="0" w:line="149" w:lineRule="exact"/>
        <w:rPr>
          <w:rFonts w:ascii="Arial" w:cs="Arial" w:eastAsia="Arial" w:hAnsi="Arial"/>
          <w:sz w:val="20"/>
          <w:szCs w:val="20"/>
          <w:color w:val="auto"/>
        </w:rPr>
      </w:pPr>
    </w:p>
    <w:p>
      <w:pPr>
        <w:jc w:val="both"/>
        <w:ind w:left="660" w:firstLine="1292"/>
        <w:spacing w:after="0" w:line="246" w:lineRule="auto"/>
        <w:tabs>
          <w:tab w:leader="none" w:pos="243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$650,000,000, (ii) the Borrowing Base and (iii) 30.0% of Adjusted Consolidated Net Tangible Assets determined on the date of such incurrence;</w:t>
      </w:r>
    </w:p>
    <w:p>
      <w:pPr>
        <w:spacing w:after="0" w:line="162" w:lineRule="exact"/>
        <w:rPr>
          <w:rFonts w:ascii="Arial" w:cs="Arial" w:eastAsia="Arial" w:hAnsi="Arial"/>
          <w:sz w:val="19"/>
          <w:szCs w:val="19"/>
          <w:color w:val="auto"/>
        </w:rPr>
      </w:pPr>
    </w:p>
    <w:p>
      <w:pPr>
        <w:ind w:left="2380" w:hanging="428"/>
        <w:spacing w:after="0"/>
        <w:tabs>
          <w:tab w:leader="none" w:pos="238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incurrence by the Issuer and its Restricted Subsidiaries of the Existing Indebtedness;</w:t>
      </w:r>
    </w:p>
    <w:p>
      <w:pPr>
        <w:spacing w:after="0" w:line="188" w:lineRule="exact"/>
        <w:rPr>
          <w:rFonts w:ascii="Arial" w:cs="Arial" w:eastAsia="Arial" w:hAnsi="Arial"/>
          <w:sz w:val="20"/>
          <w:szCs w:val="20"/>
          <w:color w:val="auto"/>
        </w:rPr>
      </w:pPr>
    </w:p>
    <w:p>
      <w:pPr>
        <w:ind w:left="660" w:right="20" w:firstLine="1292"/>
        <w:spacing w:after="0" w:line="246" w:lineRule="auto"/>
        <w:tabs>
          <w:tab w:leader="none" w:pos="2426"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incurrence by the Issuer and the Guarantors of Indebtedness represented by (a) the Initial Notes issued on the Issue Date and (b) any Guarantees of the Initial Notes issued on the Issue Date.</w:t>
      </w:r>
    </w:p>
    <w:p>
      <w:pPr>
        <w:spacing w:after="0" w:line="149" w:lineRule="exact"/>
        <w:rPr>
          <w:rFonts w:ascii="Arial" w:cs="Arial" w:eastAsia="Arial" w:hAnsi="Arial"/>
          <w:sz w:val="20"/>
          <w:szCs w:val="20"/>
          <w:color w:val="auto"/>
        </w:rPr>
      </w:pPr>
    </w:p>
    <w:p>
      <w:pPr>
        <w:ind w:left="660" w:firstLine="1292"/>
        <w:spacing w:after="0" w:line="246" w:lineRule="auto"/>
        <w:tabs>
          <w:tab w:leader="none" w:pos="2444"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incurrence by the Issuer or any of its Restricted Subsidiaries of Indebtedness (x) in connection with Sale and Leaseback Transactions, or (y) represented by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Finance Lease Obligations, mortgage financings or purchase money obligations or other Indebtedness that in the case of this clause</w:t>
      </w:r>
    </w:p>
    <w:p>
      <w:pPr>
        <w:spacing w:after="0" w:line="25" w:lineRule="exact"/>
        <w:rPr>
          <w:sz w:val="20"/>
          <w:szCs w:val="20"/>
          <w:color w:val="auto"/>
        </w:rPr>
      </w:pPr>
    </w:p>
    <w:p>
      <w:pPr>
        <w:jc w:val="both"/>
        <w:ind w:left="4" w:hanging="4"/>
        <w:spacing w:after="0" w:line="255" w:lineRule="auto"/>
        <w:tabs>
          <w:tab w:leader="none" w:pos="3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$150.0 million and (b) 5.0% of Adjusted Consolidated Net Tangible Assets determined at the date of such incurrence;</w:t>
      </w:r>
    </w:p>
    <w:p>
      <w:pPr>
        <w:spacing w:after="0" w:line="145" w:lineRule="exact"/>
        <w:rPr>
          <w:rFonts w:ascii="Arial" w:cs="Arial" w:eastAsia="Arial" w:hAnsi="Arial"/>
          <w:sz w:val="18"/>
          <w:szCs w:val="18"/>
          <w:color w:val="auto"/>
        </w:rPr>
      </w:pPr>
    </w:p>
    <w:p>
      <w:pPr>
        <w:jc w:val="both"/>
        <w:ind w:left="4" w:firstLine="1292"/>
        <w:spacing w:after="0" w:line="234" w:lineRule="auto"/>
        <w:tabs>
          <w:tab w:leader="none" w:pos="1825"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169" w:lineRule="exact"/>
        <w:rPr>
          <w:rFonts w:ascii="Arial" w:cs="Arial" w:eastAsia="Arial" w:hAnsi="Arial"/>
          <w:sz w:val="20"/>
          <w:szCs w:val="20"/>
          <w:color w:val="auto"/>
        </w:rPr>
      </w:pPr>
    </w:p>
    <w:p>
      <w:pPr>
        <w:ind w:left="4" w:firstLine="1292"/>
        <w:spacing w:after="0" w:line="246" w:lineRule="auto"/>
        <w:tabs>
          <w:tab w:leader="none" w:pos="182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the incurrence by the Issuer or any of its Restricted Subsidiaries of intercompany Indebtedness between or among the Issuer and any of its Restricted Subsidiaries; </w:t>
      </w:r>
      <w:r>
        <w:rPr>
          <w:rFonts w:ascii="Arial" w:cs="Arial" w:eastAsia="Arial" w:hAnsi="Arial"/>
          <w:sz w:val="20"/>
          <w:szCs w:val="20"/>
          <w:i w:val="1"/>
          <w:iCs w:val="1"/>
          <w:color w:val="auto"/>
        </w:rPr>
        <w:t>provided, however</w:t>
      </w:r>
      <w:r>
        <w:rPr>
          <w:rFonts w:ascii="Arial" w:cs="Arial" w:eastAsia="Arial" w:hAnsi="Arial"/>
          <w:sz w:val="20"/>
          <w:szCs w:val="20"/>
          <w:color w:val="auto"/>
        </w:rPr>
        <w:t>, that:</w:t>
      </w:r>
    </w:p>
    <w:p>
      <w:pPr>
        <w:spacing w:after="0" w:line="163" w:lineRule="exact"/>
        <w:rPr>
          <w:rFonts w:ascii="Arial" w:cs="Arial" w:eastAsia="Arial" w:hAnsi="Arial"/>
          <w:sz w:val="20"/>
          <w:szCs w:val="20"/>
          <w:color w:val="auto"/>
        </w:rPr>
      </w:pPr>
    </w:p>
    <w:p>
      <w:pPr>
        <w:jc w:val="both"/>
        <w:ind w:left="644" w:firstLine="1300"/>
        <w:spacing w:after="0" w:line="275" w:lineRule="auto"/>
        <w:tabs>
          <w:tab w:leader="none" w:pos="244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125" w:lineRule="exact"/>
        <w:rPr>
          <w:rFonts w:ascii="Arial" w:cs="Arial" w:eastAsia="Arial" w:hAnsi="Arial"/>
          <w:sz w:val="18"/>
          <w:szCs w:val="18"/>
          <w:color w:val="auto"/>
        </w:rPr>
      </w:pPr>
    </w:p>
    <w:p>
      <w:pPr>
        <w:jc w:val="both"/>
        <w:ind w:left="644" w:firstLine="1300"/>
        <w:spacing w:after="0" w:line="254" w:lineRule="auto"/>
        <w:tabs>
          <w:tab w:leader="none" w:pos="2441" w:val="left"/>
        </w:tabs>
        <w:numPr>
          <w:ilvl w:val="2"/>
          <w:numId w:val="105"/>
        </w:numPr>
        <w:rPr>
          <w:rFonts w:ascii="Arial" w:cs="Arial" w:eastAsia="Arial" w:hAnsi="Arial"/>
          <w:sz w:val="19"/>
          <w:szCs w:val="19"/>
          <w:color w:val="auto"/>
        </w:rPr>
      </w:pPr>
      <w:r>
        <w:rPr>
          <w:rFonts w:ascii="Arial" w:cs="Arial" w:eastAsia="Arial" w:hAnsi="Arial"/>
          <w:sz w:val="19"/>
          <w:szCs w:val="19"/>
          <w:color w:val="auto"/>
        </w:rPr>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157" w:lineRule="exact"/>
        <w:rPr>
          <w:sz w:val="20"/>
          <w:szCs w:val="20"/>
          <w:color w:val="auto"/>
        </w:rPr>
      </w:pPr>
    </w:p>
    <w:p>
      <w:pPr>
        <w:ind w:left="4" w:right="20"/>
        <w:spacing w:after="0" w:line="246" w:lineRule="auto"/>
        <w:rPr>
          <w:sz w:val="20"/>
          <w:szCs w:val="20"/>
          <w:color w:val="auto"/>
        </w:rPr>
      </w:pPr>
      <w:r>
        <w:rPr>
          <w:rFonts w:ascii="Arial" w:cs="Arial" w:eastAsia="Arial" w:hAnsi="Arial"/>
          <w:sz w:val="20"/>
          <w:szCs w:val="20"/>
          <w:color w:val="auto"/>
        </w:rPr>
        <w:t>will be deemed, in each case, to constitute an incurrence of such Indebtedness by the Issuer or such Restricted Subsidiary, as the case may be, that was not permitted by this clause (6);</w:t>
      </w:r>
    </w:p>
    <w:p>
      <w:pPr>
        <w:spacing w:after="0" w:line="163" w:lineRule="exact"/>
        <w:rPr>
          <w:sz w:val="20"/>
          <w:szCs w:val="20"/>
          <w:color w:val="auto"/>
        </w:rPr>
      </w:pPr>
    </w:p>
    <w:p>
      <w:pPr>
        <w:ind w:left="4" w:firstLine="1292"/>
        <w:spacing w:after="0" w:line="246" w:lineRule="auto"/>
        <w:tabs>
          <w:tab w:leader="none" w:pos="176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issuance by any of the Issuer’s Restricted Subsidiaries to the Issuer or to any of its Restricted Subsidiaries of any Preferred Stock; </w:t>
      </w:r>
      <w:r>
        <w:rPr>
          <w:rFonts w:ascii="Arial" w:cs="Arial" w:eastAsia="Arial" w:hAnsi="Arial"/>
          <w:sz w:val="20"/>
          <w:szCs w:val="20"/>
          <w:i w:val="1"/>
          <w:iCs w:val="1"/>
          <w:color w:val="auto"/>
        </w:rPr>
        <w:t>provided, however</w:t>
      </w:r>
      <w:r>
        <w:rPr>
          <w:rFonts w:ascii="Arial" w:cs="Arial" w:eastAsia="Arial" w:hAnsi="Arial"/>
          <w:sz w:val="20"/>
          <w:szCs w:val="20"/>
          <w:color w:val="auto"/>
        </w:rPr>
        <w:t>, that:</w:t>
      </w:r>
    </w:p>
    <w:p>
      <w:pPr>
        <w:spacing w:after="0" w:line="149" w:lineRule="exact"/>
        <w:rPr>
          <w:rFonts w:ascii="Arial" w:cs="Arial" w:eastAsia="Arial" w:hAnsi="Arial"/>
          <w:sz w:val="20"/>
          <w:szCs w:val="20"/>
          <w:color w:val="auto"/>
        </w:rPr>
      </w:pPr>
    </w:p>
    <w:p>
      <w:pPr>
        <w:ind w:left="644" w:firstLine="1300"/>
        <w:spacing w:after="0" w:line="246" w:lineRule="auto"/>
        <w:tabs>
          <w:tab w:leader="none" w:pos="2458"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subsequent issuance or transfer of Equity Interests that results in any such Preferred Stock being held by a Person other than the Issuer or a Restricted Subsidiary of the Issuer; and</w:t>
      </w:r>
    </w:p>
    <w:p>
      <w:pPr>
        <w:spacing w:after="0" w:line="163" w:lineRule="exact"/>
        <w:rPr>
          <w:rFonts w:ascii="Arial" w:cs="Arial" w:eastAsia="Arial" w:hAnsi="Arial"/>
          <w:sz w:val="20"/>
          <w:szCs w:val="20"/>
          <w:color w:val="auto"/>
        </w:rPr>
      </w:pPr>
    </w:p>
    <w:p>
      <w:pPr>
        <w:ind w:left="644" w:firstLine="1300"/>
        <w:spacing w:after="0" w:line="246" w:lineRule="auto"/>
        <w:tabs>
          <w:tab w:leader="none" w:pos="249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sale or other transfer of any such Preferred Stock to a Person that is not either the Issuer or a Restricted Subsidiary of the Issuer,</w:t>
      </w:r>
    </w:p>
    <w:p>
      <w:pPr>
        <w:spacing w:after="0" w:line="163" w:lineRule="exact"/>
        <w:rPr>
          <w:sz w:val="20"/>
          <w:szCs w:val="20"/>
          <w:color w:val="auto"/>
        </w:rPr>
      </w:pPr>
    </w:p>
    <w:p>
      <w:pPr>
        <w:ind w:left="4" w:right="20"/>
        <w:spacing w:after="0" w:line="246" w:lineRule="auto"/>
        <w:rPr>
          <w:sz w:val="20"/>
          <w:szCs w:val="20"/>
          <w:color w:val="auto"/>
        </w:rPr>
      </w:pPr>
      <w:r>
        <w:rPr>
          <w:rFonts w:ascii="Arial" w:cs="Arial" w:eastAsia="Arial" w:hAnsi="Arial"/>
          <w:sz w:val="20"/>
          <w:szCs w:val="20"/>
          <w:color w:val="auto"/>
        </w:rPr>
        <w:t>will be deemed, in each case, to constitute an issuance of such Preferred Stock by such Restricted Subsidiary that was not permitted by this clause (7);</w:t>
      </w:r>
    </w:p>
    <w:p>
      <w:pPr>
        <w:spacing w:after="0" w:line="123" w:lineRule="exact"/>
        <w:rPr>
          <w:sz w:val="20"/>
          <w:szCs w:val="20"/>
          <w:color w:val="auto"/>
        </w:rPr>
      </w:pPr>
    </w:p>
    <w:p>
      <w:pPr>
        <w:ind w:left="1724" w:hanging="428"/>
        <w:spacing w:after="0"/>
        <w:tabs>
          <w:tab w:leader="none" w:pos="172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incurrence by the Issuer or any of its Restricted Subsidiaries of Hedging Obligations;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4864"/>
        <w:spacing w:after="0"/>
        <w:rPr>
          <w:rFonts w:ascii="Arial" w:cs="Arial" w:eastAsia="Arial" w:hAnsi="Arial"/>
          <w:sz w:val="20"/>
          <w:szCs w:val="20"/>
          <w:color w:val="auto"/>
        </w:rPr>
      </w:pPr>
      <w:r>
        <w:rPr>
          <w:rFonts w:ascii="Arial" w:cs="Arial" w:eastAsia="Arial" w:hAnsi="Arial"/>
          <w:sz w:val="20"/>
          <w:szCs w:val="20"/>
          <w:color w:val="auto"/>
        </w:rPr>
        <w:t>70</w:t>
      </w:r>
    </w:p>
    <w:p>
      <w:pPr>
        <w:sectPr>
          <w:pgSz w:w="11900" w:h="16838" w:orient="portrait"/>
          <w:cols w:equalWidth="0" w:num="1">
            <w:col w:w="10584"/>
          </w:cols>
          <w:pgMar w:left="976" w:top="1440" w:right="339" w:bottom="1440" w:gutter="0" w:footer="0" w:header="0"/>
        </w:sectPr>
      </w:pPr>
    </w:p>
    <w:bookmarkStart w:id="82" w:name="page83"/>
    <w:bookmarkEnd w:id="82"/>
    <w:p>
      <w:pPr>
        <w:spacing w:after="0" w:line="182" w:lineRule="exact"/>
        <w:rPr>
          <w:sz w:val="20"/>
          <w:szCs w:val="20"/>
          <w:color w:val="auto"/>
        </w:rPr>
      </w:pPr>
    </w:p>
    <w:p>
      <w:pPr>
        <w:jc w:val="both"/>
        <w:ind w:left="-460" w:firstLine="1292"/>
        <w:spacing w:after="0" w:line="231" w:lineRule="auto"/>
        <w:tabs>
          <w:tab w:leader="none" w:pos="128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if the Indebtedness being guaranteed is subordinated to or</w:t>
      </w:r>
      <w:r>
        <w:rPr>
          <w:rFonts w:ascii="Arial" w:cs="Arial" w:eastAsia="Arial" w:hAnsi="Arial"/>
          <w:sz w:val="20"/>
          <w:szCs w:val="20"/>
          <w:i w:val="1"/>
          <w:iCs w:val="1"/>
          <w:color w:val="auto"/>
        </w:rPr>
        <w:t xml:space="preserve"> pari passu </w:t>
      </w:r>
      <w:r>
        <w:rPr>
          <w:rFonts w:ascii="Arial" w:cs="Arial" w:eastAsia="Arial" w:hAnsi="Arial"/>
          <w:sz w:val="20"/>
          <w:szCs w:val="20"/>
          <w:color w:val="auto"/>
        </w:rPr>
        <w:t>with the Notes, then the guarantee must be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subordinated or </w:t>
      </w:r>
      <w:r>
        <w:rPr>
          <w:rFonts w:ascii="Arial" w:cs="Arial" w:eastAsia="Arial" w:hAnsi="Arial"/>
          <w:sz w:val="20"/>
          <w:szCs w:val="20"/>
          <w:i w:val="1"/>
          <w:iCs w:val="1"/>
          <w:color w:val="auto"/>
        </w:rPr>
        <w:t>pari passu</w:t>
      </w:r>
      <w:r>
        <w:rPr>
          <w:rFonts w:ascii="Arial" w:cs="Arial" w:eastAsia="Arial" w:hAnsi="Arial"/>
          <w:sz w:val="20"/>
          <w:szCs w:val="20"/>
          <w:color w:val="auto"/>
        </w:rPr>
        <w:t>, as applicable, to the same extent as the Indebtedness guaranteed, and if the guarantee is by a Restricted Subsidiary that is not a Guarantor, the Indebtedness guaranteed could have otherwise been incurred by such Restricted Subsidiary under this Section 4.09;</w:t>
      </w:r>
    </w:p>
    <w:p>
      <w:pPr>
        <w:spacing w:after="0" w:line="156" w:lineRule="exact"/>
        <w:rPr>
          <w:rFonts w:ascii="Arial" w:cs="Arial" w:eastAsia="Arial" w:hAnsi="Arial"/>
          <w:sz w:val="20"/>
          <w:szCs w:val="20"/>
          <w:color w:val="auto"/>
        </w:rPr>
      </w:pPr>
    </w:p>
    <w:p>
      <w:pPr>
        <w:jc w:val="both"/>
        <w:ind w:left="-460" w:firstLine="1292"/>
        <w:spacing w:after="0" w:line="246" w:lineRule="auto"/>
        <w:tabs>
          <w:tab w:leader="none" w:pos="140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162" w:lineRule="exact"/>
        <w:rPr>
          <w:rFonts w:ascii="Arial" w:cs="Arial" w:eastAsia="Arial" w:hAnsi="Arial"/>
          <w:sz w:val="19"/>
          <w:szCs w:val="19"/>
          <w:color w:val="auto"/>
        </w:rPr>
      </w:pPr>
    </w:p>
    <w:p>
      <w:pPr>
        <w:jc w:val="both"/>
        <w:ind w:left="-460" w:firstLine="1292"/>
        <w:spacing w:after="0" w:line="237" w:lineRule="auto"/>
        <w:tabs>
          <w:tab w:leader="none" w:pos="137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69" w:lineRule="exact"/>
        <w:rPr>
          <w:rFonts w:ascii="Arial" w:cs="Arial" w:eastAsia="Arial" w:hAnsi="Arial"/>
          <w:sz w:val="20"/>
          <w:szCs w:val="20"/>
          <w:color w:val="auto"/>
        </w:rPr>
      </w:pPr>
    </w:p>
    <w:p>
      <w:pPr>
        <w:ind w:left="-460" w:right="20" w:firstLine="1292"/>
        <w:spacing w:after="0" w:line="246" w:lineRule="auto"/>
        <w:tabs>
          <w:tab w:leader="none" w:pos="145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incurrence by the Issuer or any of its Restricted Subsidiaries of in-kind obligations relating to net oil, natural gas liquid or natural gas balancing positions arising in the ordinary course of business;</w:t>
      </w:r>
    </w:p>
    <w:p>
      <w:pPr>
        <w:spacing w:after="0" w:line="149" w:lineRule="exact"/>
        <w:rPr>
          <w:rFonts w:ascii="Arial" w:cs="Arial" w:eastAsia="Arial" w:hAnsi="Arial"/>
          <w:sz w:val="20"/>
          <w:szCs w:val="20"/>
          <w:color w:val="auto"/>
        </w:rPr>
      </w:pPr>
    </w:p>
    <w:p>
      <w:pPr>
        <w:jc w:val="both"/>
        <w:ind w:left="-460" w:firstLine="1292"/>
        <w:spacing w:after="0" w:line="246" w:lineRule="auto"/>
        <w:tabs>
          <w:tab w:leader="none" w:pos="144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obligation is not reflected on the face of the balance sheet of the Issuer or any Restricted Subsidiary;</w:t>
      </w:r>
    </w:p>
    <w:p>
      <w:pPr>
        <w:spacing w:after="0" w:line="162" w:lineRule="exact"/>
        <w:rPr>
          <w:rFonts w:ascii="Arial" w:cs="Arial" w:eastAsia="Arial" w:hAnsi="Arial"/>
          <w:sz w:val="19"/>
          <w:szCs w:val="19"/>
          <w:color w:val="auto"/>
        </w:rPr>
      </w:pPr>
    </w:p>
    <w:p>
      <w:pPr>
        <w:jc w:val="both"/>
        <w:ind w:left="-460" w:firstLine="1292"/>
        <w:spacing w:after="0" w:line="237" w:lineRule="auto"/>
        <w:tabs>
          <w:tab w:leader="none" w:pos="141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169" w:lineRule="exact"/>
        <w:rPr>
          <w:rFonts w:ascii="Arial" w:cs="Arial" w:eastAsia="Arial" w:hAnsi="Arial"/>
          <w:sz w:val="20"/>
          <w:szCs w:val="20"/>
          <w:color w:val="auto"/>
        </w:rPr>
      </w:pPr>
    </w:p>
    <w:p>
      <w:pPr>
        <w:ind w:left="1360" w:hanging="528"/>
        <w:spacing w:after="0"/>
        <w:tabs>
          <w:tab w:leader="none" w:pos="13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incurrence by the Issuer or its Restricted Subsidiaries of Permitted Acquisition Indebtedness;</w:t>
      </w:r>
    </w:p>
    <w:p>
      <w:pPr>
        <w:spacing w:after="0" w:line="175" w:lineRule="exact"/>
        <w:rPr>
          <w:rFonts w:ascii="Arial" w:cs="Arial" w:eastAsia="Arial" w:hAnsi="Arial"/>
          <w:sz w:val="20"/>
          <w:szCs w:val="20"/>
          <w:color w:val="auto"/>
        </w:rPr>
      </w:pPr>
    </w:p>
    <w:p>
      <w:pPr>
        <w:jc w:val="both"/>
        <w:ind w:left="-460" w:firstLine="1292"/>
        <w:spacing w:after="0" w:line="237" w:lineRule="auto"/>
        <w:tabs>
          <w:tab w:leader="none" w:pos="148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169" w:lineRule="exact"/>
        <w:rPr>
          <w:rFonts w:ascii="Arial" w:cs="Arial" w:eastAsia="Arial" w:hAnsi="Arial"/>
          <w:sz w:val="20"/>
          <w:szCs w:val="20"/>
          <w:color w:val="auto"/>
        </w:rPr>
      </w:pPr>
    </w:p>
    <w:p>
      <w:pPr>
        <w:jc w:val="both"/>
        <w:ind w:left="-460" w:firstLine="1292"/>
        <w:spacing w:after="0" w:line="275" w:lineRule="auto"/>
        <w:tabs>
          <w:tab w:leader="none" w:pos="14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0120"/>
          </w:cols>
          <w:pgMar w:left="1440" w:top="1440" w:right="339" w:bottom="1440" w:gutter="0" w:footer="0" w:header="0"/>
        </w:sectPr>
      </w:pPr>
    </w:p>
    <w:bookmarkStart w:id="83" w:name="page84"/>
    <w:bookmarkEnd w:id="83"/>
    <w:p>
      <w:pPr>
        <w:spacing w:after="0" w:line="182"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to this clause (17), not to exceed the greater of (i) $150.0 million and (ii) 5.0% of Adjusted Consolidated Net Tangible Assets determined on the date of such incurrence or issuance.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outstanding under Credit Facilities on the Issue Date shall be considered incurred under clause (1) of Section 4.09(b) and may not be reclassified.</w:t>
      </w:r>
    </w:p>
    <w:p>
      <w:pPr>
        <w:spacing w:after="0" w:line="15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Agreements (including those resulting from the application of FASB ASC Topic No.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will, in the case of (i) or (ii), not be deemed to be an incurrence of Indebtedness or Disqualified Stock or Preferred Stock. Further, the accounting reclassification of any obligation or Disqualified Stock or Preferred Stock of the Issuer or any of its Restricted Subsidiaries as Indebtedness or Disqualified Stock or Preferred Stock will not be deemed an incurrence of Indebtedness or issuance of Disqualified Stock or Preferred Stock for purposes of this Section 4.09.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150" w:lineRule="exact"/>
        <w:rPr>
          <w:sz w:val="20"/>
          <w:szCs w:val="20"/>
          <w:color w:val="auto"/>
        </w:rPr>
      </w:pPr>
    </w:p>
    <w:p>
      <w:pPr>
        <w:ind w:left="1460" w:hanging="480"/>
        <w:spacing w:after="0"/>
        <w:tabs>
          <w:tab w:leader="none" w:pos="14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accreted value of the Indebtedness, in the case of any Indebtedness issued with original issue discount;</w:t>
      </w:r>
    </w:p>
    <w:p>
      <w:pPr>
        <w:spacing w:after="0" w:line="188" w:lineRule="exact"/>
        <w:rPr>
          <w:rFonts w:ascii="Arial" w:cs="Arial" w:eastAsia="Arial" w:hAnsi="Arial"/>
          <w:sz w:val="20"/>
          <w:szCs w:val="20"/>
          <w:color w:val="auto"/>
        </w:rPr>
      </w:pPr>
    </w:p>
    <w:p>
      <w:pPr>
        <w:ind w:left="1440" w:hanging="460"/>
        <w:spacing w:after="0"/>
        <w:tabs>
          <w:tab w:leader="none" w:pos="14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principal amount of the Indebtedness, in the case of any other Indebtedness;</w:t>
      </w:r>
    </w:p>
    <w:p>
      <w:pPr>
        <w:spacing w:after="0" w:line="188" w:lineRule="exact"/>
        <w:rPr>
          <w:rFonts w:ascii="Arial" w:cs="Arial" w:eastAsia="Arial" w:hAnsi="Arial"/>
          <w:sz w:val="20"/>
          <w:szCs w:val="20"/>
          <w:color w:val="auto"/>
        </w:rPr>
      </w:pPr>
    </w:p>
    <w:p>
      <w:pPr>
        <w:ind w:left="1440" w:hanging="460"/>
        <w:spacing w:after="0"/>
        <w:tabs>
          <w:tab w:leader="none" w:pos="14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 lesser of:</w:t>
      </w:r>
    </w:p>
    <w:p>
      <w:pPr>
        <w:spacing w:after="0" w:line="186" w:lineRule="exact"/>
        <w:rPr>
          <w:rFonts w:ascii="Arial" w:cs="Arial" w:eastAsia="Arial" w:hAnsi="Arial"/>
          <w:sz w:val="19"/>
          <w:szCs w:val="19"/>
          <w:color w:val="auto"/>
        </w:rPr>
      </w:pPr>
    </w:p>
    <w:p>
      <w:pPr>
        <w:ind w:left="3640" w:hanging="392"/>
        <w:spacing w:after="0"/>
        <w:tabs>
          <w:tab w:leader="none" w:pos="364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Fair Market Value of such assets at the date of determination; and</w:t>
      </w:r>
    </w:p>
    <w:p>
      <w:pPr>
        <w:spacing w:after="0" w:line="188" w:lineRule="exact"/>
        <w:rPr>
          <w:rFonts w:ascii="Arial" w:cs="Arial" w:eastAsia="Arial" w:hAnsi="Arial"/>
          <w:sz w:val="20"/>
          <w:szCs w:val="20"/>
          <w:color w:val="auto"/>
        </w:rPr>
      </w:pPr>
    </w:p>
    <w:p>
      <w:pPr>
        <w:ind w:left="3680" w:hanging="432"/>
        <w:spacing w:after="0"/>
        <w:tabs>
          <w:tab w:leader="none" w:pos="368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amount of the Indebtedness of the other Person;</w:t>
      </w:r>
    </w:p>
    <w:p>
      <w:pPr>
        <w:spacing w:after="0" w:line="188" w:lineRule="exact"/>
        <w:rPr>
          <w:rFonts w:ascii="Arial" w:cs="Arial" w:eastAsia="Arial" w:hAnsi="Arial"/>
          <w:sz w:val="20"/>
          <w:szCs w:val="20"/>
          <w:color w:val="auto"/>
        </w:rPr>
      </w:pPr>
    </w:p>
    <w:p>
      <w:pPr>
        <w:ind w:left="1460" w:hanging="480"/>
        <w:spacing w:after="0"/>
        <w:tabs>
          <w:tab w:leader="none" w:pos="14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any Finance Lease Obligation, the amount determined in accordance with the definition thereof;</w:t>
      </w:r>
    </w:p>
    <w:p>
      <w:pPr>
        <w:spacing w:after="0" w:line="175" w:lineRule="exact"/>
        <w:rPr>
          <w:rFonts w:ascii="Arial" w:cs="Arial" w:eastAsia="Arial" w:hAnsi="Arial"/>
          <w:sz w:val="20"/>
          <w:szCs w:val="20"/>
          <w:color w:val="auto"/>
        </w:rPr>
      </w:pPr>
    </w:p>
    <w:p>
      <w:pPr>
        <w:jc w:val="both"/>
        <w:ind w:left="1620" w:hanging="640"/>
        <w:spacing w:after="0" w:line="237" w:lineRule="auto"/>
        <w:tabs>
          <w:tab w:leader="none" w:pos="157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169" w:lineRule="exact"/>
        <w:rPr>
          <w:rFonts w:ascii="Arial" w:cs="Arial" w:eastAsia="Arial" w:hAnsi="Arial"/>
          <w:sz w:val="20"/>
          <w:szCs w:val="20"/>
          <w:color w:val="auto"/>
        </w:rPr>
      </w:pPr>
    </w:p>
    <w:p>
      <w:pPr>
        <w:ind w:left="1420" w:hanging="440"/>
        <w:spacing w:after="0"/>
        <w:tabs>
          <w:tab w:leader="none" w:pos="14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any Interest Rate Agreements included in Section 4.09(b), zero;</w:t>
      </w:r>
    </w:p>
    <w:p>
      <w:pPr>
        <w:spacing w:after="0" w:line="188" w:lineRule="exact"/>
        <w:rPr>
          <w:rFonts w:ascii="Arial" w:cs="Arial" w:eastAsia="Arial" w:hAnsi="Arial"/>
          <w:sz w:val="20"/>
          <w:szCs w:val="20"/>
          <w:color w:val="auto"/>
        </w:rPr>
      </w:pPr>
    </w:p>
    <w:p>
      <w:pPr>
        <w:ind w:left="1620" w:right="20" w:hanging="640"/>
        <w:spacing w:after="0" w:line="246" w:lineRule="auto"/>
        <w:tabs>
          <w:tab w:leader="none" w:pos="145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all other unconditional obligations, the amount of the liability thereof determined in accordance with GAAP; and</w:t>
      </w:r>
    </w:p>
    <w:p>
      <w:pPr>
        <w:spacing w:after="0" w:line="149" w:lineRule="exact"/>
        <w:rPr>
          <w:rFonts w:ascii="Arial" w:cs="Arial" w:eastAsia="Arial" w:hAnsi="Arial"/>
          <w:sz w:val="20"/>
          <w:szCs w:val="20"/>
          <w:color w:val="auto"/>
        </w:rPr>
      </w:pPr>
    </w:p>
    <w:p>
      <w:pPr>
        <w:ind w:left="1460" w:hanging="480"/>
        <w:spacing w:after="0"/>
        <w:tabs>
          <w:tab w:leader="none" w:pos="14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all other contingent obligations, the maximum liability at such date of such Person.</w:t>
      </w:r>
    </w:p>
    <w:p>
      <w:pPr>
        <w:spacing w:after="0" w:line="18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7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4.10</w:t>
      </w:r>
      <w:r>
        <w:rPr>
          <w:sz w:val="20"/>
          <w:szCs w:val="20"/>
          <w:color w:val="auto"/>
        </w:rPr>
        <w:tab/>
      </w:r>
      <w:r>
        <w:rPr>
          <w:rFonts w:ascii="Arial" w:cs="Arial" w:eastAsia="Arial" w:hAnsi="Arial"/>
          <w:sz w:val="16"/>
          <w:szCs w:val="16"/>
          <w:i w:val="1"/>
          <w:iCs w:val="1"/>
          <w:color w:val="auto"/>
        </w:rPr>
        <w:t>Asset Sales.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Issuer will not, and will not permit any of its Restricted Subsidiaries to, consummate an Asset Sale unless:</w:t>
      </w:r>
    </w:p>
    <w:p>
      <w:pPr>
        <w:spacing w:after="0" w:line="189" w:lineRule="exact"/>
        <w:rPr>
          <w:sz w:val="20"/>
          <w:szCs w:val="20"/>
          <w:color w:val="auto"/>
        </w:rPr>
      </w:pPr>
    </w:p>
    <w:p>
      <w:pPr>
        <w:jc w:val="both"/>
        <w:ind w:firstLine="1304"/>
        <w:spacing w:after="0" w:line="237" w:lineRule="auto"/>
        <w:tabs>
          <w:tab w:leader="none" w:pos="175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Issuer (or a Restricted Subsidiary, as the case may be) receives consideration at the time of the Asset Sale at least equal to the Fair Market Value (measured within 15 days of the definitive agreement with respect to such Asset Sale) of the assets or Equity Interests issued or sold or otherwise disposed of;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2" w:lineRule="exact"/>
        <w:rPr>
          <w:sz w:val="20"/>
          <w:szCs w:val="20"/>
          <w:color w:val="auto"/>
        </w:rPr>
      </w:pPr>
    </w:p>
    <w:p>
      <w:pPr>
        <w:ind w:firstLine="1304"/>
        <w:spacing w:after="0" w:line="246" w:lineRule="auto"/>
        <w:tabs>
          <w:tab w:leader="none" w:pos="176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at least 75% of the aggregate consideration received in the Asset Sale by the Issuer or a Restricted Subsidiary and all other Asset Sales since the Issue Date is in the form of cash or Cash Equivalents.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provision, each of the following will be deemed to be cash:</w:t>
      </w:r>
    </w:p>
    <w:p>
      <w:pPr>
        <w:spacing w:after="0" w:line="189" w:lineRule="exact"/>
        <w:rPr>
          <w:sz w:val="20"/>
          <w:szCs w:val="20"/>
          <w:color w:val="auto"/>
        </w:rPr>
      </w:pPr>
    </w:p>
    <w:p>
      <w:pPr>
        <w:jc w:val="both"/>
        <w:ind w:left="660" w:firstLine="1292"/>
        <w:spacing w:after="0" w:line="231" w:lineRule="auto"/>
        <w:tabs>
          <w:tab w:leader="none" w:pos="241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70" w:lineRule="exact"/>
        <w:rPr>
          <w:rFonts w:ascii="Arial" w:cs="Arial" w:eastAsia="Arial" w:hAnsi="Arial"/>
          <w:sz w:val="20"/>
          <w:szCs w:val="20"/>
          <w:color w:val="auto"/>
        </w:rPr>
      </w:pPr>
    </w:p>
    <w:p>
      <w:pPr>
        <w:jc w:val="both"/>
        <w:ind w:left="660" w:firstLine="1292"/>
        <w:spacing w:after="0" w:line="234" w:lineRule="auto"/>
        <w:tabs>
          <w:tab w:leader="none" w:pos="2394" w:val="left"/>
        </w:tabs>
        <w:numPr>
          <w:ilvl w:val="1"/>
          <w:numId w:val="112"/>
        </w:numPr>
        <w:rPr>
          <w:rFonts w:ascii="Arial" w:cs="Arial" w:eastAsia="Arial" w:hAnsi="Arial"/>
          <w:sz w:val="20"/>
          <w:szCs w:val="20"/>
          <w:color w:val="auto"/>
        </w:rPr>
      </w:pPr>
      <w:r>
        <w:rPr>
          <w:rFonts w:ascii="Arial" w:cs="Arial" w:eastAsia="Arial" w:hAnsi="Arial"/>
          <w:sz w:val="20"/>
          <w:szCs w:val="20"/>
          <w:color w:val="auto"/>
        </w:rPr>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156" w:lineRule="exact"/>
        <w:rPr>
          <w:rFonts w:ascii="Arial" w:cs="Arial" w:eastAsia="Arial" w:hAnsi="Arial"/>
          <w:sz w:val="20"/>
          <w:szCs w:val="20"/>
          <w:color w:val="auto"/>
        </w:rPr>
      </w:pPr>
    </w:p>
    <w:p>
      <w:pPr>
        <w:jc w:val="both"/>
        <w:ind w:left="660" w:firstLine="1292"/>
        <w:spacing w:after="0" w:line="237" w:lineRule="auto"/>
        <w:tabs>
          <w:tab w:leader="none" w:pos="253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169" w:lineRule="exact"/>
        <w:rPr>
          <w:rFonts w:ascii="Arial" w:cs="Arial" w:eastAsia="Arial" w:hAnsi="Arial"/>
          <w:sz w:val="20"/>
          <w:szCs w:val="20"/>
          <w:color w:val="auto"/>
        </w:rPr>
      </w:pPr>
    </w:p>
    <w:p>
      <w:pPr>
        <w:ind w:left="2360" w:hanging="408"/>
        <w:spacing w:after="0"/>
        <w:tabs>
          <w:tab w:leader="none" w:pos="236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Additional Assets; and</w:t>
      </w:r>
    </w:p>
    <w:p>
      <w:pPr>
        <w:spacing w:after="0" w:line="188" w:lineRule="exact"/>
        <w:rPr>
          <w:rFonts w:ascii="Arial" w:cs="Arial" w:eastAsia="Arial" w:hAnsi="Arial"/>
          <w:sz w:val="20"/>
          <w:szCs w:val="20"/>
          <w:color w:val="auto"/>
        </w:rPr>
      </w:pPr>
    </w:p>
    <w:p>
      <w:pPr>
        <w:jc w:val="both"/>
        <w:ind w:left="660" w:firstLine="1292"/>
        <w:spacing w:after="0" w:line="263" w:lineRule="auto"/>
        <w:tabs>
          <w:tab w:leader="none" w:pos="238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34" w:lineRule="exact"/>
        <w:rPr>
          <w:rFonts w:ascii="Arial" w:cs="Arial" w:eastAsia="Arial" w:hAnsi="Arial"/>
          <w:sz w:val="18"/>
          <w:szCs w:val="18"/>
          <w:color w:val="auto"/>
        </w:rPr>
      </w:pPr>
    </w:p>
    <w:p>
      <w:pPr>
        <w:ind w:right="20" w:firstLine="1304"/>
        <w:spacing w:after="0" w:line="246" w:lineRule="auto"/>
        <w:tabs>
          <w:tab w:leader="none" w:pos="171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Within 365 days after the receipt of any Net Proceeds from an Asset Sale, the Issuer (or any Restricted Subsidiary) may apply such Net Proceeds at its option to any combination of the following:</w:t>
      </w:r>
    </w:p>
    <w:p>
      <w:pPr>
        <w:spacing w:after="0" w:line="163" w:lineRule="exact"/>
        <w:rPr>
          <w:rFonts w:ascii="Arial" w:cs="Arial" w:eastAsia="Arial" w:hAnsi="Arial"/>
          <w:sz w:val="20"/>
          <w:szCs w:val="20"/>
          <w:color w:val="auto"/>
        </w:rPr>
      </w:pPr>
    </w:p>
    <w:p>
      <w:pPr>
        <w:ind w:left="2380" w:hanging="428"/>
        <w:spacing w:after="0"/>
        <w:tabs>
          <w:tab w:leader="none" w:pos="238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to repay, redeem or repurchase any Senior Debt;</w:t>
      </w:r>
    </w:p>
    <w:p>
      <w:pPr>
        <w:spacing w:after="0" w:line="188" w:lineRule="exact"/>
        <w:rPr>
          <w:rFonts w:ascii="Arial" w:cs="Arial" w:eastAsia="Arial" w:hAnsi="Arial"/>
          <w:sz w:val="20"/>
          <w:szCs w:val="20"/>
          <w:color w:val="auto"/>
        </w:rPr>
      </w:pPr>
    </w:p>
    <w:p>
      <w:pPr>
        <w:ind w:left="2380" w:hanging="428"/>
        <w:spacing w:after="0"/>
        <w:tabs>
          <w:tab w:leader="none" w:pos="238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to invest in or acquire Additional Assets; or</w:t>
      </w:r>
    </w:p>
    <w:p>
      <w:pPr>
        <w:spacing w:after="0" w:line="175" w:lineRule="exact"/>
        <w:rPr>
          <w:rFonts w:ascii="Arial" w:cs="Arial" w:eastAsia="Arial" w:hAnsi="Arial"/>
          <w:sz w:val="20"/>
          <w:szCs w:val="20"/>
          <w:color w:val="auto"/>
        </w:rPr>
      </w:pPr>
    </w:p>
    <w:p>
      <w:pPr>
        <w:ind w:left="2380" w:hanging="428"/>
        <w:spacing w:after="0"/>
        <w:tabs>
          <w:tab w:leader="none" w:pos="23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make capital expenditures in respect of the Issuer’s or any Restricted Subsidiaries’ Oil and Gas Business.</w:t>
      </w:r>
    </w:p>
    <w:p>
      <w:pPr>
        <w:spacing w:after="0" w:line="211" w:lineRule="exact"/>
        <w:rPr>
          <w:rFonts w:ascii="Arial" w:cs="Arial" w:eastAsia="Arial" w:hAnsi="Arial"/>
          <w:sz w:val="18"/>
          <w:szCs w:val="18"/>
          <w:color w:val="auto"/>
        </w:rPr>
      </w:pPr>
    </w:p>
    <w:p>
      <w:pPr>
        <w:jc w:val="both"/>
        <w:ind w:firstLine="1304"/>
        <w:spacing w:after="0" w:line="237" w:lineRule="auto"/>
        <w:tabs>
          <w:tab w:leader="none" w:pos="176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56" w:lineRule="exact"/>
        <w:rPr>
          <w:sz w:val="20"/>
          <w:szCs w:val="20"/>
          <w:color w:val="auto"/>
        </w:rPr>
      </w:pPr>
    </w:p>
    <w:p>
      <w:pPr>
        <w:jc w:val="both"/>
        <w:ind w:firstLine="1304"/>
        <w:spacing w:after="0" w:line="300" w:lineRule="auto"/>
        <w:tabs>
          <w:tab w:leader="none" w:pos="17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117" w:lineRule="exact"/>
        <w:rPr>
          <w:rFonts w:ascii="Arial" w:cs="Arial" w:eastAsia="Arial" w:hAnsi="Arial"/>
          <w:sz w:val="18"/>
          <w:szCs w:val="18"/>
          <w:color w:val="auto"/>
        </w:rPr>
      </w:pPr>
    </w:p>
    <w:p>
      <w:pPr>
        <w:jc w:val="both"/>
        <w:ind w:firstLine="1304"/>
        <w:spacing w:after="0" w:line="253" w:lineRule="auto"/>
        <w:tabs>
          <w:tab w:leader="none" w:pos="17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Net Proceeds from Asset Sales that are not applied or invested as provided in Section 4.10(c) will constitute “</w:t>
      </w:r>
      <w:r>
        <w:rPr>
          <w:rFonts w:ascii="Arial" w:cs="Arial" w:eastAsia="Arial" w:hAnsi="Arial"/>
          <w:sz w:val="18"/>
          <w:szCs w:val="18"/>
          <w:i w:val="1"/>
          <w:iCs w:val="1"/>
          <w:color w:val="auto"/>
        </w:rPr>
        <w:t>Excess Proceeds</w:t>
      </w:r>
      <w:r>
        <w:rPr>
          <w:rFonts w:ascii="Arial" w:cs="Arial" w:eastAsia="Arial" w:hAnsi="Arial"/>
          <w:sz w:val="18"/>
          <w:szCs w:val="18"/>
          <w:color w:val="auto"/>
        </w:rPr>
        <w:t>.” When the aggregate amount of Excess Proceeds exceeds $50.0 million, within five days thereof, the Issuer will make an offer (an “</w:t>
      </w:r>
      <w:r>
        <w:rPr>
          <w:rFonts w:ascii="Arial" w:cs="Arial" w:eastAsia="Arial" w:hAnsi="Arial"/>
          <w:sz w:val="18"/>
          <w:szCs w:val="18"/>
          <w:i w:val="1"/>
          <w:iCs w:val="1"/>
          <w:color w:val="auto"/>
        </w:rPr>
        <w:t>Asset Sale Offer</w:t>
      </w:r>
      <w:r>
        <w:rPr>
          <w:rFonts w:ascii="Arial" w:cs="Arial" w:eastAsia="Arial" w:hAnsi="Arial"/>
          <w:sz w:val="18"/>
          <w:szCs w:val="18"/>
          <w:color w:val="auto"/>
        </w:rPr>
        <w:t xml:space="preserve">”) to all Holders of Notes and all holders of other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containing provisions similar to those set forth in this Indenture with respect to offers to purchase, prepay or redeem with the proceeds of sales of assets to purchase, prepay or redeem,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principal amounts of Notes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(or, in the case of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Indebtedness issued with significant original issue discount, based on the accreted value thereof) tendered), the maximum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the principal amount, plus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(except that any Notes represented by a Note in global form will be selected by such method as DTC or its nominee or successor may require or a method that most nearly approximates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selection as the Trustee deems fair and appropriate and is in accordance with DTC’s applicable procedures), based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158" w:lineRule="exact"/>
        <w:rPr>
          <w:rFonts w:ascii="Arial" w:cs="Arial" w:eastAsia="Arial" w:hAnsi="Arial"/>
          <w:sz w:val="18"/>
          <w:szCs w:val="18"/>
          <w:color w:val="auto"/>
        </w:rPr>
      </w:pPr>
    </w:p>
    <w:p>
      <w:pPr>
        <w:jc w:val="both"/>
        <w:ind w:firstLine="1304"/>
        <w:spacing w:after="0" w:line="232" w:lineRule="auto"/>
        <w:tabs>
          <w:tab w:leader="none" w:pos="174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3.09 or this Section 4.10, the Issuer will comply with the applicable securities laws and regulations and will not be deemed to have breached its obligations under Section 3.09 or this Section 4.10 by virtue of such compliance.</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4.11</w:t>
      </w:r>
      <w:r>
        <w:rPr>
          <w:sz w:val="20"/>
          <w:szCs w:val="20"/>
          <w:color w:val="auto"/>
        </w:rPr>
        <w:tab/>
      </w:r>
      <w:r>
        <w:rPr>
          <w:rFonts w:ascii="Arial" w:cs="Arial" w:eastAsia="Arial" w:hAnsi="Arial"/>
          <w:sz w:val="18"/>
          <w:szCs w:val="18"/>
          <w:i w:val="1"/>
          <w:iCs w:val="1"/>
          <w:color w:val="auto"/>
        </w:rPr>
        <w:t>Transactions with Affiliates.</w:t>
      </w:r>
    </w:p>
    <w:p>
      <w:pPr>
        <w:spacing w:after="0" w:line="189" w:lineRule="exact"/>
        <w:rPr>
          <w:sz w:val="20"/>
          <w:szCs w:val="20"/>
          <w:color w:val="auto"/>
        </w:rPr>
      </w:pPr>
    </w:p>
    <w:p>
      <w:pPr>
        <w:jc w:val="both"/>
        <w:ind w:firstLine="1304"/>
        <w:spacing w:after="0" w:line="310" w:lineRule="auto"/>
        <w:tabs>
          <w:tab w:leader="none" w:pos="181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involving aggregate consideration to or from the Issuer or a Restricted Subsidiary in excess of $10.0 million, unless: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82" w:lineRule="exact"/>
        <w:rPr>
          <w:sz w:val="20"/>
          <w:szCs w:val="20"/>
          <w:color w:val="auto"/>
        </w:rPr>
      </w:pPr>
    </w:p>
    <w:p>
      <w:pPr>
        <w:jc w:val="both"/>
        <w:ind w:left="660" w:firstLine="1292"/>
        <w:spacing w:after="0" w:line="232" w:lineRule="auto"/>
        <w:tabs>
          <w:tab w:leader="none" w:pos="2387"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157" w:lineRule="exact"/>
        <w:rPr>
          <w:rFonts w:ascii="Arial" w:cs="Arial" w:eastAsia="Arial" w:hAnsi="Arial"/>
          <w:sz w:val="20"/>
          <w:szCs w:val="20"/>
          <w:color w:val="auto"/>
        </w:rPr>
      </w:pPr>
    </w:p>
    <w:p>
      <w:pPr>
        <w:jc w:val="both"/>
        <w:ind w:left="660" w:firstLine="1292"/>
        <w:spacing w:after="0" w:line="246" w:lineRule="auto"/>
        <w:tabs>
          <w:tab w:leader="none" w:pos="253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62" w:lineRule="exact"/>
        <w:rPr>
          <w:rFonts w:ascii="Arial" w:cs="Arial" w:eastAsia="Arial" w:hAnsi="Arial"/>
          <w:sz w:val="19"/>
          <w:szCs w:val="19"/>
          <w:color w:val="auto"/>
        </w:rPr>
      </w:pPr>
    </w:p>
    <w:p>
      <w:pPr>
        <w:ind w:left="1740" w:hanging="436"/>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Section 4.11(a):</w:t>
      </w:r>
    </w:p>
    <w:p>
      <w:pPr>
        <w:spacing w:after="0" w:line="172" w:lineRule="exact"/>
        <w:rPr>
          <w:rFonts w:ascii="Arial" w:cs="Arial" w:eastAsia="Arial" w:hAnsi="Arial"/>
          <w:sz w:val="18"/>
          <w:szCs w:val="18"/>
          <w:color w:val="auto"/>
        </w:rPr>
      </w:pPr>
    </w:p>
    <w:p>
      <w:pPr>
        <w:jc w:val="both"/>
        <w:ind w:left="660" w:firstLine="1292"/>
        <w:spacing w:after="0" w:line="237" w:lineRule="auto"/>
        <w:tabs>
          <w:tab w:leader="none" w:pos="252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155" w:lineRule="exact"/>
        <w:rPr>
          <w:rFonts w:ascii="Arial" w:cs="Arial" w:eastAsia="Arial" w:hAnsi="Arial"/>
          <w:sz w:val="20"/>
          <w:szCs w:val="20"/>
          <w:color w:val="auto"/>
        </w:rPr>
      </w:pPr>
    </w:p>
    <w:p>
      <w:pPr>
        <w:ind w:left="2380" w:hanging="428"/>
        <w:spacing w:after="0"/>
        <w:tabs>
          <w:tab w:leader="none" w:pos="23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transactions between or among the Issuer and/or its Restricted Subsidiaries;</w:t>
      </w:r>
    </w:p>
    <w:p>
      <w:pPr>
        <w:spacing w:after="0" w:line="188" w:lineRule="exact"/>
        <w:rPr>
          <w:rFonts w:ascii="Arial" w:cs="Arial" w:eastAsia="Arial" w:hAnsi="Arial"/>
          <w:sz w:val="20"/>
          <w:szCs w:val="20"/>
          <w:color w:val="auto"/>
        </w:rPr>
      </w:pPr>
    </w:p>
    <w:p>
      <w:pPr>
        <w:ind w:left="660" w:firstLine="1292"/>
        <w:spacing w:after="0" w:line="300" w:lineRule="auto"/>
        <w:tabs>
          <w:tab w:leader="none" w:pos="240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Issuer) that is an Affiliate of the Issuer solely because the Issuer owns, directly or through a Restricted Subsidiary, an Equity Interest in, or controls, such Person;</w:t>
      </w:r>
    </w:p>
    <w:p>
      <w:pPr>
        <w:spacing w:after="0" w:line="117" w:lineRule="exact"/>
        <w:rPr>
          <w:rFonts w:ascii="Arial" w:cs="Arial" w:eastAsia="Arial" w:hAnsi="Arial"/>
          <w:sz w:val="18"/>
          <w:szCs w:val="18"/>
          <w:color w:val="auto"/>
        </w:rPr>
      </w:pPr>
    </w:p>
    <w:p>
      <w:pPr>
        <w:jc w:val="both"/>
        <w:ind w:left="660" w:firstLine="1292"/>
        <w:spacing w:after="0" w:line="237" w:lineRule="auto"/>
        <w:tabs>
          <w:tab w:leader="none" w:pos="241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155" w:lineRule="exact"/>
        <w:rPr>
          <w:rFonts w:ascii="Arial" w:cs="Arial" w:eastAsia="Arial" w:hAnsi="Arial"/>
          <w:sz w:val="20"/>
          <w:szCs w:val="20"/>
          <w:color w:val="auto"/>
        </w:rPr>
      </w:pPr>
    </w:p>
    <w:p>
      <w:pPr>
        <w:ind w:left="2380" w:hanging="428"/>
        <w:spacing w:after="0"/>
        <w:tabs>
          <w:tab w:leader="none" w:pos="238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any issuance of Equity Interests (other than Disqualified Stock) of the Issuer to Affiliates of the Issuer;</w:t>
      </w:r>
    </w:p>
    <w:p>
      <w:pPr>
        <w:spacing w:after="0" w:line="200" w:lineRule="exact"/>
        <w:rPr>
          <w:rFonts w:ascii="Arial" w:cs="Arial" w:eastAsia="Arial" w:hAnsi="Arial"/>
          <w:sz w:val="19"/>
          <w:szCs w:val="19"/>
          <w:color w:val="auto"/>
        </w:rPr>
      </w:pPr>
    </w:p>
    <w:p>
      <w:pPr>
        <w:ind w:left="2380" w:hanging="428"/>
        <w:spacing w:after="0"/>
        <w:tabs>
          <w:tab w:leader="none" w:pos="23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Restricted Payments or Permitted Investments or Permitted Payments that are permitted by Section 4.07;</w:t>
      </w:r>
    </w:p>
    <w:p>
      <w:pPr>
        <w:spacing w:after="0" w:line="211" w:lineRule="exact"/>
        <w:rPr>
          <w:rFonts w:ascii="Arial" w:cs="Arial" w:eastAsia="Arial" w:hAnsi="Arial"/>
          <w:sz w:val="18"/>
          <w:szCs w:val="18"/>
          <w:color w:val="auto"/>
        </w:rPr>
      </w:pPr>
    </w:p>
    <w:p>
      <w:pPr>
        <w:jc w:val="both"/>
        <w:ind w:left="660" w:firstLine="1292"/>
        <w:spacing w:after="0" w:line="234" w:lineRule="auto"/>
        <w:tabs>
          <w:tab w:leader="none" w:pos="2433"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transactions between the Issuer or any of its Restricted Subsidiaries and any Person that would not otherwise constitute an Affiliate Transaction except for the fact that one director of such other Person is also a director of the Issuer or such Restricted Subsidiary, as applicable;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director abstains from voting as a director of the Issuer or such Restricted Subsidiary, as applicable, on any matter involving such other Person;</w:t>
      </w:r>
    </w:p>
    <w:p>
      <w:pPr>
        <w:spacing w:after="0" w:line="156" w:lineRule="exact"/>
        <w:rPr>
          <w:rFonts w:ascii="Arial" w:cs="Arial" w:eastAsia="Arial" w:hAnsi="Arial"/>
          <w:sz w:val="20"/>
          <w:szCs w:val="20"/>
          <w:color w:val="auto"/>
        </w:rPr>
      </w:pPr>
    </w:p>
    <w:p>
      <w:pPr>
        <w:jc w:val="both"/>
        <w:ind w:left="660" w:firstLine="1292"/>
        <w:spacing w:after="0" w:line="237" w:lineRule="auto"/>
        <w:tabs>
          <w:tab w:leader="none" w:pos="246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Restricted Subsidiary from a financial point of view or that such transaction meets the requirements of Section 4.11(a)(1);</w:t>
      </w:r>
    </w:p>
    <w:p>
      <w:pPr>
        <w:spacing w:after="0" w:line="198" w:lineRule="exact"/>
        <w:rPr>
          <w:sz w:val="20"/>
          <w:szCs w:val="20"/>
          <w:color w:val="auto"/>
        </w:rPr>
      </w:pPr>
    </w:p>
    <w:p>
      <w:pPr>
        <w:jc w:val="both"/>
        <w:ind w:left="660" w:firstLine="1292"/>
        <w:spacing w:after="0" w:line="232" w:lineRule="auto"/>
        <w:tabs>
          <w:tab w:leader="none" w:pos="242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guarantees by the Issuer or any of its Restricted Subsidiaries of performance of obligations of the Issuer’s Unrestricted Subsidiaries in the ordinary course of business, except for guarantees of Indebtedness in respect of borrowed money, and (b) 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170" w:lineRule="exact"/>
        <w:rPr>
          <w:rFonts w:ascii="Arial" w:cs="Arial" w:eastAsia="Arial" w:hAnsi="Arial"/>
          <w:sz w:val="20"/>
          <w:szCs w:val="20"/>
          <w:color w:val="auto"/>
        </w:rPr>
      </w:pPr>
    </w:p>
    <w:p>
      <w:pPr>
        <w:jc w:val="both"/>
        <w:ind w:left="660" w:firstLine="1292"/>
        <w:spacing w:after="0" w:line="260" w:lineRule="auto"/>
        <w:tabs>
          <w:tab w:leader="none" w:pos="25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transactions with Unrestricted Subsidiaries, customers, clients, suppliers or purchasers or sellers of goods or services, or lessors or lessees of property, in each case in the ordinary course of business and otherwise in compliance with the terms of this Indenture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153" w:lineRule="exact"/>
        <w:rPr>
          <w:rFonts w:ascii="Arial" w:cs="Arial" w:eastAsia="Arial" w:hAnsi="Arial"/>
          <w:sz w:val="18"/>
          <w:szCs w:val="18"/>
          <w:color w:val="auto"/>
        </w:rPr>
      </w:pPr>
    </w:p>
    <w:p>
      <w:pPr>
        <w:jc w:val="both"/>
        <w:ind w:left="660" w:firstLine="1292"/>
        <w:spacing w:after="0" w:line="288" w:lineRule="auto"/>
        <w:tabs>
          <w:tab w:leader="none" w:pos="263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w:t>
      </w:r>
    </w:p>
    <w:p>
      <w:pPr>
        <w:spacing w:after="0" w:line="1" w:lineRule="exact"/>
        <w:rPr>
          <w:rFonts w:ascii="Arial" w:cs="Arial" w:eastAsia="Arial" w:hAnsi="Arial"/>
          <w:sz w:val="16"/>
          <w:szCs w:val="16"/>
          <w:color w:val="auto"/>
        </w:rPr>
      </w:pPr>
    </w:p>
    <w:p>
      <w:pPr>
        <w:jc w:val="both"/>
        <w:ind w:left="660" w:hanging="4"/>
        <w:spacing w:after="0" w:line="231" w:lineRule="auto"/>
        <w:tabs>
          <w:tab w:leader="none" w:pos="99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 and</w:t>
      </w:r>
    </w:p>
    <w:p>
      <w:pPr>
        <w:spacing w:after="0" w:line="156" w:lineRule="exact"/>
        <w:rPr>
          <w:rFonts w:ascii="Arial" w:cs="Arial" w:eastAsia="Arial" w:hAnsi="Arial"/>
          <w:sz w:val="20"/>
          <w:szCs w:val="20"/>
          <w:color w:val="auto"/>
        </w:rPr>
      </w:pPr>
    </w:p>
    <w:p>
      <w:pPr>
        <w:jc w:val="both"/>
        <w:ind w:left="660" w:firstLine="1292"/>
        <w:spacing w:after="0" w:line="232" w:lineRule="auto"/>
        <w:tabs>
          <w:tab w:leader="none" w:pos="251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4.12</w:t>
      </w:r>
      <w:r>
        <w:rPr>
          <w:sz w:val="20"/>
          <w:szCs w:val="20"/>
          <w:color w:val="auto"/>
        </w:rPr>
        <w:tab/>
      </w:r>
      <w:r>
        <w:rPr>
          <w:rFonts w:ascii="Arial" w:cs="Arial" w:eastAsia="Arial" w:hAnsi="Arial"/>
          <w:sz w:val="16"/>
          <w:szCs w:val="16"/>
          <w:i w:val="1"/>
          <w:iCs w:val="1"/>
          <w:color w:val="auto"/>
        </w:rPr>
        <w:t>Liens.</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The Issuer will not and will not permit any of its Restricted Subsidiaries to, directly or indirectly, create, incur, assume or otherwise cause or suffer to exist or become effective any Lien of any kind (other 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4.13</w:t>
      </w:r>
      <w:r>
        <w:rPr>
          <w:sz w:val="20"/>
          <w:szCs w:val="20"/>
          <w:color w:val="auto"/>
        </w:rPr>
        <w:tab/>
      </w:r>
      <w:r>
        <w:rPr>
          <w:rFonts w:ascii="Arial" w:cs="Arial" w:eastAsia="Arial" w:hAnsi="Arial"/>
          <w:sz w:val="18"/>
          <w:szCs w:val="18"/>
          <w:i w:val="1"/>
          <w:iCs w:val="1"/>
          <w:color w:val="auto"/>
        </w:rPr>
        <w:t>[Reserved].</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4.14</w:t>
      </w:r>
      <w:r>
        <w:rPr>
          <w:sz w:val="20"/>
          <w:szCs w:val="20"/>
          <w:color w:val="auto"/>
        </w:rPr>
        <w:tab/>
      </w:r>
      <w:r>
        <w:rPr>
          <w:rFonts w:ascii="Arial" w:cs="Arial" w:eastAsia="Arial" w:hAnsi="Arial"/>
          <w:sz w:val="18"/>
          <w:szCs w:val="18"/>
          <w:i w:val="1"/>
          <w:iCs w:val="1"/>
          <w:color w:val="auto"/>
        </w:rPr>
        <w:t>Organizational Existence.</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Issuer shall not be required to preserve any such right, license or franchise if the Issuer shall determine that the preservation thereof is no longer desirable in the conduct of the business of the Issuer.</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4.15</w:t>
      </w:r>
      <w:r>
        <w:rPr>
          <w:sz w:val="20"/>
          <w:szCs w:val="20"/>
          <w:color w:val="auto"/>
        </w:rPr>
        <w:tab/>
      </w:r>
      <w:r>
        <w:rPr>
          <w:rFonts w:ascii="Arial" w:cs="Arial" w:eastAsia="Arial" w:hAnsi="Arial"/>
          <w:sz w:val="18"/>
          <w:szCs w:val="18"/>
          <w:i w:val="1"/>
          <w:iCs w:val="1"/>
          <w:color w:val="auto"/>
        </w:rPr>
        <w:t>Offer to Repurchase Upon Change of Control Triggering Event.</w:t>
      </w:r>
    </w:p>
    <w:p>
      <w:pPr>
        <w:spacing w:after="0" w:line="175" w:lineRule="exact"/>
        <w:rPr>
          <w:sz w:val="20"/>
          <w:szCs w:val="20"/>
          <w:color w:val="auto"/>
        </w:rPr>
      </w:pPr>
    </w:p>
    <w:p>
      <w:pPr>
        <w:jc w:val="both"/>
        <w:ind w:firstLine="1304"/>
        <w:spacing w:after="0" w:line="260" w:lineRule="auto"/>
        <w:tabs>
          <w:tab w:leader="none" w:pos="182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Arial" w:cs="Arial" w:eastAsia="Arial" w:hAnsi="Arial"/>
          <w:sz w:val="18"/>
          <w:szCs w:val="18"/>
          <w:i w:val="1"/>
          <w:iCs w:val="1"/>
          <w:color w:val="auto"/>
        </w:rPr>
        <w:t>Change of Control Offer</w:t>
      </w:r>
      <w:r>
        <w:rPr>
          <w:rFonts w:ascii="Arial" w:cs="Arial" w:eastAsia="Arial" w:hAnsi="Arial"/>
          <w:sz w:val="18"/>
          <w:szCs w:val="18"/>
          <w:color w:val="auto"/>
        </w:rPr>
        <w:t>”) on the terms set forth in this Section 4.15. In the Change of Control Offer, the Issuer will offer a payment in cash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equal to 101% of the aggregate principal amount of Notes repurchased, plus accrued and unpaid interest, if any, on the Notes repurchased to, but excluding, the date of purchase (the “</w:t>
      </w:r>
      <w:r>
        <w:rPr>
          <w:rFonts w:ascii="Arial" w:cs="Arial" w:eastAsia="Arial" w:hAnsi="Arial"/>
          <w:sz w:val="18"/>
          <w:szCs w:val="18"/>
          <w:i w:val="1"/>
          <w:iCs w:val="1"/>
          <w:color w:val="auto"/>
        </w:rPr>
        <w:t>Change of Control Purchase Date</w:t>
      </w:r>
      <w:r>
        <w:rPr>
          <w:rFonts w:ascii="Arial" w:cs="Arial" w:eastAsia="Arial" w:hAnsi="Arial"/>
          <w:sz w:val="18"/>
          <w:szCs w:val="18"/>
          <w:color w:val="auto"/>
        </w:rPr>
        <w:t>”), subject to the rights of Holders of Notes on the relevant record date to receive interest due on the relevant Interest Payment Date.</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157" w:lineRule="exact"/>
        <w:rPr>
          <w:sz w:val="20"/>
          <w:szCs w:val="20"/>
          <w:color w:val="auto"/>
        </w:rPr>
      </w:pPr>
    </w:p>
    <w:p>
      <w:pPr>
        <w:jc w:val="both"/>
        <w:ind w:firstLine="1304"/>
        <w:spacing w:after="0" w:line="237" w:lineRule="auto"/>
        <w:tabs>
          <w:tab w:leader="none" w:pos="182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155" w:lineRule="exact"/>
        <w:rPr>
          <w:rFonts w:ascii="Arial" w:cs="Arial" w:eastAsia="Arial" w:hAnsi="Arial"/>
          <w:sz w:val="20"/>
          <w:szCs w:val="20"/>
          <w:color w:val="auto"/>
        </w:rPr>
      </w:pPr>
    </w:p>
    <w:p>
      <w:pPr>
        <w:ind w:left="660" w:right="20" w:firstLine="1292"/>
        <w:spacing w:after="0" w:line="246" w:lineRule="auto"/>
        <w:tabs>
          <w:tab w:leader="none" w:pos="244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deposit with the Paying Agent an amount equal to the Change of Control Payment in respect of all Notes or portions of Notes properly tendered; and</w:t>
      </w:r>
    </w:p>
    <w:p>
      <w:pPr>
        <w:spacing w:after="0" w:line="163" w:lineRule="exact"/>
        <w:rPr>
          <w:rFonts w:ascii="Arial" w:cs="Arial" w:eastAsia="Arial" w:hAnsi="Arial"/>
          <w:sz w:val="20"/>
          <w:szCs w:val="20"/>
          <w:color w:val="auto"/>
        </w:rPr>
      </w:pPr>
    </w:p>
    <w:p>
      <w:pPr>
        <w:ind w:left="660" w:firstLine="1292"/>
        <w:spacing w:after="0" w:line="246" w:lineRule="auto"/>
        <w:tabs>
          <w:tab w:leader="none" w:pos="2385" w:val="left"/>
        </w:tabs>
        <w:numPr>
          <w:ilvl w:val="1"/>
          <w:numId w:val="121"/>
        </w:numPr>
        <w:rPr>
          <w:rFonts w:ascii="Arial" w:cs="Arial" w:eastAsia="Arial" w:hAnsi="Arial"/>
          <w:sz w:val="20"/>
          <w:szCs w:val="20"/>
          <w:color w:val="auto"/>
        </w:rPr>
      </w:pPr>
      <w:r>
        <w:rPr>
          <w:rFonts w:ascii="Arial" w:cs="Arial" w:eastAsia="Arial" w:hAnsi="Arial"/>
          <w:sz w:val="20"/>
          <w:szCs w:val="20"/>
          <w:color w:val="auto"/>
        </w:rPr>
        <w:t>deliver or cause to be delivered to the Trustee the Notes properly accepted together with an Officers’ Certificate stating the aggregate principal amount of Notes or portions of Notes being purchased by the Issuer.</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56" w:lineRule="exact"/>
        <w:rPr>
          <w:sz w:val="20"/>
          <w:szCs w:val="20"/>
          <w:color w:val="auto"/>
        </w:rPr>
      </w:pPr>
    </w:p>
    <w:p>
      <w:pPr>
        <w:jc w:val="both"/>
        <w:ind w:firstLine="1304"/>
        <w:spacing w:after="0" w:line="237" w:lineRule="auto"/>
        <w:tabs>
          <w:tab w:leader="none" w:pos="181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169" w:lineRule="exact"/>
        <w:rPr>
          <w:rFonts w:ascii="Arial" w:cs="Arial" w:eastAsia="Arial" w:hAnsi="Arial"/>
          <w:sz w:val="20"/>
          <w:szCs w:val="20"/>
          <w:color w:val="auto"/>
        </w:rPr>
      </w:pPr>
    </w:p>
    <w:p>
      <w:pPr>
        <w:jc w:val="both"/>
        <w:ind w:firstLine="1304"/>
        <w:spacing w:after="0" w:line="242" w:lineRule="auto"/>
        <w:tabs>
          <w:tab w:leader="none" w:pos="181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Arial" w:cs="Arial" w:eastAsia="Arial" w:hAnsi="Arial"/>
          <w:sz w:val="19"/>
          <w:szCs w:val="19"/>
          <w:i w:val="1"/>
          <w:iCs w:val="1"/>
          <w:color w:val="auto"/>
        </w:rPr>
        <w:t>Alternate</w:t>
      </w:r>
      <w:r>
        <w:rPr>
          <w:rFonts w:ascii="Arial" w:cs="Arial" w:eastAsia="Arial" w:hAnsi="Arial"/>
          <w:sz w:val="19"/>
          <w:szCs w:val="19"/>
          <w:color w:val="auto"/>
        </w:rPr>
        <w:t xml:space="preserve"> </w:t>
      </w:r>
      <w:r>
        <w:rPr>
          <w:rFonts w:ascii="Arial" w:cs="Arial" w:eastAsia="Arial" w:hAnsi="Arial"/>
          <w:sz w:val="19"/>
          <w:szCs w:val="19"/>
          <w:i w:val="1"/>
          <w:iCs w:val="1"/>
          <w:color w:val="auto"/>
        </w:rPr>
        <w:t>Offer</w:t>
      </w:r>
      <w:r>
        <w:rPr>
          <w:rFonts w:ascii="Arial" w:cs="Arial" w:eastAsia="Arial" w:hAnsi="Arial"/>
          <w:sz w:val="19"/>
          <w:szCs w:val="19"/>
          <w:color w:val="auto"/>
        </w:rPr>
        <w:t>”) any and all Notes validly tendered at a cash price equal to or higher than the Change of Control Payment and has purchased all Notes</w:t>
      </w:r>
      <w:r>
        <w:rPr>
          <w:rFonts w:ascii="Arial" w:cs="Arial" w:eastAsia="Arial" w:hAnsi="Arial"/>
          <w:sz w:val="19"/>
          <w:szCs w:val="19"/>
          <w:i w:val="1"/>
          <w:iCs w:val="1"/>
          <w:color w:val="auto"/>
        </w:rPr>
        <w:t xml:space="preserve"> </w:t>
      </w:r>
      <w:r>
        <w:rPr>
          <w:rFonts w:ascii="Arial" w:cs="Arial" w:eastAsia="Arial" w:hAnsi="Arial"/>
          <w:sz w:val="19"/>
          <w:szCs w:val="19"/>
          <w:color w:val="auto"/>
        </w:rPr>
        <w:t>properly tendered in accordance with the terms of such Alternate Offer.</w:t>
      </w:r>
    </w:p>
    <w:p>
      <w:pPr>
        <w:spacing w:after="0" w:line="168" w:lineRule="exact"/>
        <w:rPr>
          <w:rFonts w:ascii="Arial" w:cs="Arial" w:eastAsia="Arial" w:hAnsi="Arial"/>
          <w:sz w:val="19"/>
          <w:szCs w:val="19"/>
          <w:color w:val="auto"/>
        </w:rPr>
      </w:pPr>
    </w:p>
    <w:p>
      <w:pPr>
        <w:jc w:val="both"/>
        <w:ind w:firstLine="1304"/>
        <w:spacing w:after="0" w:line="254" w:lineRule="auto"/>
        <w:tabs>
          <w:tab w:leader="none" w:pos="174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43" w:lineRule="exact"/>
        <w:rPr>
          <w:rFonts w:ascii="Arial" w:cs="Arial" w:eastAsia="Arial" w:hAnsi="Arial"/>
          <w:sz w:val="19"/>
          <w:szCs w:val="19"/>
          <w:color w:val="auto"/>
        </w:rPr>
      </w:pPr>
    </w:p>
    <w:p>
      <w:pPr>
        <w:jc w:val="both"/>
        <w:ind w:firstLine="1304"/>
        <w:spacing w:after="0" w:line="258" w:lineRule="auto"/>
        <w:tabs>
          <w:tab w:leader="none" w:pos="174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that upon consummation of a Change of Control Offer or Alternate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given not more than 30 days following the purchase pursuant to the Change of Control Offer described above, to redeem all of the Notes that remain outstanding following such purchase at a redemption price equal to the Change of Control Payment plus, to the extent not included in the Change of Control Payment, accrued and unpaid interest, if any, on the Notes that remain outstanding, to the date of redemption, subject to the rights of Holders of Notes on the relevant record date to receive interest on the relevant Interest Payment Date.</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4.16</w:t>
      </w:r>
      <w:r>
        <w:rPr>
          <w:sz w:val="20"/>
          <w:szCs w:val="20"/>
          <w:color w:val="auto"/>
        </w:rPr>
        <w:tab/>
      </w:r>
      <w:r>
        <w:rPr>
          <w:rFonts w:ascii="Arial" w:cs="Arial" w:eastAsia="Arial" w:hAnsi="Arial"/>
          <w:sz w:val="18"/>
          <w:szCs w:val="18"/>
          <w:i w:val="1"/>
          <w:iCs w:val="1"/>
          <w:color w:val="auto"/>
        </w:rPr>
        <w:t>Additional Guarantees.</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and delivering it to the Trustee within 20 Business Days of the date on which it guaranteed or became an obligor with respect to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4.17</w:t>
      </w:r>
      <w:r>
        <w:rPr>
          <w:sz w:val="20"/>
          <w:szCs w:val="20"/>
          <w:color w:val="auto"/>
        </w:rPr>
        <w:tab/>
      </w:r>
      <w:r>
        <w:rPr>
          <w:rFonts w:ascii="Arial" w:cs="Arial" w:eastAsia="Arial" w:hAnsi="Arial"/>
          <w:sz w:val="18"/>
          <w:szCs w:val="18"/>
          <w:i w:val="1"/>
          <w:iCs w:val="1"/>
          <w:color w:val="auto"/>
        </w:rPr>
        <w:t>Designation of Restricted and Unrestricted Subsidiaries.</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Issuer may designate any Restricted Subsidiary to be an Unrestricted Subsidiary if that designation would not cause a Default. If a Restricted Subsidiary is designated as an Unrestricted Subsidiary,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5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The Issuer may at any time designate any Unrestricted Subsidiary to be a Restricted Subsidiary of the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pro forma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15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4.18</w:t>
      </w:r>
      <w:r>
        <w:rPr>
          <w:sz w:val="20"/>
          <w:szCs w:val="20"/>
          <w:color w:val="auto"/>
        </w:rPr>
        <w:tab/>
      </w:r>
      <w:r>
        <w:rPr>
          <w:rFonts w:ascii="Arial" w:cs="Arial" w:eastAsia="Arial" w:hAnsi="Arial"/>
          <w:sz w:val="16"/>
          <w:szCs w:val="16"/>
          <w:i w:val="1"/>
          <w:iCs w:val="1"/>
          <w:color w:val="auto"/>
        </w:rPr>
        <w:t>Covenant Termination.</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Notwithstanding any provision of this Indenture or of the Notes to the contrary, if at any time following the Issue Date (a) the Notes are rated Baa3 or better by Moody’s or BBB- or better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3.09, 4.07, 4.08, 4.09, 4.10, 4.11 and 4.17 and Section 5.01(a)(4) of this Indenture will thereafter terminate and no Default or Event of Default shall result from any failure to comply with any of the provisions of such Sections.</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5</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SUCCESSORS</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6"/>
          <w:szCs w:val="16"/>
          <w:i w:val="1"/>
          <w:iCs w:val="1"/>
          <w:color w:val="auto"/>
        </w:rPr>
        <w:t>Merger, Consolidation or Sale of Assets.</w:t>
      </w:r>
    </w:p>
    <w:p>
      <w:pPr>
        <w:spacing w:after="0" w:line="189" w:lineRule="exact"/>
        <w:rPr>
          <w:sz w:val="20"/>
          <w:szCs w:val="20"/>
          <w:color w:val="auto"/>
        </w:rPr>
      </w:pPr>
    </w:p>
    <w:p>
      <w:pPr>
        <w:jc w:val="both"/>
        <w:ind w:firstLine="1304"/>
        <w:spacing w:after="0" w:line="237" w:lineRule="auto"/>
        <w:tabs>
          <w:tab w:leader="none" w:pos="178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169" w:lineRule="exact"/>
        <w:rPr>
          <w:rFonts w:ascii="Arial" w:cs="Arial" w:eastAsia="Arial" w:hAnsi="Arial"/>
          <w:sz w:val="20"/>
          <w:szCs w:val="20"/>
          <w:color w:val="auto"/>
        </w:rPr>
      </w:pPr>
    </w:p>
    <w:p>
      <w:pPr>
        <w:jc w:val="both"/>
        <w:ind w:left="660" w:firstLine="1292"/>
        <w:spacing w:after="0" w:line="231" w:lineRule="auto"/>
        <w:tabs>
          <w:tab w:leader="none" w:pos="2408"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at any time such surviving Person is a limited liability company or limited partnership, there shall be a co-issuer of the</w:t>
      </w:r>
      <w:r>
        <w:rPr>
          <w:rFonts w:ascii="Arial" w:cs="Arial" w:eastAsia="Arial" w:hAnsi="Arial"/>
          <w:sz w:val="20"/>
          <w:szCs w:val="20"/>
          <w:i w:val="1"/>
          <w:iCs w:val="1"/>
          <w:color w:val="auto"/>
        </w:rPr>
        <w:t xml:space="preserve"> </w:t>
      </w:r>
      <w:r>
        <w:rPr>
          <w:rFonts w:ascii="Arial" w:cs="Arial" w:eastAsia="Arial" w:hAnsi="Arial"/>
          <w:sz w:val="20"/>
          <w:szCs w:val="20"/>
          <w:color w:val="auto"/>
        </w:rPr>
        <w:t>Notes that is a corporation organized or existing under the laws of the United States, any state of the United States or the District of Columbia;</w:t>
      </w:r>
    </w:p>
    <w:p>
      <w:pPr>
        <w:spacing w:after="0" w:line="156" w:lineRule="exact"/>
        <w:rPr>
          <w:rFonts w:ascii="Arial" w:cs="Arial" w:eastAsia="Arial" w:hAnsi="Arial"/>
          <w:sz w:val="20"/>
          <w:szCs w:val="20"/>
          <w:color w:val="auto"/>
        </w:rPr>
      </w:pPr>
    </w:p>
    <w:p>
      <w:pPr>
        <w:jc w:val="both"/>
        <w:ind w:left="660" w:firstLine="1292"/>
        <w:spacing w:after="0" w:line="234" w:lineRule="auto"/>
        <w:tabs>
          <w:tab w:leader="none" w:pos="242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169" w:lineRule="exact"/>
        <w:rPr>
          <w:rFonts w:ascii="Arial" w:cs="Arial" w:eastAsia="Arial" w:hAnsi="Arial"/>
          <w:sz w:val="20"/>
          <w:szCs w:val="20"/>
          <w:color w:val="auto"/>
        </w:rPr>
      </w:pPr>
    </w:p>
    <w:p>
      <w:pPr>
        <w:ind w:left="2380" w:hanging="428"/>
        <w:spacing w:after="0"/>
        <w:tabs>
          <w:tab w:leader="none" w:pos="238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immediately after such transaction, no Default or Event of Default exists;</w:t>
      </w:r>
    </w:p>
    <w:p>
      <w:pPr>
        <w:spacing w:after="0" w:line="188" w:lineRule="exact"/>
        <w:rPr>
          <w:rFonts w:ascii="Arial" w:cs="Arial" w:eastAsia="Arial" w:hAnsi="Arial"/>
          <w:sz w:val="20"/>
          <w:szCs w:val="20"/>
          <w:color w:val="auto"/>
        </w:rPr>
      </w:pPr>
    </w:p>
    <w:p>
      <w:pPr>
        <w:ind w:left="660" w:firstLine="1292"/>
        <w:spacing w:after="0" w:line="246" w:lineRule="auto"/>
        <w:tabs>
          <w:tab w:leader="none" w:pos="2387" w:val="left"/>
        </w:tabs>
        <w:numPr>
          <w:ilvl w:val="1"/>
          <w:numId w:val="123"/>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and any related financing transaction on a pro forma basis as if the same had occurred at the beginning of the applicable four-quarter period, either</w:t>
      </w:r>
    </w:p>
    <w:p>
      <w:pPr>
        <w:spacing w:after="0" w:line="149" w:lineRule="exact"/>
        <w:rPr>
          <w:rFonts w:ascii="Arial" w:cs="Arial" w:eastAsia="Arial" w:hAnsi="Arial"/>
          <w:sz w:val="20"/>
          <w:szCs w:val="20"/>
          <w:color w:val="auto"/>
        </w:rPr>
      </w:pPr>
    </w:p>
    <w:p>
      <w:pPr>
        <w:jc w:val="both"/>
        <w:ind w:left="1300" w:firstLine="1300"/>
        <w:spacing w:after="0" w:line="234" w:lineRule="auto"/>
        <w:tabs>
          <w:tab w:leader="none" w:pos="3138" w:val="left"/>
        </w:tabs>
        <w:numPr>
          <w:ilvl w:val="2"/>
          <w:numId w:val="123"/>
        </w:numPr>
        <w:rPr>
          <w:rFonts w:ascii="Arial" w:cs="Arial" w:eastAsia="Arial" w:hAnsi="Arial"/>
          <w:sz w:val="20"/>
          <w:szCs w:val="20"/>
          <w:color w:val="auto"/>
        </w:rPr>
      </w:pPr>
      <w:r>
        <w:rPr>
          <w:rFonts w:ascii="Arial" w:cs="Arial" w:eastAsia="Arial" w:hAnsi="Arial"/>
          <w:sz w:val="20"/>
          <w:szCs w:val="20"/>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169" w:lineRule="exact"/>
        <w:rPr>
          <w:rFonts w:ascii="Arial" w:cs="Arial" w:eastAsia="Arial" w:hAnsi="Arial"/>
          <w:sz w:val="20"/>
          <w:szCs w:val="20"/>
          <w:color w:val="auto"/>
        </w:rPr>
      </w:pPr>
    </w:p>
    <w:p>
      <w:pPr>
        <w:jc w:val="both"/>
        <w:ind w:left="1300" w:firstLine="1300"/>
        <w:spacing w:after="0" w:line="234" w:lineRule="auto"/>
        <w:tabs>
          <w:tab w:leader="none" w:pos="3214" w:val="left"/>
        </w:tabs>
        <w:numPr>
          <w:ilvl w:val="2"/>
          <w:numId w:val="123"/>
        </w:numPr>
        <w:rPr>
          <w:rFonts w:ascii="Arial" w:cs="Arial" w:eastAsia="Arial" w:hAnsi="Arial"/>
          <w:sz w:val="20"/>
          <w:szCs w:val="20"/>
          <w:color w:val="auto"/>
        </w:rPr>
      </w:pPr>
      <w:r>
        <w:rPr>
          <w:rFonts w:ascii="Arial" w:cs="Arial" w:eastAsia="Arial" w:hAnsi="Arial"/>
          <w:sz w:val="20"/>
          <w:szCs w:val="20"/>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169" w:lineRule="exact"/>
        <w:rPr>
          <w:rFonts w:ascii="Arial" w:cs="Arial" w:eastAsia="Arial" w:hAnsi="Arial"/>
          <w:sz w:val="20"/>
          <w:szCs w:val="20"/>
          <w:color w:val="auto"/>
        </w:rPr>
      </w:pPr>
    </w:p>
    <w:p>
      <w:pPr>
        <w:ind w:left="660" w:firstLine="1292"/>
        <w:spacing w:after="0" w:line="272" w:lineRule="auto"/>
        <w:tabs>
          <w:tab w:leader="none" w:pos="2385"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Issuer has delivered to the Trustee an Officers’ Certificate and an Opinion of Counsel, each stating that such consolidation, merger or disposition and such supplemental indenture, if any, comply with this Indenture.</w:t>
      </w:r>
    </w:p>
    <w:p>
      <w:pPr>
        <w:spacing w:after="0" w:line="125" w:lineRule="exact"/>
        <w:rPr>
          <w:rFonts w:ascii="Arial" w:cs="Arial" w:eastAsia="Arial" w:hAnsi="Arial"/>
          <w:sz w:val="19"/>
          <w:szCs w:val="19"/>
          <w:color w:val="auto"/>
        </w:rPr>
      </w:pPr>
    </w:p>
    <w:p>
      <w:pPr>
        <w:jc w:val="both"/>
        <w:ind w:firstLine="1304"/>
        <w:spacing w:after="0" w:line="237" w:lineRule="auto"/>
        <w:tabs>
          <w:tab w:leader="none" w:pos="17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any Guarantor; and the Issuer, in the case of (i) or (ii), will not be required to comply with Sections 5.01(a)(3), 5.01(a)(4) or 5.01(a)(5) in connection with any such consolidation, merger or disposition.</w:t>
      </w:r>
    </w:p>
    <w:p>
      <w:pPr>
        <w:spacing w:after="0" w:line="150" w:lineRule="exact"/>
        <w:rPr>
          <w:sz w:val="20"/>
          <w:szCs w:val="20"/>
          <w:color w:val="auto"/>
        </w:rPr>
      </w:pPr>
    </w:p>
    <w:p>
      <w:pPr>
        <w:jc w:val="right"/>
        <w:spacing w:after="0"/>
        <w:tabs>
          <w:tab w:leader="none" w:pos="95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Notwithstanding Section 5.01(a), the Issuer may reorganize as any other form of entity in accordance with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procedures:</w:t>
      </w:r>
    </w:p>
    <w:p>
      <w:pPr>
        <w:spacing w:after="0" w:line="173" w:lineRule="exact"/>
        <w:rPr>
          <w:sz w:val="20"/>
          <w:szCs w:val="20"/>
          <w:color w:val="auto"/>
        </w:rPr>
      </w:pPr>
    </w:p>
    <w:p>
      <w:pPr>
        <w:ind w:left="660" w:right="20" w:firstLine="1292"/>
        <w:spacing w:after="0" w:line="246" w:lineRule="auto"/>
        <w:tabs>
          <w:tab w:leader="none" w:pos="239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reorganization involves the conversion (by merger, sale, contribution or exchange of assets or otherwise) of the Issuer into a form of entity other than a corporation formed under Delaware law;</w:t>
      </w:r>
    </w:p>
    <w:p>
      <w:pPr>
        <w:spacing w:after="0" w:line="163" w:lineRule="exact"/>
        <w:rPr>
          <w:rFonts w:ascii="Arial" w:cs="Arial" w:eastAsia="Arial" w:hAnsi="Arial"/>
          <w:sz w:val="20"/>
          <w:szCs w:val="20"/>
          <w:color w:val="auto"/>
        </w:rPr>
      </w:pPr>
    </w:p>
    <w:p>
      <w:pPr>
        <w:ind w:left="660" w:firstLine="1292"/>
        <w:spacing w:after="0" w:line="246" w:lineRule="auto"/>
        <w:tabs>
          <w:tab w:leader="none" w:pos="2419"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entity so formed by or resulting from such reorganization is an entity organized or existing under the laws of the United States, any state thereof or the District of Columbia;</w:t>
      </w:r>
    </w:p>
    <w:p>
      <w:pPr>
        <w:spacing w:after="0" w:line="149" w:lineRule="exact"/>
        <w:rPr>
          <w:rFonts w:ascii="Arial" w:cs="Arial" w:eastAsia="Arial" w:hAnsi="Arial"/>
          <w:sz w:val="20"/>
          <w:szCs w:val="20"/>
          <w:color w:val="auto"/>
        </w:rPr>
      </w:pPr>
    </w:p>
    <w:p>
      <w:pPr>
        <w:ind w:left="660" w:right="20" w:firstLine="1292"/>
        <w:spacing w:after="0" w:line="368" w:lineRule="auto"/>
        <w:tabs>
          <w:tab w:leader="none" w:pos="238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70" w:lineRule="exact"/>
        <w:rPr>
          <w:rFonts w:ascii="Arial" w:cs="Arial" w:eastAsia="Arial" w:hAnsi="Arial"/>
          <w:sz w:val="16"/>
          <w:szCs w:val="16"/>
          <w:color w:val="auto"/>
        </w:rPr>
      </w:pPr>
    </w:p>
    <w:p>
      <w:pPr>
        <w:ind w:left="2380" w:hanging="428"/>
        <w:spacing w:after="0"/>
        <w:tabs>
          <w:tab w:leader="none" w:pos="238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immediately after such reorganization no Default or Event of Default exists; and</w:t>
      </w:r>
    </w:p>
    <w:p>
      <w:pPr>
        <w:spacing w:after="0" w:line="188" w:lineRule="exact"/>
        <w:rPr>
          <w:rFonts w:ascii="Arial" w:cs="Arial" w:eastAsia="Arial" w:hAnsi="Arial"/>
          <w:sz w:val="20"/>
          <w:szCs w:val="20"/>
          <w:color w:val="auto"/>
        </w:rPr>
      </w:pPr>
    </w:p>
    <w:p>
      <w:pPr>
        <w:jc w:val="both"/>
        <w:ind w:left="660" w:firstLine="1292"/>
        <w:spacing w:after="0" w:line="232" w:lineRule="auto"/>
        <w:tabs>
          <w:tab w:leader="none" w:pos="239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57" w:lineRule="exact"/>
        <w:rPr>
          <w:rFonts w:ascii="Arial" w:cs="Arial" w:eastAsia="Arial" w:hAnsi="Arial"/>
          <w:sz w:val="20"/>
          <w:szCs w:val="20"/>
          <w:color w:val="auto"/>
        </w:rPr>
      </w:pPr>
    </w:p>
    <w:p>
      <w:pPr>
        <w:jc w:val="both"/>
        <w:ind w:firstLine="1304"/>
        <w:spacing w:after="0" w:line="237" w:lineRule="auto"/>
        <w:tabs>
          <w:tab w:leader="none" w:pos="173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169" w:lineRule="exact"/>
        <w:rPr>
          <w:rFonts w:ascii="Arial" w:cs="Arial" w:eastAsia="Arial" w:hAnsi="Arial"/>
          <w:sz w:val="20"/>
          <w:szCs w:val="20"/>
          <w:color w:val="auto"/>
        </w:rPr>
      </w:pPr>
    </w:p>
    <w:p>
      <w:pPr>
        <w:ind w:left="2460" w:hanging="508"/>
        <w:spacing w:after="0"/>
        <w:tabs>
          <w:tab w:leader="none" w:pos="24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no Default or Event of Default</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exists</w:t>
      </w:r>
    </w:p>
    <w:p>
      <w:pPr>
        <w:spacing w:after="0" w:line="172" w:lineRule="exact"/>
        <w:rPr>
          <w:rFonts w:ascii="Arial" w:cs="Arial" w:eastAsia="Arial" w:hAnsi="Arial"/>
          <w:sz w:val="18"/>
          <w:szCs w:val="18"/>
          <w:color w:val="auto"/>
        </w:rPr>
      </w:pPr>
    </w:p>
    <w:p>
      <w:pPr>
        <w:ind w:left="2380" w:hanging="428"/>
        <w:spacing w:after="0"/>
        <w:tabs>
          <w:tab w:leader="none" w:pos="238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either:</w:t>
      </w:r>
    </w:p>
    <w:p>
      <w:pPr>
        <w:spacing w:after="0" w:line="175" w:lineRule="exact"/>
        <w:rPr>
          <w:rFonts w:ascii="Arial" w:cs="Arial" w:eastAsia="Arial" w:hAnsi="Arial"/>
          <w:sz w:val="20"/>
          <w:szCs w:val="20"/>
          <w:color w:val="auto"/>
        </w:rPr>
      </w:pPr>
    </w:p>
    <w:p>
      <w:pPr>
        <w:jc w:val="both"/>
        <w:ind w:left="1300" w:firstLine="1300"/>
        <w:spacing w:after="0" w:line="234" w:lineRule="auto"/>
        <w:tabs>
          <w:tab w:leader="none" w:pos="3081"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Person acquiring the properties or assets in any such sale or other disposition or the Person formed by or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169" w:lineRule="exact"/>
        <w:rPr>
          <w:rFonts w:ascii="Arial" w:cs="Arial" w:eastAsia="Arial" w:hAnsi="Arial"/>
          <w:sz w:val="20"/>
          <w:szCs w:val="20"/>
          <w:color w:val="auto"/>
        </w:rPr>
      </w:pPr>
    </w:p>
    <w:p>
      <w:pPr>
        <w:ind w:left="3060" w:hanging="460"/>
        <w:spacing w:after="0"/>
        <w:tabs>
          <w:tab w:leader="none" w:pos="3060" w:val="left"/>
        </w:tabs>
        <w:numPr>
          <w:ilvl w:val="2"/>
          <w:numId w:val="125"/>
        </w:numPr>
        <w:rPr>
          <w:rFonts w:ascii="Arial" w:cs="Arial" w:eastAsia="Arial" w:hAnsi="Arial"/>
          <w:sz w:val="20"/>
          <w:szCs w:val="20"/>
          <w:color w:val="auto"/>
        </w:rPr>
      </w:pPr>
      <w:r>
        <w:rPr>
          <w:rFonts w:ascii="Arial" w:cs="Arial" w:eastAsia="Arial" w:hAnsi="Arial"/>
          <w:sz w:val="20"/>
          <w:szCs w:val="20"/>
          <w:color w:val="auto"/>
        </w:rPr>
        <w:t>such transaction or series of transactions does not violate Section 4.10; and</w:t>
      </w:r>
    </w:p>
    <w:p>
      <w:pPr>
        <w:spacing w:after="0" w:line="188" w:lineRule="exact"/>
        <w:rPr>
          <w:rFonts w:ascii="Arial" w:cs="Arial" w:eastAsia="Arial" w:hAnsi="Arial"/>
          <w:sz w:val="20"/>
          <w:szCs w:val="20"/>
          <w:color w:val="auto"/>
        </w:rPr>
      </w:pPr>
    </w:p>
    <w:p>
      <w:pPr>
        <w:ind w:left="660" w:firstLine="1292"/>
        <w:spacing w:after="0" w:line="272" w:lineRule="auto"/>
        <w:tabs>
          <w:tab w:leader="none" w:pos="238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Issuer has delivered to the Trustee an Officers’ Certificate and an Opinion of Counsel, each stating that such consolidation, merger or disposition and such supplemental indenture, if any, comply with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32" w:lineRule="exact"/>
        <w:rPr>
          <w:sz w:val="20"/>
          <w:szCs w:val="20"/>
          <w:color w:val="auto"/>
        </w:rPr>
      </w:pPr>
    </w:p>
    <w:p>
      <w:pPr>
        <w:jc w:val="both"/>
        <w:ind w:firstLine="1304"/>
        <w:spacing w:after="0" w:line="234" w:lineRule="auto"/>
        <w:tabs>
          <w:tab w:leader="none" w:pos="17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69" w:lineRule="exact"/>
        <w:rPr>
          <w:rFonts w:ascii="Arial" w:cs="Arial" w:eastAsia="Arial" w:hAnsi="Arial"/>
          <w:sz w:val="20"/>
          <w:szCs w:val="20"/>
          <w:color w:val="auto"/>
        </w:rPr>
      </w:pPr>
    </w:p>
    <w:p>
      <w:pPr>
        <w:jc w:val="both"/>
        <w:ind w:firstLine="1304"/>
        <w:spacing w:after="0" w:line="243" w:lineRule="auto"/>
        <w:tabs>
          <w:tab w:leader="none" w:pos="168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6"/>
          <w:szCs w:val="16"/>
          <w:i w:val="1"/>
          <w:iCs w:val="1"/>
          <w:color w:val="auto"/>
        </w:rPr>
        <w:t>Successor Issuer Substituted.</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Issuer shall not be relieved from the obligation to pay the principal of, or premium or interest, if any, on, the Notes in the case of a lease of all or substantially all of the Issuer’s properties or assets in a transaction that is subject to, and that complies with the provisions of, Section 5.01.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6</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DEFAULTS AND REMEDIES</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is an “</w:t>
      </w:r>
      <w:r>
        <w:rPr>
          <w:rFonts w:ascii="Arial" w:cs="Arial" w:eastAsia="Arial" w:hAnsi="Arial"/>
          <w:sz w:val="20"/>
          <w:szCs w:val="20"/>
          <w:i w:val="1"/>
          <w:iCs w:val="1"/>
          <w:color w:val="auto"/>
        </w:rPr>
        <w:t>Event of Default</w:t>
      </w:r>
      <w:r>
        <w:rPr>
          <w:rFonts w:ascii="Arial" w:cs="Arial" w:eastAsia="Arial" w:hAnsi="Arial"/>
          <w:sz w:val="20"/>
          <w:szCs w:val="20"/>
          <w:color w:val="auto"/>
        </w:rPr>
        <w:t>”:</w:t>
      </w:r>
    </w:p>
    <w:p>
      <w:pPr>
        <w:spacing w:after="0" w:line="189" w:lineRule="exact"/>
        <w:rPr>
          <w:sz w:val="20"/>
          <w:szCs w:val="20"/>
          <w:color w:val="auto"/>
        </w:rPr>
      </w:pPr>
    </w:p>
    <w:p>
      <w:pPr>
        <w:ind w:left="1720" w:hanging="416"/>
        <w:spacing w:after="0"/>
        <w:tabs>
          <w:tab w:leader="none" w:pos="1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default for 30 days in the payment when due of interest on the Notes;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82" w:lineRule="exact"/>
        <w:rPr>
          <w:sz w:val="20"/>
          <w:szCs w:val="20"/>
          <w:color w:val="auto"/>
        </w:rPr>
      </w:pPr>
    </w:p>
    <w:p>
      <w:pPr>
        <w:ind w:left="1760" w:hanging="456"/>
        <w:spacing w:after="0"/>
        <w:tabs>
          <w:tab w:leader="none" w:pos="17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default in the payment when due (at Stated Maturity, upon redemption or otherwise) of the principal of, or premium, if</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on, the Notes;</w:t>
      </w:r>
    </w:p>
    <w:p>
      <w:pPr>
        <w:spacing w:after="0" w:line="159" w:lineRule="exact"/>
        <w:rPr>
          <w:rFonts w:ascii="Arial" w:cs="Arial" w:eastAsia="Arial" w:hAnsi="Arial"/>
          <w:sz w:val="18"/>
          <w:szCs w:val="18"/>
          <w:color w:val="auto"/>
        </w:rPr>
      </w:pPr>
    </w:p>
    <w:p>
      <w:pPr>
        <w:ind w:left="1740" w:hanging="436"/>
        <w:spacing w:after="0"/>
        <w:tabs>
          <w:tab w:leader="none" w:pos="1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failure by the Issuer for 30 days after written notice has been given, by certified mail, (1) to the Issuer by the Trustee or</w:t>
      </w:r>
    </w:p>
    <w:p>
      <w:pPr>
        <w:spacing w:after="0" w:line="25" w:lineRule="exact"/>
        <w:rPr>
          <w:rFonts w:ascii="Arial" w:cs="Arial" w:eastAsia="Arial" w:hAnsi="Arial"/>
          <w:sz w:val="18"/>
          <w:szCs w:val="18"/>
          <w:color w:val="auto"/>
        </w:rPr>
      </w:pPr>
    </w:p>
    <w:p>
      <w:pPr>
        <w:ind w:firstLine="8"/>
        <w:spacing w:after="0" w:line="234" w:lineRule="auto"/>
        <w:tabs>
          <w:tab w:leader="none" w:pos="28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to the Issuer and the Trustee by the Holders of at least 25% in aggregate principal amount of the Notes then outstanding to comply with its obligations to offer to repurchase or repurchase the Notes described under Section 3.09, 4.10 or 4.15;</w:t>
      </w:r>
    </w:p>
    <w:p>
      <w:pPr>
        <w:spacing w:after="0" w:line="170" w:lineRule="exact"/>
        <w:rPr>
          <w:rFonts w:ascii="Arial" w:cs="Arial" w:eastAsia="Arial" w:hAnsi="Arial"/>
          <w:sz w:val="20"/>
          <w:szCs w:val="20"/>
          <w:color w:val="auto"/>
        </w:rPr>
      </w:pPr>
    </w:p>
    <w:p>
      <w:pPr>
        <w:ind w:left="1740" w:hanging="436"/>
        <w:spacing w:after="0"/>
        <w:tabs>
          <w:tab w:leader="none" w:pos="174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failure by the Issuer to comply with Section 5.01;</w:t>
      </w:r>
    </w:p>
    <w:p>
      <w:pPr>
        <w:spacing w:after="0" w:line="188" w:lineRule="exact"/>
        <w:rPr>
          <w:rFonts w:ascii="Arial" w:cs="Arial" w:eastAsia="Arial" w:hAnsi="Arial"/>
          <w:sz w:val="20"/>
          <w:szCs w:val="20"/>
          <w:color w:val="auto"/>
        </w:rPr>
      </w:pPr>
    </w:p>
    <w:p>
      <w:pPr>
        <w:jc w:val="both"/>
        <w:ind w:firstLine="1304"/>
        <w:spacing w:after="0" w:line="237" w:lineRule="auto"/>
        <w:tabs>
          <w:tab w:leader="none" w:pos="1743" w:val="left"/>
        </w:tabs>
        <w:numPr>
          <w:ilvl w:val="1"/>
          <w:numId w:val="129"/>
        </w:numPr>
        <w:rPr>
          <w:rFonts w:ascii="Arial" w:cs="Arial" w:eastAsia="Arial" w:hAnsi="Arial"/>
          <w:sz w:val="20"/>
          <w:szCs w:val="20"/>
          <w:color w:val="auto"/>
        </w:rPr>
      </w:pPr>
      <w:r>
        <w:rPr>
          <w:rFonts w:ascii="Arial" w:cs="Arial" w:eastAsia="Arial" w:hAnsi="Arial"/>
          <w:sz w:val="20"/>
          <w:szCs w:val="20"/>
          <w:color w:val="auto"/>
        </w:rPr>
        <w:t>failure by the Issuer for 180 days after written notice has been given, by certified mail, (1) to the Issuer by the Trustee or (2) to the Issuer and the Trustee by the Holders of at least 25% in aggregate principal amount of the Notes then outstanding to comply with Section 4.03;</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failure by the Issuer for 60 days after written notice has been given, by certified mail, (1) to the Issuer by the Trustee or</w:t>
      </w:r>
    </w:p>
    <w:p>
      <w:pPr>
        <w:spacing w:after="0" w:line="25" w:lineRule="exact"/>
        <w:rPr>
          <w:rFonts w:ascii="Arial" w:cs="Arial" w:eastAsia="Arial" w:hAnsi="Arial"/>
          <w:sz w:val="18"/>
          <w:szCs w:val="18"/>
          <w:color w:val="auto"/>
        </w:rPr>
      </w:pPr>
    </w:p>
    <w:p>
      <w:pPr>
        <w:ind w:firstLine="8"/>
        <w:spacing w:after="0" w:line="234" w:lineRule="auto"/>
        <w:tabs>
          <w:tab w:leader="none" w:pos="28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to the Issuer and the Trustee by the Holders of at least 25% in aggregate principal amount of the Notes then outstanding to comply with any of the other agreements in this Indenture;</w:t>
      </w:r>
    </w:p>
    <w:p>
      <w:pPr>
        <w:spacing w:after="0" w:line="170" w:lineRule="exact"/>
        <w:rPr>
          <w:rFonts w:ascii="Arial" w:cs="Arial" w:eastAsia="Arial" w:hAnsi="Arial"/>
          <w:sz w:val="20"/>
          <w:szCs w:val="20"/>
          <w:color w:val="auto"/>
        </w:rPr>
      </w:pPr>
    </w:p>
    <w:p>
      <w:pPr>
        <w:jc w:val="both"/>
        <w:ind w:firstLine="1304"/>
        <w:spacing w:after="0" w:line="234" w:lineRule="auto"/>
        <w:tabs>
          <w:tab w:leader="none" w:pos="1847" w:val="left"/>
        </w:tabs>
        <w:numPr>
          <w:ilvl w:val="1"/>
          <w:numId w:val="130"/>
        </w:numPr>
        <w:rPr>
          <w:rFonts w:ascii="Arial" w:cs="Arial" w:eastAsia="Arial" w:hAnsi="Arial"/>
          <w:sz w:val="20"/>
          <w:szCs w:val="20"/>
          <w:color w:val="auto"/>
        </w:rPr>
      </w:pPr>
      <w:r>
        <w:rPr>
          <w:rFonts w:ascii="Arial" w:cs="Arial" w:eastAsia="Arial" w:hAnsi="Arial"/>
          <w:sz w:val="20"/>
          <w:szCs w:val="20"/>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169" w:lineRule="exact"/>
        <w:rPr>
          <w:rFonts w:ascii="Arial" w:cs="Arial" w:eastAsia="Arial" w:hAnsi="Arial"/>
          <w:sz w:val="20"/>
          <w:szCs w:val="20"/>
          <w:color w:val="auto"/>
        </w:rPr>
      </w:pPr>
    </w:p>
    <w:p>
      <w:pPr>
        <w:ind w:left="660" w:right="20" w:firstLine="1292"/>
        <w:spacing w:after="0" w:line="272" w:lineRule="auto"/>
        <w:tabs>
          <w:tab w:leader="none" w:pos="2466" w:val="left"/>
        </w:tabs>
        <w:numPr>
          <w:ilvl w:val="2"/>
          <w:numId w:val="130"/>
        </w:numPr>
        <w:rPr>
          <w:rFonts w:ascii="Arial" w:cs="Arial" w:eastAsia="Arial" w:hAnsi="Arial"/>
          <w:sz w:val="19"/>
          <w:szCs w:val="19"/>
          <w:color w:val="auto"/>
        </w:rPr>
      </w:pPr>
      <w:r>
        <w:rPr>
          <w:rFonts w:ascii="Arial" w:cs="Arial" w:eastAsia="Arial" w:hAnsi="Arial"/>
          <w:sz w:val="19"/>
          <w:szCs w:val="19"/>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9"/>
          <w:szCs w:val="19"/>
          <w:i w:val="1"/>
          <w:iCs w:val="1"/>
          <w:color w:val="auto"/>
        </w:rPr>
        <w:t>Payment Default</w:t>
      </w:r>
      <w:r>
        <w:rPr>
          <w:rFonts w:ascii="Arial" w:cs="Arial" w:eastAsia="Arial" w:hAnsi="Arial"/>
          <w:sz w:val="19"/>
          <w:szCs w:val="19"/>
          <w:color w:val="auto"/>
        </w:rPr>
        <w:t>”); or</w:t>
      </w:r>
    </w:p>
    <w:p>
      <w:pPr>
        <w:spacing w:after="0" w:line="125" w:lineRule="exact"/>
        <w:rPr>
          <w:rFonts w:ascii="Arial" w:cs="Arial" w:eastAsia="Arial" w:hAnsi="Arial"/>
          <w:sz w:val="19"/>
          <w:szCs w:val="19"/>
          <w:color w:val="auto"/>
        </w:rPr>
      </w:pPr>
    </w:p>
    <w:p>
      <w:pPr>
        <w:ind w:left="2380" w:hanging="428"/>
        <w:spacing w:after="0"/>
        <w:tabs>
          <w:tab w:leader="none" w:pos="2380" w:val="left"/>
        </w:tabs>
        <w:numPr>
          <w:ilvl w:val="2"/>
          <w:numId w:val="130"/>
        </w:numPr>
        <w:rPr>
          <w:rFonts w:ascii="Arial" w:cs="Arial" w:eastAsia="Arial" w:hAnsi="Arial"/>
          <w:sz w:val="20"/>
          <w:szCs w:val="20"/>
          <w:color w:val="auto"/>
        </w:rPr>
      </w:pPr>
      <w:r>
        <w:rPr>
          <w:rFonts w:ascii="Arial" w:cs="Arial" w:eastAsia="Arial" w:hAnsi="Arial"/>
          <w:sz w:val="20"/>
          <w:szCs w:val="20"/>
          <w:color w:val="auto"/>
        </w:rPr>
        <w:t>results in the acceleration of such Indebtedness prior to its express maturity,</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and, in each case, the principal amount of any such Indebtedness, together with the principal amount of any other such Indebtedness under which there has been a Payment Default or the maturity of which has been so accelerated, aggregates $50.0 million and, within 20 Business Days of such Payment Default or acceleration, such Indebtedness has not been discharged or such Payment Default has not been cured or such acceleration has not been rescinded or annulled;</w:t>
      </w:r>
    </w:p>
    <w:p>
      <w:pPr>
        <w:spacing w:after="0" w:line="170" w:lineRule="exact"/>
        <w:rPr>
          <w:sz w:val="20"/>
          <w:szCs w:val="20"/>
          <w:color w:val="auto"/>
        </w:rPr>
      </w:pPr>
    </w:p>
    <w:p>
      <w:pPr>
        <w:jc w:val="both"/>
        <w:ind w:firstLine="1304"/>
        <w:spacing w:after="0" w:line="275" w:lineRule="auto"/>
        <w:tabs>
          <w:tab w:leader="none" w:pos="18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failure by the Issuer or any of its Restricted Subsidiaries to pay final judgments entered by a court or courts of competent jurisdiction aggregating in excess of $50.0 million (to the extent not covered by insurance by a reputable and creditworthy insurer as to which the insurer has not disclaimed coverage), which judgments are not paid, discharged or stayed, for a period of 60 days;</w:t>
      </w:r>
    </w:p>
    <w:p>
      <w:pPr>
        <w:spacing w:after="0" w:line="125" w:lineRule="exact"/>
        <w:rPr>
          <w:rFonts w:ascii="Arial" w:cs="Arial" w:eastAsia="Arial" w:hAnsi="Arial"/>
          <w:sz w:val="18"/>
          <w:szCs w:val="18"/>
          <w:color w:val="auto"/>
        </w:rPr>
      </w:pPr>
    </w:p>
    <w:p>
      <w:pPr>
        <w:jc w:val="both"/>
        <w:ind w:firstLine="1304"/>
        <w:spacing w:after="0" w:line="237" w:lineRule="auto"/>
        <w:tabs>
          <w:tab w:leader="none" w:pos="178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169" w:lineRule="exact"/>
        <w:rPr>
          <w:rFonts w:ascii="Arial" w:cs="Arial" w:eastAsia="Arial" w:hAnsi="Arial"/>
          <w:sz w:val="20"/>
          <w:szCs w:val="20"/>
          <w:color w:val="auto"/>
        </w:rPr>
      </w:pPr>
    </w:p>
    <w:p>
      <w:pPr>
        <w:ind w:left="2380" w:hanging="428"/>
        <w:spacing w:after="0"/>
        <w:tabs>
          <w:tab w:leader="none" w:pos="23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commences a voluntary case,</w:t>
      </w:r>
    </w:p>
    <w:p>
      <w:pPr>
        <w:spacing w:after="0" w:line="188" w:lineRule="exact"/>
        <w:rPr>
          <w:rFonts w:ascii="Arial" w:cs="Arial" w:eastAsia="Arial" w:hAnsi="Arial"/>
          <w:sz w:val="20"/>
          <w:szCs w:val="20"/>
          <w:color w:val="auto"/>
        </w:rPr>
      </w:pPr>
    </w:p>
    <w:p>
      <w:pPr>
        <w:ind w:left="2380" w:hanging="428"/>
        <w:spacing w:after="0"/>
        <w:tabs>
          <w:tab w:leader="none" w:pos="23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consents to the entry of an order for relief against it in an involuntary case,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2" w:lineRule="exact"/>
        <w:rPr>
          <w:sz w:val="20"/>
          <w:szCs w:val="20"/>
          <w:color w:val="auto"/>
        </w:rPr>
      </w:pPr>
    </w:p>
    <w:p>
      <w:pPr>
        <w:ind w:left="2380" w:hanging="428"/>
        <w:spacing w:after="0"/>
        <w:tabs>
          <w:tab w:leader="none" w:pos="23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consents to the appointment of a custodian of it or for all or substantially all of its property,</w:t>
      </w:r>
    </w:p>
    <w:p>
      <w:pPr>
        <w:spacing w:after="0" w:line="175" w:lineRule="exact"/>
        <w:rPr>
          <w:rFonts w:ascii="Arial" w:cs="Arial" w:eastAsia="Arial" w:hAnsi="Arial"/>
          <w:sz w:val="20"/>
          <w:szCs w:val="20"/>
          <w:color w:val="auto"/>
        </w:rPr>
      </w:pPr>
    </w:p>
    <w:p>
      <w:pPr>
        <w:ind w:left="2380" w:hanging="428"/>
        <w:spacing w:after="0"/>
        <w:tabs>
          <w:tab w:leader="none" w:pos="23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 or</w:t>
      </w:r>
    </w:p>
    <w:p>
      <w:pPr>
        <w:spacing w:after="0" w:line="188" w:lineRule="exact"/>
        <w:rPr>
          <w:rFonts w:ascii="Arial" w:cs="Arial" w:eastAsia="Arial" w:hAnsi="Arial"/>
          <w:sz w:val="20"/>
          <w:szCs w:val="20"/>
          <w:color w:val="auto"/>
        </w:rPr>
      </w:pPr>
    </w:p>
    <w:p>
      <w:pPr>
        <w:ind w:left="2380" w:hanging="428"/>
        <w:spacing w:after="0"/>
        <w:tabs>
          <w:tab w:leader="none" w:pos="23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generally is not paying its debts as they become due;</w:t>
      </w:r>
    </w:p>
    <w:p>
      <w:pPr>
        <w:spacing w:after="0" w:line="188" w:lineRule="exact"/>
        <w:rPr>
          <w:rFonts w:ascii="Arial" w:cs="Arial" w:eastAsia="Arial" w:hAnsi="Arial"/>
          <w:sz w:val="20"/>
          <w:szCs w:val="20"/>
          <w:color w:val="auto"/>
        </w:rPr>
      </w:pPr>
    </w:p>
    <w:p>
      <w:pPr>
        <w:ind w:left="1680" w:hanging="376"/>
        <w:spacing w:after="0"/>
        <w:tabs>
          <w:tab w:leader="none" w:pos="16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Bankruptcy Law that:</w:t>
      </w:r>
    </w:p>
    <w:p>
      <w:pPr>
        <w:spacing w:after="0" w:line="175" w:lineRule="exact"/>
        <w:rPr>
          <w:rFonts w:ascii="Arial" w:cs="Arial" w:eastAsia="Arial" w:hAnsi="Arial"/>
          <w:sz w:val="20"/>
          <w:szCs w:val="20"/>
          <w:color w:val="auto"/>
        </w:rPr>
      </w:pPr>
    </w:p>
    <w:p>
      <w:pPr>
        <w:jc w:val="both"/>
        <w:ind w:left="660" w:firstLine="1292"/>
        <w:spacing w:after="0" w:line="237" w:lineRule="auto"/>
        <w:tabs>
          <w:tab w:leader="none" w:pos="243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169" w:lineRule="exact"/>
        <w:rPr>
          <w:rFonts w:ascii="Arial" w:cs="Arial" w:eastAsia="Arial" w:hAnsi="Arial"/>
          <w:sz w:val="20"/>
          <w:szCs w:val="20"/>
          <w:color w:val="auto"/>
        </w:rPr>
      </w:pPr>
    </w:p>
    <w:p>
      <w:pPr>
        <w:jc w:val="both"/>
        <w:ind w:left="660" w:firstLine="1292"/>
        <w:spacing w:after="0" w:line="248" w:lineRule="auto"/>
        <w:tabs>
          <w:tab w:leader="none" w:pos="241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163" w:lineRule="exact"/>
        <w:rPr>
          <w:rFonts w:ascii="Arial" w:cs="Arial" w:eastAsia="Arial" w:hAnsi="Arial"/>
          <w:sz w:val="19"/>
          <w:szCs w:val="19"/>
          <w:color w:val="auto"/>
        </w:rPr>
      </w:pPr>
    </w:p>
    <w:p>
      <w:pPr>
        <w:ind w:left="660" w:firstLine="1292"/>
        <w:spacing w:after="0" w:line="272" w:lineRule="auto"/>
        <w:tabs>
          <w:tab w:leader="none" w:pos="239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orders the liquidation of the Issuer or any of the Issuer’s Restricted Subsidiaries that is a Significant Subsidiary or any group of Restricted Subsidiaries of the Issuer that, taken together, would constitute a Significant Subsidiary;</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 the order or decree remains unstayed and in effect for 60 consecutive days; and</w:t>
      </w:r>
    </w:p>
    <w:p>
      <w:pPr>
        <w:spacing w:after="0" w:line="189" w:lineRule="exact"/>
        <w:rPr>
          <w:sz w:val="20"/>
          <w:szCs w:val="20"/>
          <w:color w:val="auto"/>
        </w:rPr>
      </w:pPr>
    </w:p>
    <w:p>
      <w:pPr>
        <w:jc w:val="both"/>
        <w:ind w:firstLine="1304"/>
        <w:spacing w:after="0" w:line="275" w:lineRule="auto"/>
        <w:tabs>
          <w:tab w:leader="none" w:pos="17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3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i w:val="1"/>
          <w:iCs w:val="1"/>
          <w:color w:val="auto"/>
        </w:rPr>
        <w:t>Acceleration.</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Upon any such declaration, the Notes shall become due and payable immediately.</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i w:val="1"/>
          <w:iCs w:val="1"/>
          <w:color w:val="auto"/>
        </w:rPr>
        <w:t>Other Remedies.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6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8"/>
          <w:szCs w:val="18"/>
          <w:i w:val="1"/>
          <w:iCs w:val="1"/>
          <w:color w:val="auto"/>
        </w:rPr>
        <w:t>Waiver of Past Defaults.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8"/>
          <w:szCs w:val="18"/>
          <w:i w:val="1"/>
          <w:iCs w:val="1"/>
          <w:color w:val="auto"/>
        </w:rPr>
        <w:t>Control by Majority.</w:t>
      </w:r>
    </w:p>
    <w:p>
      <w:pPr>
        <w:spacing w:after="0" w:line="1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(provided that the Trustee shall have no affirmative duty to determine whether any direction is prejudicial to any other Holder).</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8"/>
          <w:szCs w:val="18"/>
          <w:i w:val="1"/>
          <w:iCs w:val="1"/>
          <w:color w:val="auto"/>
        </w:rPr>
        <w:t>Limitation on Suits.</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Except to enforce the right to receive payment of principal, premium, if any, or interest, if any, when due, no holder of a Note may pursue any remedy with respect to this Indenture or the Notes unless:</w:t>
      </w:r>
    </w:p>
    <w:p>
      <w:pPr>
        <w:spacing w:after="0" w:line="163" w:lineRule="exact"/>
        <w:rPr>
          <w:sz w:val="20"/>
          <w:szCs w:val="20"/>
          <w:color w:val="auto"/>
        </w:rPr>
      </w:pPr>
    </w:p>
    <w:p>
      <w:pPr>
        <w:ind w:left="1720" w:hanging="416"/>
        <w:spacing w:after="0"/>
        <w:tabs>
          <w:tab w:leader="none" w:pos="17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such Holder has previously given the Trustee written notice that an Event of Default is continuing;</w:t>
      </w:r>
    </w:p>
    <w:p>
      <w:pPr>
        <w:spacing w:after="0" w:line="175" w:lineRule="exact"/>
        <w:rPr>
          <w:rFonts w:ascii="Arial" w:cs="Arial" w:eastAsia="Arial" w:hAnsi="Arial"/>
          <w:sz w:val="20"/>
          <w:szCs w:val="20"/>
          <w:color w:val="auto"/>
        </w:rPr>
      </w:pPr>
    </w:p>
    <w:p>
      <w:pPr>
        <w:ind w:firstLine="1304"/>
        <w:spacing w:after="0" w:line="246" w:lineRule="auto"/>
        <w:tabs>
          <w:tab w:leader="none" w:pos="181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Holders of at least 25% in aggregate principal amount of the then outstanding Notes make a written request to the Trustee to pursue the remedy;</w:t>
      </w:r>
    </w:p>
    <w:p>
      <w:pPr>
        <w:spacing w:after="0" w:line="163" w:lineRule="exact"/>
        <w:rPr>
          <w:rFonts w:ascii="Arial" w:cs="Arial" w:eastAsia="Arial" w:hAnsi="Arial"/>
          <w:sz w:val="20"/>
          <w:szCs w:val="20"/>
          <w:color w:val="auto"/>
        </w:rPr>
      </w:pPr>
    </w:p>
    <w:p>
      <w:pPr>
        <w:ind w:firstLine="1304"/>
        <w:spacing w:after="0" w:line="246" w:lineRule="auto"/>
        <w:tabs>
          <w:tab w:leader="none" w:pos="175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such Holder or Holders offer and, if requested, provide to the Trustee security or indemnity satisfactory to the Trustee against any loss, liability or expense;</w:t>
      </w:r>
    </w:p>
    <w:p>
      <w:pPr>
        <w:spacing w:after="0" w:line="163" w:lineRule="exact"/>
        <w:rPr>
          <w:rFonts w:ascii="Arial" w:cs="Arial" w:eastAsia="Arial" w:hAnsi="Arial"/>
          <w:sz w:val="20"/>
          <w:szCs w:val="20"/>
          <w:color w:val="auto"/>
        </w:rPr>
      </w:pPr>
    </w:p>
    <w:p>
      <w:pPr>
        <w:ind w:left="1780" w:hanging="476"/>
        <w:spacing w:after="0"/>
        <w:tabs>
          <w:tab w:leader="none" w:pos="1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Trustee does not comply with such request within 60 days after receipt of the request and the offer of security or</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indemnity;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2" w:lineRule="exact"/>
        <w:rPr>
          <w:sz w:val="20"/>
          <w:szCs w:val="20"/>
          <w:color w:val="auto"/>
        </w:rPr>
      </w:pPr>
    </w:p>
    <w:p>
      <w:pPr>
        <w:ind w:firstLine="1304"/>
        <w:spacing w:after="0" w:line="246" w:lineRule="auto"/>
        <w:tabs>
          <w:tab w:leader="none" w:pos="176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during such 60-day period, Holders of a majority in aggregate principal amount of the then outstanding Notes do not give the Trustee a direction inconsistent with such request.</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Holder of a Note may not use this Indenture to prejudice the rights of another Holder of a Note or to obtain a preference or priority over another Holder of a Note.</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1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6.09</w:t>
      </w:r>
      <w:r>
        <w:rPr>
          <w:sz w:val="20"/>
          <w:szCs w:val="20"/>
          <w:color w:val="auto"/>
        </w:rPr>
        <w:tab/>
      </w:r>
      <w:r>
        <w:rPr>
          <w:rFonts w:ascii="Arial" w:cs="Arial" w:eastAsia="Arial" w:hAnsi="Arial"/>
          <w:sz w:val="18"/>
          <w:szCs w:val="18"/>
          <w:i w:val="1"/>
          <w:iCs w:val="1"/>
          <w:color w:val="auto"/>
        </w:rPr>
        <w:t>Trustee May File Proofs of Claim.</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9"/>
          <w:szCs w:val="19"/>
          <w:i w:val="1"/>
          <w:iCs w:val="1"/>
          <w:color w:val="auto"/>
        </w:rPr>
        <w:t>Priorities.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Trustee collects any money pursuant to this Article 6, it shall pay out the money in the following order: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2" w:lineRule="exact"/>
        <w:rPr>
          <w:sz w:val="20"/>
          <w:szCs w:val="20"/>
          <w:color w:val="auto"/>
        </w:rPr>
      </w:pPr>
    </w:p>
    <w:p>
      <w:pPr>
        <w:jc w:val="both"/>
        <w:ind w:left="660" w:right="20" w:firstLine="648"/>
        <w:spacing w:after="0" w:line="300"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this Indenture,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104" w:lineRule="exact"/>
        <w:rPr>
          <w:sz w:val="20"/>
          <w:szCs w:val="20"/>
          <w:color w:val="auto"/>
        </w:rPr>
      </w:pPr>
    </w:p>
    <w:p>
      <w:pPr>
        <w:jc w:val="both"/>
        <w:ind w:left="660" w:firstLine="648"/>
        <w:spacing w:after="0" w:line="237"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Holders of the Notes for amounts due and unpaid on the Notes for principal, premium, if any, and interest, ratably,</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preference or priority of any kind, according to the amounts due and payable on the Notes for principal, premium, if any, and interest, respectively; and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to the Issuer or to such party as a court of competent jurisdiction shall direct.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the Notes pursuant to this Section 6.10.</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8"/>
          <w:szCs w:val="18"/>
          <w:i w:val="1"/>
          <w:iCs w:val="1"/>
          <w:color w:val="auto"/>
        </w:rPr>
        <w:t>Undertaking for Costs.</w:t>
      </w:r>
    </w:p>
    <w:p>
      <w:pPr>
        <w:spacing w:after="0" w:line="18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7</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TRUSTEE</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189" w:lineRule="exact"/>
        <w:rPr>
          <w:sz w:val="20"/>
          <w:szCs w:val="20"/>
          <w:color w:val="auto"/>
        </w:rPr>
      </w:pPr>
    </w:p>
    <w:p>
      <w:pPr>
        <w:jc w:val="both"/>
        <w:ind w:firstLine="1304"/>
        <w:spacing w:after="0" w:line="275" w:lineRule="auto"/>
        <w:tabs>
          <w:tab w:leader="none" w:pos="17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38" w:lineRule="exact"/>
        <w:rPr>
          <w:rFonts w:ascii="Arial" w:cs="Arial" w:eastAsia="Arial" w:hAnsi="Arial"/>
          <w:sz w:val="18"/>
          <w:szCs w:val="18"/>
          <w:color w:val="auto"/>
        </w:rPr>
      </w:pPr>
    </w:p>
    <w:p>
      <w:pPr>
        <w:ind w:left="1740" w:hanging="436"/>
        <w:spacing w:after="0"/>
        <w:tabs>
          <w:tab w:leader="none" w:pos="17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Except during the continuance of an Event of Default:</w:t>
      </w:r>
    </w:p>
    <w:p>
      <w:pPr>
        <w:spacing w:after="0" w:line="175" w:lineRule="exact"/>
        <w:rPr>
          <w:rFonts w:ascii="Arial" w:cs="Arial" w:eastAsia="Arial" w:hAnsi="Arial"/>
          <w:sz w:val="20"/>
          <w:szCs w:val="20"/>
          <w:color w:val="auto"/>
        </w:rPr>
      </w:pPr>
    </w:p>
    <w:p>
      <w:pPr>
        <w:jc w:val="both"/>
        <w:ind w:left="660" w:firstLine="1292"/>
        <w:spacing w:after="0" w:line="237" w:lineRule="auto"/>
        <w:tabs>
          <w:tab w:leader="none" w:pos="2424"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69" w:lineRule="exact"/>
        <w:rPr>
          <w:rFonts w:ascii="Arial" w:cs="Arial" w:eastAsia="Arial" w:hAnsi="Arial"/>
          <w:sz w:val="20"/>
          <w:szCs w:val="20"/>
          <w:color w:val="auto"/>
        </w:rPr>
      </w:pPr>
    </w:p>
    <w:p>
      <w:pPr>
        <w:jc w:val="both"/>
        <w:ind w:left="660" w:firstLine="1292"/>
        <w:spacing w:after="0" w:line="234" w:lineRule="auto"/>
        <w:tabs>
          <w:tab w:leader="none" w:pos="2426" w:val="left"/>
        </w:tabs>
        <w:numPr>
          <w:ilvl w:val="1"/>
          <w:numId w:val="137"/>
        </w:numPr>
        <w:rPr>
          <w:rFonts w:ascii="Arial" w:cs="Arial" w:eastAsia="Arial" w:hAnsi="Arial"/>
          <w:sz w:val="20"/>
          <w:szCs w:val="20"/>
          <w:color w:val="auto"/>
        </w:rPr>
      </w:pPr>
      <w:r>
        <w:rPr>
          <w:rFonts w:ascii="Arial" w:cs="Arial" w:eastAsia="Arial" w:hAnsi="Arial"/>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69" w:lineRule="exact"/>
        <w:rPr>
          <w:rFonts w:ascii="Arial" w:cs="Arial" w:eastAsia="Arial" w:hAnsi="Arial"/>
          <w:sz w:val="20"/>
          <w:szCs w:val="20"/>
          <w:color w:val="auto"/>
        </w:rPr>
      </w:pPr>
    </w:p>
    <w:p>
      <w:pPr>
        <w:ind w:firstLine="1304"/>
        <w:spacing w:after="0" w:line="246" w:lineRule="auto"/>
        <w:tabs>
          <w:tab w:leader="none" w:pos="171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Trustee may not be relieved from liabilities for its own grossly negligent action, its own grossly negligent failure to act, or its own willful misconduct, except that: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2" w:lineRule="exact"/>
        <w:rPr>
          <w:sz w:val="20"/>
          <w:szCs w:val="20"/>
          <w:color w:val="auto"/>
        </w:rPr>
      </w:pPr>
    </w:p>
    <w:p>
      <w:pPr>
        <w:ind w:left="2380" w:hanging="428"/>
        <w:spacing w:after="0"/>
        <w:tabs>
          <w:tab w:leader="none" w:pos="238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this paragraph does not limit the effect of paragraph (b) of this Section 7.01;</w:t>
      </w:r>
    </w:p>
    <w:p>
      <w:pPr>
        <w:spacing w:after="0" w:line="175" w:lineRule="exact"/>
        <w:rPr>
          <w:rFonts w:ascii="Arial" w:cs="Arial" w:eastAsia="Arial" w:hAnsi="Arial"/>
          <w:sz w:val="20"/>
          <w:szCs w:val="20"/>
          <w:color w:val="auto"/>
        </w:rPr>
      </w:pPr>
    </w:p>
    <w:p>
      <w:pPr>
        <w:ind w:left="660" w:right="20" w:firstLine="1292"/>
        <w:spacing w:after="0" w:line="246" w:lineRule="auto"/>
        <w:tabs>
          <w:tab w:leader="none" w:pos="239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the Trustee will not be liable for any error of judgment made in good faith by a Responsible Officer, unless it is proved that the Trustee was grossly negligent in ascertaining the pertinent facts; and</w:t>
      </w:r>
    </w:p>
    <w:p>
      <w:pPr>
        <w:spacing w:after="0" w:line="163" w:lineRule="exact"/>
        <w:rPr>
          <w:rFonts w:ascii="Arial" w:cs="Arial" w:eastAsia="Arial" w:hAnsi="Arial"/>
          <w:sz w:val="20"/>
          <w:szCs w:val="20"/>
          <w:color w:val="auto"/>
        </w:rPr>
      </w:pPr>
    </w:p>
    <w:p>
      <w:pPr>
        <w:ind w:left="660" w:firstLine="1292"/>
        <w:spacing w:after="0" w:line="246" w:lineRule="auto"/>
        <w:tabs>
          <w:tab w:leader="none" w:pos="2385"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the Trustee will not be liable with respect to any action it takes or omits to take in good faith in accordance with a direction received by it pursuant to Section 6.05.</w:t>
      </w:r>
    </w:p>
    <w:p>
      <w:pPr>
        <w:spacing w:after="0" w:line="163" w:lineRule="exact"/>
        <w:rPr>
          <w:rFonts w:ascii="Arial" w:cs="Arial" w:eastAsia="Arial" w:hAnsi="Arial"/>
          <w:sz w:val="20"/>
          <w:szCs w:val="20"/>
          <w:color w:val="auto"/>
        </w:rPr>
      </w:pPr>
    </w:p>
    <w:p>
      <w:pPr>
        <w:ind w:right="20" w:firstLine="1304"/>
        <w:spacing w:after="0" w:line="246" w:lineRule="auto"/>
        <w:tabs>
          <w:tab w:leader="none" w:pos="173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Whether or not therein expressly so provided, every provision of this Indenture that in any way relates to the Trustee is subject to this Section 7.01 and Section 7.02.</w:t>
      </w:r>
    </w:p>
    <w:p>
      <w:pPr>
        <w:spacing w:after="0" w:line="149" w:lineRule="exact"/>
        <w:rPr>
          <w:rFonts w:ascii="Arial" w:cs="Arial" w:eastAsia="Arial" w:hAnsi="Arial"/>
          <w:sz w:val="20"/>
          <w:szCs w:val="20"/>
          <w:color w:val="auto"/>
        </w:rPr>
      </w:pPr>
    </w:p>
    <w:p>
      <w:pPr>
        <w:jc w:val="both"/>
        <w:ind w:firstLine="1304"/>
        <w:spacing w:after="0" w:line="234" w:lineRule="auto"/>
        <w:tabs>
          <w:tab w:leader="none" w:pos="171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69" w:lineRule="exact"/>
        <w:rPr>
          <w:rFonts w:ascii="Arial" w:cs="Arial" w:eastAsia="Arial" w:hAnsi="Arial"/>
          <w:sz w:val="20"/>
          <w:szCs w:val="20"/>
          <w:color w:val="auto"/>
        </w:rPr>
      </w:pPr>
    </w:p>
    <w:p>
      <w:pPr>
        <w:ind w:firstLine="1304"/>
        <w:spacing w:after="0" w:line="272" w:lineRule="auto"/>
        <w:tabs>
          <w:tab w:leader="none" w:pos="171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3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16"/>
          <w:szCs w:val="16"/>
          <w:i w:val="1"/>
          <w:iCs w:val="1"/>
          <w:color w:val="auto"/>
        </w:rPr>
        <w:t>Rights of Trustee.</w:t>
      </w:r>
    </w:p>
    <w:p>
      <w:pPr>
        <w:spacing w:after="0" w:line="175" w:lineRule="exact"/>
        <w:rPr>
          <w:sz w:val="20"/>
          <w:szCs w:val="20"/>
          <w:color w:val="auto"/>
        </w:rPr>
      </w:pPr>
    </w:p>
    <w:p>
      <w:pPr>
        <w:jc w:val="both"/>
        <w:ind w:firstLine="656"/>
        <w:spacing w:after="0" w:line="275" w:lineRule="auto"/>
        <w:tabs>
          <w:tab w:leader="none" w:pos="118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38" w:lineRule="exact"/>
        <w:rPr>
          <w:rFonts w:ascii="Arial" w:cs="Arial" w:eastAsia="Arial" w:hAnsi="Arial"/>
          <w:sz w:val="18"/>
          <w:szCs w:val="18"/>
          <w:color w:val="auto"/>
        </w:rPr>
      </w:pPr>
    </w:p>
    <w:p>
      <w:pPr>
        <w:jc w:val="both"/>
        <w:ind w:firstLine="656"/>
        <w:spacing w:after="0" w:line="267" w:lineRule="auto"/>
        <w:tabs>
          <w:tab w:leader="none" w:pos="11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45" w:lineRule="exact"/>
        <w:rPr>
          <w:rFonts w:ascii="Arial" w:cs="Arial" w:eastAsia="Arial" w:hAnsi="Arial"/>
          <w:sz w:val="18"/>
          <w:szCs w:val="18"/>
          <w:color w:val="auto"/>
        </w:rPr>
      </w:pPr>
    </w:p>
    <w:p>
      <w:pPr>
        <w:ind w:firstLine="656"/>
        <w:spacing w:after="0" w:line="246" w:lineRule="auto"/>
        <w:tabs>
          <w:tab w:leader="none" w:pos="1081"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Trustee may act through its attorneys and agents and will not be responsible for the misconduct or negligence of any agent appointed with due care.</w:t>
      </w:r>
    </w:p>
    <w:p>
      <w:pPr>
        <w:spacing w:after="0" w:line="149" w:lineRule="exact"/>
        <w:rPr>
          <w:rFonts w:ascii="Arial" w:cs="Arial" w:eastAsia="Arial" w:hAnsi="Arial"/>
          <w:sz w:val="20"/>
          <w:szCs w:val="20"/>
          <w:color w:val="auto"/>
        </w:rPr>
      </w:pPr>
    </w:p>
    <w:p>
      <w:pPr>
        <w:ind w:right="20" w:firstLine="656"/>
        <w:spacing w:after="0" w:line="246" w:lineRule="auto"/>
        <w:tabs>
          <w:tab w:leader="none" w:pos="108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Trustee will not be liable for any action it takes or omits to take in good faith that it believes to be authorized or within the rights or powers conferred upon it by this Indenture.</w:t>
      </w:r>
    </w:p>
    <w:p>
      <w:pPr>
        <w:spacing w:after="0" w:line="163" w:lineRule="exact"/>
        <w:rPr>
          <w:rFonts w:ascii="Arial" w:cs="Arial" w:eastAsia="Arial" w:hAnsi="Arial"/>
          <w:sz w:val="20"/>
          <w:szCs w:val="20"/>
          <w:color w:val="auto"/>
        </w:rPr>
      </w:pPr>
    </w:p>
    <w:p>
      <w:pPr>
        <w:ind w:firstLine="656"/>
        <w:spacing w:after="0" w:line="246" w:lineRule="auto"/>
        <w:tabs>
          <w:tab w:leader="none" w:pos="118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Unless otherwise specifically provided in this Indenture, any demand, request, direction or notice from the Issuer will be sufficient if signed by an Officer of the Issuer.</w:t>
      </w:r>
    </w:p>
    <w:p>
      <w:pPr>
        <w:spacing w:after="0" w:line="163" w:lineRule="exact"/>
        <w:rPr>
          <w:rFonts w:ascii="Arial" w:cs="Arial" w:eastAsia="Arial" w:hAnsi="Arial"/>
          <w:sz w:val="20"/>
          <w:szCs w:val="20"/>
          <w:color w:val="auto"/>
        </w:rPr>
      </w:pPr>
    </w:p>
    <w:p>
      <w:pPr>
        <w:jc w:val="both"/>
        <w:ind w:firstLine="656"/>
        <w:spacing w:after="0" w:line="275" w:lineRule="auto"/>
        <w:tabs>
          <w:tab w:leader="none" w:pos="109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2"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104" w:lineRule="exact"/>
        <w:rPr>
          <w:sz w:val="20"/>
          <w:szCs w:val="20"/>
          <w:color w:val="auto"/>
        </w:rPr>
      </w:pPr>
    </w:p>
    <w:p>
      <w:pPr>
        <w:ind w:firstLine="1304"/>
        <w:spacing w:after="0" w:line="246" w:lineRule="auto"/>
        <w:tabs>
          <w:tab w:leader="none" w:pos="174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Trustee shall not be deemed to have notice of a Default or an Event of Default unless a Responsible Officer of the Trustee has actual knowledge of such Default or Event of Default.</w:t>
      </w:r>
    </w:p>
    <w:p>
      <w:pPr>
        <w:spacing w:after="0" w:line="163" w:lineRule="exact"/>
        <w:rPr>
          <w:rFonts w:ascii="Arial" w:cs="Arial" w:eastAsia="Arial" w:hAnsi="Arial"/>
          <w:sz w:val="20"/>
          <w:szCs w:val="20"/>
          <w:color w:val="auto"/>
        </w:rPr>
      </w:pPr>
    </w:p>
    <w:p>
      <w:pPr>
        <w:jc w:val="both"/>
        <w:ind w:firstLine="1304"/>
        <w:spacing w:after="0" w:line="234" w:lineRule="auto"/>
        <w:tabs>
          <w:tab w:leader="none" w:pos="172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69" w:lineRule="exact"/>
        <w:rPr>
          <w:rFonts w:ascii="Arial" w:cs="Arial" w:eastAsia="Arial" w:hAnsi="Arial"/>
          <w:sz w:val="20"/>
          <w:szCs w:val="20"/>
          <w:color w:val="auto"/>
        </w:rPr>
      </w:pPr>
    </w:p>
    <w:p>
      <w:pPr>
        <w:jc w:val="both"/>
        <w:ind w:firstLine="1304"/>
        <w:spacing w:after="0" w:line="237" w:lineRule="auto"/>
        <w:tabs>
          <w:tab w:leader="none" w:pos="171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55" w:lineRule="exact"/>
        <w:rPr>
          <w:rFonts w:ascii="Arial" w:cs="Arial" w:eastAsia="Arial" w:hAnsi="Arial"/>
          <w:sz w:val="20"/>
          <w:szCs w:val="20"/>
          <w:color w:val="auto"/>
        </w:rPr>
      </w:pPr>
    </w:p>
    <w:p>
      <w:pPr>
        <w:ind w:left="1680" w:hanging="376"/>
        <w:spacing w:after="0"/>
        <w:tabs>
          <w:tab w:leader="none" w:pos="16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permissive rights of the Trustee enumerated herein shall not be construed as duties.</w:t>
      </w:r>
    </w:p>
    <w:p>
      <w:pPr>
        <w:spacing w:after="0" w:line="188" w:lineRule="exact"/>
        <w:rPr>
          <w:rFonts w:ascii="Arial" w:cs="Arial" w:eastAsia="Arial" w:hAnsi="Arial"/>
          <w:sz w:val="20"/>
          <w:szCs w:val="20"/>
          <w:color w:val="auto"/>
        </w:rPr>
      </w:pPr>
    </w:p>
    <w:p>
      <w:pPr>
        <w:jc w:val="both"/>
        <w:ind w:firstLine="1304"/>
        <w:spacing w:after="0" w:line="232" w:lineRule="auto"/>
        <w:tabs>
          <w:tab w:leader="none" w:pos="17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70" w:lineRule="exact"/>
        <w:rPr>
          <w:rFonts w:ascii="Arial" w:cs="Arial" w:eastAsia="Arial" w:hAnsi="Arial"/>
          <w:sz w:val="20"/>
          <w:szCs w:val="20"/>
          <w:color w:val="auto"/>
        </w:rPr>
      </w:pPr>
    </w:p>
    <w:p>
      <w:pPr>
        <w:jc w:val="both"/>
        <w:ind w:firstLine="1304"/>
        <w:spacing w:after="0" w:line="237" w:lineRule="auto"/>
        <w:tabs>
          <w:tab w:leader="none" w:pos="172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55" w:lineRule="exact"/>
        <w:rPr>
          <w:rFonts w:ascii="Arial" w:cs="Arial" w:eastAsia="Arial" w:hAnsi="Arial"/>
          <w:sz w:val="20"/>
          <w:szCs w:val="20"/>
          <w:color w:val="auto"/>
        </w:rPr>
      </w:pPr>
    </w:p>
    <w:p>
      <w:pPr>
        <w:jc w:val="both"/>
        <w:ind w:firstLine="1304"/>
        <w:spacing w:after="0" w:line="231" w:lineRule="auto"/>
        <w:tabs>
          <w:tab w:leader="none" w:pos="181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Trustee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8"/>
          <w:szCs w:val="18"/>
          <w:i w:val="1"/>
          <w:iCs w:val="1"/>
          <w:color w:val="auto"/>
        </w:rPr>
        <w:t>Individual Rights of Trustee.</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i w:val="1"/>
          <w:iCs w:val="1"/>
          <w:color w:val="auto"/>
        </w:rPr>
        <w:t>Notice of Defaults.</w:t>
      </w:r>
    </w:p>
    <w:p>
      <w:pPr>
        <w:spacing w:after="0" w:line="18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7.06</w:t>
      </w:r>
      <w:r>
        <w:rPr>
          <w:sz w:val="20"/>
          <w:szCs w:val="20"/>
          <w:color w:val="auto"/>
        </w:rPr>
        <w:tab/>
      </w:r>
      <w:r>
        <w:rPr>
          <w:rFonts w:ascii="Arial" w:cs="Arial" w:eastAsia="Arial" w:hAnsi="Arial"/>
          <w:sz w:val="18"/>
          <w:szCs w:val="18"/>
          <w:i w:val="1"/>
          <w:iCs w:val="1"/>
          <w:color w:val="auto"/>
        </w:rPr>
        <w:t>[Reserved].</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189" w:lineRule="exact"/>
        <w:rPr>
          <w:sz w:val="20"/>
          <w:szCs w:val="20"/>
          <w:color w:val="auto"/>
        </w:rPr>
      </w:pPr>
    </w:p>
    <w:p>
      <w:pPr>
        <w:jc w:val="both"/>
        <w:ind w:firstLine="1304"/>
        <w:spacing w:after="0" w:line="244" w:lineRule="auto"/>
        <w:tabs>
          <w:tab w:leader="none" w:pos="172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52" w:lineRule="exact"/>
        <w:rPr>
          <w:rFonts w:ascii="Arial" w:cs="Arial" w:eastAsia="Arial" w:hAnsi="Arial"/>
          <w:sz w:val="19"/>
          <w:szCs w:val="19"/>
          <w:color w:val="auto"/>
        </w:rPr>
      </w:pPr>
    </w:p>
    <w:p>
      <w:pPr>
        <w:jc w:val="both"/>
        <w:ind w:firstLine="1304"/>
        <w:spacing w:after="0" w:line="256" w:lineRule="auto"/>
        <w:tabs>
          <w:tab w:leader="none" w:pos="17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54" w:lineRule="exact"/>
        <w:rPr>
          <w:rFonts w:ascii="Arial" w:cs="Arial" w:eastAsia="Arial" w:hAnsi="Arial"/>
          <w:sz w:val="18"/>
          <w:szCs w:val="18"/>
          <w:color w:val="auto"/>
        </w:rPr>
      </w:pPr>
    </w:p>
    <w:p>
      <w:pPr>
        <w:ind w:firstLine="1304"/>
        <w:spacing w:after="0" w:line="246" w:lineRule="auto"/>
        <w:tabs>
          <w:tab w:leader="none" w:pos="175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obligations of the Issuer and the Guarantors under this Section 7.07 will survive the satisfaction and discharge of this Indenture and the resignation or removal of the Trustee.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2" w:lineRule="exact"/>
        <w:rPr>
          <w:sz w:val="20"/>
          <w:szCs w:val="20"/>
          <w:color w:val="auto"/>
        </w:rPr>
      </w:pPr>
    </w:p>
    <w:p>
      <w:pPr>
        <w:jc w:val="both"/>
        <w:ind w:right="20" w:firstLine="1304"/>
        <w:spacing w:after="0" w:line="237" w:lineRule="auto"/>
        <w:tabs>
          <w:tab w:leader="none" w:pos="175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55" w:lineRule="exact"/>
        <w:rPr>
          <w:rFonts w:ascii="Arial" w:cs="Arial" w:eastAsia="Arial" w:hAnsi="Arial"/>
          <w:sz w:val="20"/>
          <w:szCs w:val="20"/>
          <w:color w:val="auto"/>
        </w:rPr>
      </w:pPr>
    </w:p>
    <w:p>
      <w:pPr>
        <w:jc w:val="both"/>
        <w:ind w:firstLine="1304"/>
        <w:spacing w:after="0" w:line="237" w:lineRule="auto"/>
        <w:tabs>
          <w:tab w:leader="none" w:pos="171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When the Trustee incurs expenses or renders services after an Event of Default specified in Section 6.01(i) or (j) occurs, the expenses and the compensation for the services (including the fees and expenses of its agents and counsel) are intended to constitute administrative expenses for purposes of priority under any Bankruptcy Law.</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7.08</w:t>
      </w:r>
      <w:r>
        <w:rPr>
          <w:sz w:val="20"/>
          <w:szCs w:val="20"/>
          <w:color w:val="auto"/>
        </w:rPr>
        <w:tab/>
      </w:r>
      <w:r>
        <w:rPr>
          <w:rFonts w:ascii="Arial" w:cs="Arial" w:eastAsia="Arial" w:hAnsi="Arial"/>
          <w:sz w:val="16"/>
          <w:szCs w:val="16"/>
          <w:i w:val="1"/>
          <w:iCs w:val="1"/>
          <w:color w:val="auto"/>
        </w:rPr>
        <w:t>Replacement of Trustee.</w:t>
      </w:r>
    </w:p>
    <w:p>
      <w:pPr>
        <w:spacing w:after="0" w:line="189" w:lineRule="exact"/>
        <w:rPr>
          <w:sz w:val="20"/>
          <w:szCs w:val="20"/>
          <w:color w:val="auto"/>
        </w:rPr>
      </w:pPr>
    </w:p>
    <w:p>
      <w:pPr>
        <w:ind w:firstLine="1304"/>
        <w:spacing w:after="0" w:line="246" w:lineRule="auto"/>
        <w:tabs>
          <w:tab w:leader="none" w:pos="176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resignation or removal of the Trustee and appointment of a successor Trustee will become effective only upon the successor Trustee’s acceptance of appointment as provided in this Section 7.08.</w:t>
      </w:r>
    </w:p>
    <w:p>
      <w:pPr>
        <w:spacing w:after="0" w:line="149" w:lineRule="exact"/>
        <w:rPr>
          <w:rFonts w:ascii="Arial" w:cs="Arial" w:eastAsia="Arial" w:hAnsi="Arial"/>
          <w:sz w:val="20"/>
          <w:szCs w:val="20"/>
          <w:color w:val="auto"/>
        </w:rPr>
      </w:pPr>
    </w:p>
    <w:p>
      <w:pPr>
        <w:jc w:val="both"/>
        <w:ind w:firstLine="1304"/>
        <w:spacing w:after="0" w:line="275" w:lineRule="auto"/>
        <w:tabs>
          <w:tab w:leader="none" w:pos="18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138" w:lineRule="exact"/>
        <w:rPr>
          <w:rFonts w:ascii="Arial" w:cs="Arial" w:eastAsia="Arial" w:hAnsi="Arial"/>
          <w:sz w:val="18"/>
          <w:szCs w:val="18"/>
          <w:color w:val="auto"/>
        </w:rPr>
      </w:pPr>
    </w:p>
    <w:p>
      <w:pPr>
        <w:ind w:left="2380" w:hanging="428"/>
        <w:spacing w:after="0"/>
        <w:tabs>
          <w:tab w:leader="none" w:pos="23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Trustee fails to comply with Section 7.10;</w:t>
      </w:r>
    </w:p>
    <w:p>
      <w:pPr>
        <w:spacing w:after="0" w:line="188" w:lineRule="exact"/>
        <w:rPr>
          <w:rFonts w:ascii="Arial" w:cs="Arial" w:eastAsia="Arial" w:hAnsi="Arial"/>
          <w:sz w:val="20"/>
          <w:szCs w:val="20"/>
          <w:color w:val="auto"/>
        </w:rPr>
      </w:pPr>
    </w:p>
    <w:p>
      <w:pPr>
        <w:ind w:left="660" w:firstLine="1292"/>
        <w:spacing w:after="0" w:line="246" w:lineRule="auto"/>
        <w:tabs>
          <w:tab w:leader="none" w:pos="243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Trustee is adjudged a bankrupt or an insolvent or an order for relief is entered with respect to the Trustee under any Bankruptcy Law;</w:t>
      </w:r>
    </w:p>
    <w:p>
      <w:pPr>
        <w:spacing w:after="0" w:line="149" w:lineRule="exact"/>
        <w:rPr>
          <w:rFonts w:ascii="Arial" w:cs="Arial" w:eastAsia="Arial" w:hAnsi="Arial"/>
          <w:sz w:val="20"/>
          <w:szCs w:val="20"/>
          <w:color w:val="auto"/>
        </w:rPr>
      </w:pPr>
    </w:p>
    <w:p>
      <w:pPr>
        <w:ind w:left="2380" w:hanging="428"/>
        <w:spacing w:after="0"/>
        <w:tabs>
          <w:tab w:leader="none" w:pos="23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 custodian or public officer takes charge of the Trustee or its property; or</w:t>
      </w:r>
    </w:p>
    <w:p>
      <w:pPr>
        <w:spacing w:after="0" w:line="188" w:lineRule="exact"/>
        <w:rPr>
          <w:rFonts w:ascii="Arial" w:cs="Arial" w:eastAsia="Arial" w:hAnsi="Arial"/>
          <w:sz w:val="20"/>
          <w:szCs w:val="20"/>
          <w:color w:val="auto"/>
        </w:rPr>
      </w:pPr>
    </w:p>
    <w:p>
      <w:pPr>
        <w:ind w:left="2380" w:hanging="428"/>
        <w:spacing w:after="0"/>
        <w:tabs>
          <w:tab w:leader="none" w:pos="23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Trustee becomes incapable of acting.</w:t>
      </w:r>
    </w:p>
    <w:p>
      <w:pPr>
        <w:spacing w:after="0" w:line="188" w:lineRule="exact"/>
        <w:rPr>
          <w:rFonts w:ascii="Arial" w:cs="Arial" w:eastAsia="Arial" w:hAnsi="Arial"/>
          <w:sz w:val="20"/>
          <w:szCs w:val="20"/>
          <w:color w:val="auto"/>
        </w:rPr>
      </w:pPr>
    </w:p>
    <w:p>
      <w:pPr>
        <w:jc w:val="both"/>
        <w:ind w:firstLine="1304"/>
        <w:spacing w:after="0" w:line="275" w:lineRule="auto"/>
        <w:tabs>
          <w:tab w:leader="none" w:pos="182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25" w:lineRule="exact"/>
        <w:rPr>
          <w:rFonts w:ascii="Arial" w:cs="Arial" w:eastAsia="Arial" w:hAnsi="Arial"/>
          <w:sz w:val="18"/>
          <w:szCs w:val="18"/>
          <w:color w:val="auto"/>
        </w:rPr>
      </w:pPr>
    </w:p>
    <w:p>
      <w:pPr>
        <w:jc w:val="both"/>
        <w:ind w:firstLine="1304"/>
        <w:spacing w:after="0" w:line="237" w:lineRule="auto"/>
        <w:tabs>
          <w:tab w:leader="none" w:pos="1772"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69" w:lineRule="exact"/>
        <w:rPr>
          <w:rFonts w:ascii="Arial" w:cs="Arial" w:eastAsia="Arial" w:hAnsi="Arial"/>
          <w:sz w:val="20"/>
          <w:szCs w:val="20"/>
          <w:color w:val="auto"/>
        </w:rPr>
      </w:pPr>
    </w:p>
    <w:p>
      <w:pPr>
        <w:jc w:val="both"/>
        <w:ind w:firstLine="1304"/>
        <w:spacing w:after="0" w:line="237" w:lineRule="auto"/>
        <w:tabs>
          <w:tab w:leader="none" w:pos="174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9" w:lineRule="exact"/>
        <w:rPr>
          <w:rFonts w:ascii="Arial" w:cs="Arial" w:eastAsia="Arial" w:hAnsi="Arial"/>
          <w:sz w:val="20"/>
          <w:szCs w:val="20"/>
          <w:color w:val="auto"/>
        </w:rPr>
      </w:pPr>
    </w:p>
    <w:p>
      <w:pPr>
        <w:jc w:val="both"/>
        <w:ind w:firstLine="1304"/>
        <w:spacing w:after="0" w:line="232" w:lineRule="auto"/>
        <w:tabs>
          <w:tab w:leader="none" w:pos="180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all sums owing to the Trustee hereunder have been paid and subject to the Lien provided for in Section 7.07. Notwithstanding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replacement of the Trustee pursuant to this Section 7.08, the Issuer’s obligations under Section 7.07 will continue for the benefit of the retiring Trustee.</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7.09</w:t>
      </w:r>
      <w:r>
        <w:rPr>
          <w:sz w:val="20"/>
          <w:szCs w:val="20"/>
          <w:color w:val="auto"/>
        </w:rPr>
        <w:tab/>
      </w:r>
      <w:r>
        <w:rPr>
          <w:rFonts w:ascii="Arial" w:cs="Arial" w:eastAsia="Arial" w:hAnsi="Arial"/>
          <w:sz w:val="16"/>
          <w:szCs w:val="16"/>
          <w:i w:val="1"/>
          <w:iCs w:val="1"/>
          <w:color w:val="auto"/>
        </w:rPr>
        <w:t>Successor Trustee by Merger, etc.</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9"/>
          <w:szCs w:val="19"/>
          <w:i w:val="1"/>
          <w:iCs w:val="1"/>
          <w:color w:val="auto"/>
        </w:rPr>
        <w:t>Eligibility; Disqualification.</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LEGAL DEFEASANCE AND COVENANT DEFEASANCE</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Arial" w:cs="Arial" w:eastAsia="Arial" w:hAnsi="Arial"/>
          <w:sz w:val="19"/>
          <w:szCs w:val="19"/>
          <w:i w:val="1"/>
          <w:iCs w:val="1"/>
          <w:color w:val="auto"/>
        </w:rPr>
        <w:t>Legal Defeasance</w:t>
      </w:r>
      <w:r>
        <w:rPr>
          <w:rFonts w:ascii="Arial" w:cs="Arial" w:eastAsia="Arial" w:hAnsi="Arial"/>
          <w:sz w:val="19"/>
          <w:szCs w:val="19"/>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158" w:lineRule="exact"/>
        <w:rPr>
          <w:sz w:val="20"/>
          <w:szCs w:val="20"/>
          <w:color w:val="auto"/>
        </w:rPr>
      </w:pPr>
    </w:p>
    <w:p>
      <w:pPr>
        <w:ind w:right="20" w:firstLine="1304"/>
        <w:spacing w:after="0" w:line="246" w:lineRule="auto"/>
        <w:tabs>
          <w:tab w:leader="none" w:pos="177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rights of Holders of outstanding Notes to receive payments in respect of the principal of, premium on, if any, or interest on, such Notes when such payments are due from the trust referred to in Section 8.04;</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Issuer’s obligations with respect to such Notes under Article 2 and Section 4.02;</w:t>
      </w:r>
    </w:p>
    <w:p>
      <w:pPr>
        <w:spacing w:after="0" w:line="188" w:lineRule="exact"/>
        <w:rPr>
          <w:rFonts w:ascii="Arial" w:cs="Arial" w:eastAsia="Arial" w:hAnsi="Arial"/>
          <w:sz w:val="20"/>
          <w:szCs w:val="20"/>
          <w:color w:val="auto"/>
        </w:rPr>
      </w:pPr>
    </w:p>
    <w:p>
      <w:pPr>
        <w:ind w:firstLine="1304"/>
        <w:spacing w:after="0" w:line="246" w:lineRule="auto"/>
        <w:tabs>
          <w:tab w:leader="none" w:pos="188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rights, powers, trusts, duties and immunities of the Trustee hereunder and the Issuer’s and the Guarantors’ obligations in connection therewith; and</w:t>
      </w:r>
    </w:p>
    <w:p>
      <w:pPr>
        <w:spacing w:after="0" w:line="149" w:lineRule="exact"/>
        <w:rPr>
          <w:rFonts w:ascii="Arial" w:cs="Arial" w:eastAsia="Arial" w:hAnsi="Arial"/>
          <w:sz w:val="20"/>
          <w:szCs w:val="20"/>
          <w:color w:val="auto"/>
        </w:rPr>
      </w:pPr>
    </w:p>
    <w:p>
      <w:pPr>
        <w:ind w:left="1740" w:hanging="436"/>
        <w:spacing w:after="0"/>
        <w:tabs>
          <w:tab w:leader="none" w:pos="17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this Article 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Subject to compliance with this Article 8, the Issuer may exercise its option under this Section 8.02 notwithstanding the prior exercise of its option under Section 8.03.</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8.03</w:t>
      </w:r>
      <w:r>
        <w:rPr>
          <w:sz w:val="20"/>
          <w:szCs w:val="20"/>
          <w:color w:val="auto"/>
        </w:rPr>
        <w:tab/>
      </w:r>
      <w:r>
        <w:rPr>
          <w:rFonts w:ascii="Arial" w:cs="Arial" w:eastAsia="Arial" w:hAnsi="Arial"/>
          <w:sz w:val="16"/>
          <w:szCs w:val="16"/>
          <w:i w:val="1"/>
          <w:iCs w:val="1"/>
          <w:color w:val="auto"/>
        </w:rPr>
        <w:t>Covenant Defeasance.</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3.09, 4.03, 4.04 4.05, 4.07, 4.08, 4.09, 4.10, 4.11, 4.12, 4.13, 4.14, 4.15, 4.16 and 4.17 and clause (4) of Section 5.01(a) with respect to all the outstanding Notes on and after the date the conditions set forth in Section 8.04 are satisfied (hereinafter,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Notes will thereafter be deemed not “outstanding” for the purposes of any direction, waiver, consent or declaration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act 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3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8.04</w:t>
      </w:r>
      <w:r>
        <w:rPr>
          <w:sz w:val="20"/>
          <w:szCs w:val="20"/>
          <w:color w:val="auto"/>
        </w:rPr>
        <w:tab/>
      </w:r>
      <w:r>
        <w:rPr>
          <w:rFonts w:ascii="Arial" w:cs="Arial" w:eastAsia="Arial" w:hAnsi="Arial"/>
          <w:sz w:val="18"/>
          <w:szCs w:val="18"/>
          <w:i w:val="1"/>
          <w:iCs w:val="1"/>
          <w:color w:val="auto"/>
        </w:rPr>
        <w:t>Conditions to Legal or Covenant Defeasance.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order to exercise either Legal Defeasance or Covenant Defeasance under either Section 8.02 or 8.03:</w:t>
      </w:r>
    </w:p>
    <w:p>
      <w:pPr>
        <w:spacing w:after="0" w:line="189" w:lineRule="exact"/>
        <w:rPr>
          <w:sz w:val="20"/>
          <w:szCs w:val="20"/>
          <w:color w:val="auto"/>
        </w:rPr>
      </w:pPr>
    </w:p>
    <w:p>
      <w:pPr>
        <w:jc w:val="both"/>
        <w:ind w:firstLine="1304"/>
        <w:spacing w:after="0" w:line="239" w:lineRule="auto"/>
        <w:tabs>
          <w:tab w:leader="none" w:pos="175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the Issuer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redemption is made as provided in Section 3.07(b)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Arial" w:cs="Arial" w:eastAsia="Arial" w:hAnsi="Arial"/>
          <w:sz w:val="19"/>
          <w:szCs w:val="19"/>
          <w:i w:val="1"/>
          <w:iCs w:val="1"/>
          <w:color w:val="auto"/>
        </w:rPr>
        <w:t>Applicable Premium Deficit</w:t>
      </w:r>
      <w:r>
        <w:rPr>
          <w:rFonts w:ascii="Arial" w:cs="Arial" w:eastAsia="Arial" w:hAnsi="Arial"/>
          <w:sz w:val="19"/>
          <w:szCs w:val="19"/>
          <w:color w:val="auto"/>
        </w:rPr>
        <w:t xml:space="preserve">”) (it being understood that any satisfaction and discharge shall be subject to the condition subsequent that such Applicable Premium Deficit is in fact 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Trustee shall have no liability whatsoever in the event that such Applicable Premium Deficit is not in fact paid after any Legal Defeasance or Covenant Defeasance and that any Applicable Premium Deficit will be set forth in an Officers’ Certificate delivered to the Trustee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simultaneously with the deposit of such Applicable Premium Deficit that confirms that such Applicable Premium Deficit will be applied toward such redemption;</w:t>
      </w:r>
    </w:p>
    <w:p>
      <w:pPr>
        <w:spacing w:after="0" w:line="150" w:lineRule="exact"/>
        <w:rPr>
          <w:sz w:val="20"/>
          <w:szCs w:val="20"/>
          <w:color w:val="auto"/>
        </w:rPr>
      </w:pPr>
    </w:p>
    <w:p>
      <w:pPr>
        <w:ind w:right="20" w:firstLine="1304"/>
        <w:spacing w:after="0" w:line="246" w:lineRule="auto"/>
        <w:tabs>
          <w:tab w:leader="none" w:pos="176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case of an election under Section 8.02, the Issuer must deliver to the Trustee an Opinion of Counsel reasonably acceptable to the Trustee confirming that:</w:t>
      </w:r>
    </w:p>
    <w:p>
      <w:pPr>
        <w:spacing w:after="0" w:line="163" w:lineRule="exact"/>
        <w:rPr>
          <w:rFonts w:ascii="Arial" w:cs="Arial" w:eastAsia="Arial" w:hAnsi="Arial"/>
          <w:sz w:val="20"/>
          <w:szCs w:val="20"/>
          <w:color w:val="auto"/>
        </w:rPr>
      </w:pPr>
    </w:p>
    <w:p>
      <w:pPr>
        <w:ind w:left="2380" w:hanging="428"/>
        <w:spacing w:after="0"/>
        <w:tabs>
          <w:tab w:leader="none" w:pos="238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Issuer has received from, or there has been published by, the Internal Revenue Service a ruling; or</w:t>
      </w:r>
    </w:p>
    <w:p>
      <w:pPr>
        <w:spacing w:after="0" w:line="200" w:lineRule="exact"/>
        <w:rPr>
          <w:rFonts w:ascii="Arial" w:cs="Arial" w:eastAsia="Arial" w:hAnsi="Arial"/>
          <w:sz w:val="19"/>
          <w:szCs w:val="19"/>
          <w:color w:val="auto"/>
        </w:rPr>
      </w:pPr>
    </w:p>
    <w:p>
      <w:pPr>
        <w:jc w:val="both"/>
        <w:ind w:left="660" w:firstLine="1292"/>
        <w:spacing w:after="0" w:line="232" w:lineRule="auto"/>
        <w:tabs>
          <w:tab w:leader="none" w:pos="2461" w:val="left"/>
        </w:tabs>
        <w:numPr>
          <w:ilvl w:val="1"/>
          <w:numId w:val="147"/>
        </w:numPr>
        <w:rPr>
          <w:rFonts w:ascii="Arial" w:cs="Arial" w:eastAsia="Arial" w:hAnsi="Arial"/>
          <w:sz w:val="20"/>
          <w:szCs w:val="20"/>
          <w:color w:val="auto"/>
        </w:rPr>
      </w:pPr>
      <w:r>
        <w:rPr>
          <w:rFonts w:ascii="Arial" w:cs="Arial" w:eastAsia="Arial" w:hAnsi="Arial"/>
          <w:sz w:val="20"/>
          <w:szCs w:val="20"/>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57" w:lineRule="exact"/>
        <w:rPr>
          <w:rFonts w:ascii="Arial" w:cs="Arial" w:eastAsia="Arial" w:hAnsi="Arial"/>
          <w:sz w:val="20"/>
          <w:szCs w:val="20"/>
          <w:color w:val="auto"/>
        </w:rPr>
      </w:pPr>
    </w:p>
    <w:p>
      <w:pPr>
        <w:jc w:val="both"/>
        <w:ind w:firstLine="1304"/>
        <w:spacing w:after="0" w:line="248" w:lineRule="auto"/>
        <w:tabs>
          <w:tab w:leader="none" w:pos="175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63" w:lineRule="exact"/>
        <w:rPr>
          <w:rFonts w:ascii="Arial" w:cs="Arial" w:eastAsia="Arial" w:hAnsi="Arial"/>
          <w:sz w:val="19"/>
          <w:szCs w:val="19"/>
          <w:color w:val="auto"/>
        </w:rPr>
      </w:pPr>
    </w:p>
    <w:p>
      <w:pPr>
        <w:jc w:val="both"/>
        <w:ind w:firstLine="1304"/>
        <w:spacing w:after="0" w:line="234" w:lineRule="auto"/>
        <w:tabs>
          <w:tab w:leader="none" w:pos="176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69" w:lineRule="exact"/>
        <w:rPr>
          <w:rFonts w:ascii="Arial" w:cs="Arial" w:eastAsia="Arial" w:hAnsi="Arial"/>
          <w:sz w:val="20"/>
          <w:szCs w:val="20"/>
          <w:color w:val="auto"/>
        </w:rPr>
      </w:pPr>
    </w:p>
    <w:p>
      <w:pPr>
        <w:jc w:val="both"/>
        <w:ind w:firstLine="1304"/>
        <w:spacing w:after="0" w:line="234" w:lineRule="auto"/>
        <w:tabs>
          <w:tab w:leader="none" w:pos="189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56" w:lineRule="exact"/>
        <w:rPr>
          <w:rFonts w:ascii="Arial" w:cs="Arial" w:eastAsia="Arial" w:hAnsi="Arial"/>
          <w:sz w:val="20"/>
          <w:szCs w:val="20"/>
          <w:color w:val="auto"/>
        </w:rPr>
      </w:pPr>
    </w:p>
    <w:p>
      <w:pPr>
        <w:jc w:val="both"/>
        <w:ind w:firstLine="1304"/>
        <w:spacing w:after="0" w:line="237" w:lineRule="auto"/>
        <w:tabs>
          <w:tab w:leader="none" w:pos="169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69" w:lineRule="exact"/>
        <w:rPr>
          <w:rFonts w:ascii="Arial" w:cs="Arial" w:eastAsia="Arial" w:hAnsi="Arial"/>
          <w:sz w:val="20"/>
          <w:szCs w:val="20"/>
          <w:color w:val="auto"/>
        </w:rPr>
      </w:pPr>
    </w:p>
    <w:p>
      <w:pPr>
        <w:ind w:right="20" w:firstLine="1304"/>
        <w:spacing w:after="0" w:line="272" w:lineRule="auto"/>
        <w:tabs>
          <w:tab w:leader="none" w:pos="172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3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8.05</w:t>
      </w:r>
      <w:r>
        <w:rPr>
          <w:sz w:val="20"/>
          <w:szCs w:val="20"/>
          <w:color w:val="auto"/>
        </w:rPr>
        <w:tab/>
      </w:r>
      <w:r>
        <w:rPr>
          <w:rFonts w:ascii="Arial" w:cs="Arial" w:eastAsia="Arial" w:hAnsi="Arial"/>
          <w:sz w:val="18"/>
          <w:szCs w:val="18"/>
          <w:i w:val="1"/>
          <w:iCs w:val="1"/>
          <w:color w:val="auto"/>
        </w:rPr>
        <w:t>Deposited Money and Government Securities to be Held in Trust; Other Miscellaneous Provisions.</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Subject to Section 8.06,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may determine, to the Holders of such Notes of all sums due and to become due thereon in respect of principal, premium, if any, and interest, but such money need not be segregated from other funds except to the extent required by law.</w:t>
      </w:r>
    </w:p>
    <w:p>
      <w:pPr>
        <w:spacing w:after="0" w:line="15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16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8.06</w:t>
      </w:r>
      <w:r>
        <w:rPr>
          <w:sz w:val="20"/>
          <w:szCs w:val="20"/>
          <w:color w:val="auto"/>
        </w:rPr>
        <w:tab/>
      </w:r>
      <w:r>
        <w:rPr>
          <w:rFonts w:ascii="Arial" w:cs="Arial" w:eastAsia="Arial" w:hAnsi="Arial"/>
          <w:sz w:val="16"/>
          <w:szCs w:val="16"/>
          <w:i w:val="1"/>
          <w:iCs w:val="1"/>
          <w:color w:val="auto"/>
        </w:rPr>
        <w:t>Repayment to Issuer.</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premium, if any, and interest,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8.07</w:t>
      </w:r>
      <w:r>
        <w:rPr>
          <w:sz w:val="20"/>
          <w:szCs w:val="20"/>
          <w:color w:val="auto"/>
        </w:rPr>
        <w:tab/>
      </w:r>
      <w:r>
        <w:rPr>
          <w:rFonts w:ascii="Arial" w:cs="Arial" w:eastAsia="Arial" w:hAnsi="Arial"/>
          <w:sz w:val="16"/>
          <w:szCs w:val="16"/>
          <w:i w:val="1"/>
          <w:iCs w:val="1"/>
          <w:color w:val="auto"/>
        </w:rPr>
        <w:t>Reinstatement.</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Issuer makes any payment of principal of, premium on, if any, or interest on, any Note following the</w:t>
      </w:r>
      <w:r>
        <w:rPr>
          <w:rFonts w:ascii="Arial" w:cs="Arial" w:eastAsia="Arial" w:hAnsi="Arial"/>
          <w:sz w:val="19"/>
          <w:szCs w:val="19"/>
          <w:i w:val="1"/>
          <w:iCs w:val="1"/>
          <w:color w:val="auto"/>
        </w:rPr>
        <w:t xml:space="preserve"> </w:t>
      </w:r>
      <w:r>
        <w:rPr>
          <w:rFonts w:ascii="Arial" w:cs="Arial" w:eastAsia="Arial" w:hAnsi="Arial"/>
          <w:sz w:val="19"/>
          <w:szCs w:val="19"/>
          <w:color w:val="auto"/>
        </w:rPr>
        <w:t>reinstatement of its obligations, the Issuer will be subrogated to the rights of the Holders of such Notes to receive such payment from the money or Government Securities held by the Trustee or Paying Agent.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AMENDMENT, SUPPLEMENT AND WAIVER</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Section 9.02 of this Indenture, without the consent of any Holder of Notes, the Issuer, the Guarantors and the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Trustee may amend or supplement this Indenture, the Notes or the Guarantees:</w:t>
      </w:r>
    </w:p>
    <w:p>
      <w:pPr>
        <w:spacing w:after="0" w:line="159" w:lineRule="exact"/>
        <w:rPr>
          <w:sz w:val="20"/>
          <w:szCs w:val="20"/>
          <w:color w:val="auto"/>
        </w:rPr>
      </w:pPr>
    </w:p>
    <w:p>
      <w:pPr>
        <w:ind w:left="1720" w:hanging="416"/>
        <w:spacing w:after="0"/>
        <w:tabs>
          <w:tab w:leader="none" w:pos="17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to cure any ambiguity, defect or inconsistency;</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to provide for uncertificated Notes in addition to or in place of certificated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2" w:lineRule="exact"/>
        <w:rPr>
          <w:sz w:val="20"/>
          <w:szCs w:val="20"/>
          <w:color w:val="auto"/>
        </w:rPr>
      </w:pPr>
    </w:p>
    <w:p>
      <w:pPr>
        <w:ind w:firstLine="1304"/>
        <w:spacing w:after="0" w:line="300" w:lineRule="auto"/>
        <w:tabs>
          <w:tab w:leader="none" w:pos="172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03" w:lineRule="exact"/>
        <w:rPr>
          <w:rFonts w:ascii="Arial" w:cs="Arial" w:eastAsia="Arial" w:hAnsi="Arial"/>
          <w:sz w:val="18"/>
          <w:szCs w:val="18"/>
          <w:color w:val="auto"/>
        </w:rPr>
      </w:pPr>
    </w:p>
    <w:p>
      <w:pPr>
        <w:ind w:firstLine="1304"/>
        <w:spacing w:after="0" w:line="246" w:lineRule="auto"/>
        <w:tabs>
          <w:tab w:leader="none" w:pos="178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make any change that would provide any additional rights or benefits to the Holders of the Notes or that does not adversely affect the legal rights under this Indenture of any Holder;</w:t>
      </w:r>
    </w:p>
    <w:p>
      <w:pPr>
        <w:spacing w:after="0" w:line="163" w:lineRule="exact"/>
        <w:rPr>
          <w:rFonts w:ascii="Arial" w:cs="Arial" w:eastAsia="Arial" w:hAnsi="Arial"/>
          <w:sz w:val="20"/>
          <w:szCs w:val="20"/>
          <w:color w:val="auto"/>
        </w:rPr>
      </w:pPr>
    </w:p>
    <w:p>
      <w:pPr>
        <w:ind w:left="1720" w:hanging="416"/>
        <w:spacing w:after="0"/>
        <w:tabs>
          <w:tab w:leader="none" w:pos="1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11" w:lineRule="exact"/>
        <w:rPr>
          <w:rFonts w:ascii="Arial" w:cs="Arial" w:eastAsia="Arial" w:hAnsi="Arial"/>
          <w:sz w:val="18"/>
          <w:szCs w:val="18"/>
          <w:color w:val="auto"/>
        </w:rPr>
      </w:pPr>
    </w:p>
    <w:p>
      <w:pPr>
        <w:ind w:right="20" w:firstLine="1304"/>
        <w:spacing w:after="0" w:line="246" w:lineRule="auto"/>
        <w:tabs>
          <w:tab w:leader="none" w:pos="169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conform the text of this Indenture, the Notes or the Guarantees to any provision of the “Description of Notes” section of the Offering Memorandum as specified by an Officers’ Certificate;</w:t>
      </w:r>
    </w:p>
    <w:p>
      <w:pPr>
        <w:spacing w:after="0" w:line="149" w:lineRule="exact"/>
        <w:rPr>
          <w:rFonts w:ascii="Arial" w:cs="Arial" w:eastAsia="Arial" w:hAnsi="Arial"/>
          <w:sz w:val="20"/>
          <w:szCs w:val="20"/>
          <w:color w:val="auto"/>
        </w:rPr>
      </w:pPr>
    </w:p>
    <w:p>
      <w:pPr>
        <w:ind w:left="1780" w:hanging="476"/>
        <w:spacing w:after="0"/>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 hereof;</w:t>
      </w:r>
    </w:p>
    <w:p>
      <w:pPr>
        <w:spacing w:after="0" w:line="172" w:lineRule="exact"/>
        <w:rPr>
          <w:rFonts w:ascii="Arial" w:cs="Arial" w:eastAsia="Arial" w:hAnsi="Arial"/>
          <w:sz w:val="18"/>
          <w:szCs w:val="18"/>
          <w:color w:val="auto"/>
        </w:rPr>
      </w:pPr>
    </w:p>
    <w:p>
      <w:pPr>
        <w:ind w:left="1740" w:hanging="436"/>
        <w:spacing w:after="0"/>
        <w:tabs>
          <w:tab w:leader="none" w:pos="17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secure the Notes or the Guarantees pursuant to the requirements of Section 4.12 or otherwise;</w:t>
      </w:r>
    </w:p>
    <w:p>
      <w:pPr>
        <w:spacing w:after="0" w:line="188" w:lineRule="exact"/>
        <w:rPr>
          <w:rFonts w:ascii="Arial" w:cs="Arial" w:eastAsia="Arial" w:hAnsi="Arial"/>
          <w:sz w:val="20"/>
          <w:szCs w:val="20"/>
          <w:color w:val="auto"/>
        </w:rPr>
      </w:pPr>
    </w:p>
    <w:p>
      <w:pPr>
        <w:ind w:firstLine="1304"/>
        <w:spacing w:after="0" w:line="246" w:lineRule="auto"/>
        <w:tabs>
          <w:tab w:leader="none" w:pos="168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evidence the release of any Guarantor from its Guarantee, as provided in this Indenture, add any additional Guarantor or guarantee of the Notes;</w:t>
      </w:r>
    </w:p>
    <w:p>
      <w:pPr>
        <w:spacing w:after="0" w:line="149" w:lineRule="exact"/>
        <w:rPr>
          <w:rFonts w:ascii="Arial" w:cs="Arial" w:eastAsia="Arial" w:hAnsi="Arial"/>
          <w:sz w:val="20"/>
          <w:szCs w:val="20"/>
          <w:color w:val="auto"/>
        </w:rPr>
      </w:pPr>
    </w:p>
    <w:p>
      <w:pPr>
        <w:ind w:left="1680" w:hanging="376"/>
        <w:spacing w:after="0"/>
        <w:tabs>
          <w:tab w:leader="none" w:pos="16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 evidence or provide for the acceptance of appointment under this Indenture of a successor Trustee; or</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to provide for the reorganization of the Issuer as any other form of entity in accordance with Section 5.01(c).</w:t>
      </w:r>
    </w:p>
    <w:p>
      <w:pPr>
        <w:spacing w:after="0" w:line="20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Except as provided below in this Section 9.02, the Issuer, the Guarantors and the Trustee may amend or supplement this Indenture (including, without limitation, Sections 3.09,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 Holder affected, an amendment, supplement or waiver may not (with respect to any Notes held by a non-consenting Holder):</w:t>
      </w:r>
    </w:p>
    <w:p>
      <w:pPr>
        <w:spacing w:after="0" w:line="155" w:lineRule="exact"/>
        <w:rPr>
          <w:sz w:val="20"/>
          <w:szCs w:val="20"/>
          <w:color w:val="auto"/>
        </w:rPr>
      </w:pPr>
    </w:p>
    <w:p>
      <w:pPr>
        <w:ind w:left="1720" w:hanging="416"/>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reduce the principal amount of Notes whose Holders must consent to an amendment, supplement or waiver;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6" w:lineRule="exact"/>
        <w:rPr>
          <w:rFonts w:ascii="Arial" w:cs="Arial" w:eastAsia="Arial" w:hAnsi="Arial"/>
          <w:sz w:val="19"/>
          <w:szCs w:val="19"/>
          <w:color w:val="auto"/>
        </w:rPr>
      </w:pPr>
    </w:p>
    <w:p>
      <w:pPr>
        <w:ind w:left="5520"/>
        <w:spacing w:after="0"/>
        <w:rPr>
          <w:rFonts w:ascii="Arial" w:cs="Arial" w:eastAsia="Arial" w:hAnsi="Arial"/>
          <w:sz w:val="19"/>
          <w:szCs w:val="19"/>
          <w:color w:val="auto"/>
        </w:rPr>
      </w:pPr>
      <w:r>
        <w:rPr>
          <w:rFonts w:ascii="Arial" w:cs="Arial" w:eastAsia="Arial" w:hAnsi="Arial"/>
          <w:sz w:val="20"/>
          <w:szCs w:val="20"/>
          <w:color w:val="auto"/>
        </w:rPr>
        <w:t>97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2" w:lineRule="exact"/>
        <w:rPr>
          <w:sz w:val="20"/>
          <w:szCs w:val="20"/>
          <w:color w:val="auto"/>
        </w:rPr>
      </w:pPr>
    </w:p>
    <w:p>
      <w:pPr>
        <w:jc w:val="both"/>
        <w:ind w:firstLine="1304"/>
        <w:spacing w:after="0" w:line="237" w:lineRule="auto"/>
        <w:tabs>
          <w:tab w:leader="none" w:pos="1749" w:val="left"/>
        </w:tabs>
        <w:numPr>
          <w:ilvl w:val="1"/>
          <w:numId w:val="151"/>
        </w:numPr>
        <w:rPr>
          <w:rFonts w:ascii="Arial" w:cs="Arial" w:eastAsia="Arial" w:hAnsi="Arial"/>
          <w:sz w:val="20"/>
          <w:szCs w:val="20"/>
          <w:color w:val="auto"/>
        </w:rPr>
      </w:pPr>
      <w:r>
        <w:rPr>
          <w:rFonts w:ascii="Arial" w:cs="Arial" w:eastAsia="Arial" w:hAnsi="Arial"/>
          <w:sz w:val="20"/>
          <w:szCs w:val="20"/>
          <w:color w:val="auto"/>
        </w:rPr>
        <w:t>reduce the principal of or change the fixed maturity of any Note or alter or waive any of the provisions with respect to the redemption of the Notes (other than provisions relating to minimum notice periods required with respect to redemptions of Notes and provisions under Section 3.03, 3.09, 4.10 or 4.15);</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reduce the rate of or change the time for payment of interest, including default interest on any Note;</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on, if any, or interest on, the Notes (except</w:t>
      </w:r>
    </w:p>
    <w:p>
      <w:pPr>
        <w:spacing w:after="0" w:line="25" w:lineRule="exact"/>
        <w:rPr>
          <w:rFonts w:ascii="Arial" w:cs="Arial" w:eastAsia="Arial" w:hAnsi="Arial"/>
          <w:sz w:val="18"/>
          <w:szCs w:val="18"/>
          <w:color w:val="auto"/>
        </w:rPr>
      </w:pPr>
    </w:p>
    <w:p>
      <w:pPr>
        <w:ind w:firstLine="8"/>
        <w:spacing w:after="0" w:line="254" w:lineRule="auto"/>
        <w:tabs>
          <w:tab w:leader="none" w:pos="2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 payment required by Section 3.09, 4.10 or 4.15 or (ii) a rescission of acceleration of the Notes by the Holders of a majority in aggregate principal amount of the then outstanding Notes and a waiver of the payment default that resulted from such acceleration);</w:t>
      </w:r>
    </w:p>
    <w:p>
      <w:pPr>
        <w:spacing w:after="0" w:line="156" w:lineRule="exact"/>
        <w:rPr>
          <w:rFonts w:ascii="Arial" w:cs="Arial" w:eastAsia="Arial" w:hAnsi="Arial"/>
          <w:sz w:val="19"/>
          <w:szCs w:val="19"/>
          <w:color w:val="auto"/>
        </w:rPr>
      </w:pPr>
    </w:p>
    <w:p>
      <w:pPr>
        <w:ind w:left="1720" w:hanging="416"/>
        <w:spacing w:after="0"/>
        <w:tabs>
          <w:tab w:leader="none" w:pos="172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make any Note payable in money other than that stated in the Notes;</w:t>
      </w:r>
    </w:p>
    <w:p>
      <w:pPr>
        <w:spacing w:after="0" w:line="175" w:lineRule="exact"/>
        <w:rPr>
          <w:rFonts w:ascii="Arial" w:cs="Arial" w:eastAsia="Arial" w:hAnsi="Arial"/>
          <w:sz w:val="20"/>
          <w:szCs w:val="20"/>
          <w:color w:val="auto"/>
        </w:rPr>
      </w:pPr>
    </w:p>
    <w:p>
      <w:pPr>
        <w:jc w:val="both"/>
        <w:ind w:firstLine="1304"/>
        <w:spacing w:after="0" w:line="237" w:lineRule="auto"/>
        <w:tabs>
          <w:tab w:leader="none" w:pos="172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make any change in the provisions of this Indenture relating to waivers of past Defaults or the rights of Holders of the Notes to receive payments of principal of, premium on, if any, or interest on, the Notes (other than a payment required by Section 3.09, 4.10 or 4.15);</w:t>
      </w:r>
    </w:p>
    <w:p>
      <w:pPr>
        <w:spacing w:after="0" w:line="169" w:lineRule="exact"/>
        <w:rPr>
          <w:rFonts w:ascii="Arial" w:cs="Arial" w:eastAsia="Arial" w:hAnsi="Arial"/>
          <w:sz w:val="20"/>
          <w:szCs w:val="20"/>
          <w:color w:val="auto"/>
        </w:rPr>
      </w:pPr>
    </w:p>
    <w:p>
      <w:pPr>
        <w:ind w:right="20" w:firstLine="1304"/>
        <w:spacing w:after="0" w:line="246" w:lineRule="auto"/>
        <w:tabs>
          <w:tab w:leader="none" w:pos="174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waive a redemption or repurchase payment with respect to any Note (for the avoidance of doubt, other than a payment required by Section 3.09, 4.10 or 4.15);</w:t>
      </w:r>
    </w:p>
    <w:p>
      <w:pPr>
        <w:spacing w:after="0" w:line="163" w:lineRule="exact"/>
        <w:rPr>
          <w:rFonts w:ascii="Arial" w:cs="Arial" w:eastAsia="Arial" w:hAnsi="Arial"/>
          <w:sz w:val="20"/>
          <w:szCs w:val="20"/>
          <w:color w:val="auto"/>
        </w:rPr>
      </w:pPr>
    </w:p>
    <w:p>
      <w:pPr>
        <w:ind w:firstLine="1304"/>
        <w:spacing w:after="0" w:line="246" w:lineRule="auto"/>
        <w:tabs>
          <w:tab w:leader="none" w:pos="1764" w:val="left"/>
        </w:tabs>
        <w:numPr>
          <w:ilvl w:val="1"/>
          <w:numId w:val="152"/>
        </w:numPr>
        <w:rPr>
          <w:rFonts w:ascii="Arial" w:cs="Arial" w:eastAsia="Arial" w:hAnsi="Arial"/>
          <w:sz w:val="20"/>
          <w:szCs w:val="20"/>
          <w:color w:val="auto"/>
        </w:rPr>
      </w:pPr>
      <w:r>
        <w:rPr>
          <w:rFonts w:ascii="Arial" w:cs="Arial" w:eastAsia="Arial" w:hAnsi="Arial"/>
          <w:sz w:val="20"/>
          <w:szCs w:val="20"/>
          <w:color w:val="auto"/>
        </w:rPr>
        <w:t>release any Guarantor from any of its obligations under its Guarantee or this Indenture, except in accordance with the terms of this Indenture; or</w:t>
      </w:r>
    </w:p>
    <w:p>
      <w:pPr>
        <w:spacing w:after="0" w:line="149" w:lineRule="exact"/>
        <w:rPr>
          <w:rFonts w:ascii="Arial" w:cs="Arial" w:eastAsia="Arial" w:hAnsi="Arial"/>
          <w:sz w:val="20"/>
          <w:szCs w:val="20"/>
          <w:color w:val="auto"/>
        </w:rPr>
      </w:pPr>
    </w:p>
    <w:p>
      <w:pPr>
        <w:ind w:left="1680" w:hanging="376"/>
        <w:spacing w:after="0"/>
        <w:tabs>
          <w:tab w:leader="none" w:pos="168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make any change in the preceding amendment, supplement and waiver provisions.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6"/>
          <w:szCs w:val="16"/>
          <w:i w:val="1"/>
          <w:iCs w:val="1"/>
          <w:color w:val="auto"/>
        </w:rPr>
        <w:t>Revocation and Effect of Consents.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 (a) 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8"/>
          <w:szCs w:val="18"/>
          <w:i w:val="1"/>
          <w:iCs w:val="1"/>
          <w:color w:val="auto"/>
        </w:rPr>
        <w:t>Notation on or Exchange of Notes.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make the appropriate notation or issue a new Note will not affect the validity and effect of such amendment, supplement or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waiver.</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9.05</w:t>
      </w:r>
      <w:r>
        <w:rPr>
          <w:sz w:val="20"/>
          <w:szCs w:val="20"/>
          <w:color w:val="auto"/>
        </w:rPr>
        <w:tab/>
      </w:r>
      <w:r>
        <w:rPr>
          <w:rFonts w:ascii="Arial" w:cs="Arial" w:eastAsia="Arial" w:hAnsi="Arial"/>
          <w:sz w:val="16"/>
          <w:szCs w:val="16"/>
          <w:i w:val="1"/>
          <w:iCs w:val="1"/>
          <w:color w:val="auto"/>
        </w:rPr>
        <w:t>Trustee to Sign Amendments, etc.</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Trustee will sign any amended or supplemental indenture authorized pursuant to this Article 9 if the amendment or supplement does not adversely affect the rights, duties,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6"/>
          <w:szCs w:val="16"/>
          <w:i w:val="1"/>
          <w:iCs w:val="1"/>
          <w:color w:val="auto"/>
        </w:rPr>
        <w:t>Effect of Supplemental Indentures.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GUARANTEES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10.01</w:t>
      </w:r>
      <w:r>
        <w:rPr>
          <w:sz w:val="20"/>
          <w:szCs w:val="20"/>
          <w:color w:val="auto"/>
        </w:rPr>
        <w:tab/>
      </w:r>
      <w:r>
        <w:rPr>
          <w:rFonts w:ascii="Arial" w:cs="Arial" w:eastAsia="Arial" w:hAnsi="Arial"/>
          <w:sz w:val="16"/>
          <w:szCs w:val="16"/>
          <w:i w:val="1"/>
          <w:iCs w:val="1"/>
          <w:color w:val="auto"/>
        </w:rPr>
        <w:t>Guarantee.</w:t>
      </w:r>
    </w:p>
    <w:p>
      <w:pPr>
        <w:spacing w:after="0" w:line="189" w:lineRule="exact"/>
        <w:rPr>
          <w:sz w:val="20"/>
          <w:szCs w:val="20"/>
          <w:color w:val="auto"/>
        </w:rPr>
      </w:pPr>
    </w:p>
    <w:p>
      <w:pPr>
        <w:jc w:val="both"/>
        <w:ind w:firstLine="1304"/>
        <w:spacing w:after="0" w:line="254" w:lineRule="auto"/>
        <w:tabs>
          <w:tab w:leader="none" w:pos="180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143" w:lineRule="exact"/>
        <w:rPr>
          <w:rFonts w:ascii="Arial" w:cs="Arial" w:eastAsia="Arial" w:hAnsi="Arial"/>
          <w:sz w:val="19"/>
          <w:szCs w:val="19"/>
          <w:color w:val="auto"/>
        </w:rPr>
      </w:pPr>
    </w:p>
    <w:p>
      <w:pPr>
        <w:jc w:val="both"/>
        <w:ind w:left="660" w:firstLine="1292"/>
        <w:spacing w:after="0" w:line="248" w:lineRule="auto"/>
        <w:tabs>
          <w:tab w:leader="none" w:pos="240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63" w:lineRule="exact"/>
        <w:rPr>
          <w:rFonts w:ascii="Arial" w:cs="Arial" w:eastAsia="Arial" w:hAnsi="Arial"/>
          <w:sz w:val="19"/>
          <w:szCs w:val="19"/>
          <w:color w:val="auto"/>
        </w:rPr>
      </w:pPr>
    </w:p>
    <w:p>
      <w:pPr>
        <w:jc w:val="both"/>
        <w:ind w:left="660" w:firstLine="1292"/>
        <w:spacing w:after="0" w:line="237" w:lineRule="auto"/>
        <w:tabs>
          <w:tab w:leader="none" w:pos="238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56" w:lineRule="exact"/>
        <w:rPr>
          <w:sz w:val="20"/>
          <w:szCs w:val="20"/>
          <w:color w:val="auto"/>
        </w:rPr>
      </w:pPr>
    </w:p>
    <w:p>
      <w:pPr>
        <w:jc w:val="both"/>
        <w:ind w:firstLine="1304"/>
        <w:spacing w:after="0" w:line="258" w:lineRule="auto"/>
        <w:tabs>
          <w:tab w:leader="none" w:pos="172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56" w:lineRule="exact"/>
        <w:rPr>
          <w:rFonts w:ascii="Arial" w:cs="Arial" w:eastAsia="Arial" w:hAnsi="Arial"/>
          <w:sz w:val="18"/>
          <w:szCs w:val="18"/>
          <w:color w:val="auto"/>
        </w:rPr>
      </w:pPr>
    </w:p>
    <w:p>
      <w:pPr>
        <w:jc w:val="both"/>
        <w:ind w:firstLine="1304"/>
        <w:spacing w:after="0" w:line="254" w:lineRule="auto"/>
        <w:tabs>
          <w:tab w:leader="none" w:pos="1841"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56" w:lineRule="exact"/>
        <w:rPr>
          <w:rFonts w:ascii="Arial" w:cs="Arial" w:eastAsia="Arial" w:hAnsi="Arial"/>
          <w:sz w:val="19"/>
          <w:szCs w:val="19"/>
          <w:color w:val="auto"/>
        </w:rPr>
      </w:pPr>
    </w:p>
    <w:p>
      <w:pPr>
        <w:jc w:val="both"/>
        <w:ind w:firstLine="1304"/>
        <w:spacing w:after="0" w:line="257" w:lineRule="auto"/>
        <w:tabs>
          <w:tab w:leader="none" w:pos="17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4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8"/>
          <w:szCs w:val="18"/>
          <w:i w:val="1"/>
          <w:iCs w:val="1"/>
          <w:color w:val="auto"/>
        </w:rPr>
        <w:t>Limitation on Guarantor Liability.</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10.03</w:t>
      </w:r>
      <w:r>
        <w:rPr>
          <w:sz w:val="20"/>
          <w:szCs w:val="20"/>
          <w:color w:val="auto"/>
        </w:rPr>
        <w:tab/>
      </w:r>
      <w:r>
        <w:rPr>
          <w:rFonts w:ascii="Arial" w:cs="Arial" w:eastAsia="Arial" w:hAnsi="Arial"/>
          <w:sz w:val="16"/>
          <w:szCs w:val="16"/>
          <w:i w:val="1"/>
          <w:iCs w:val="1"/>
          <w:color w:val="auto"/>
        </w:rPr>
        <w:t>Guarantee Evidenced by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Guarantee of any Guarantor shall be evidenced solely by its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Indenture (or, in the case of any Guarantor that is not party to this Indenture on the Issue Date, a supplemental indenture hereto) and not by an endorsement on, or attachment to, any Note or any Guarantee or notation thereof.</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Guarantor hereby agrees that its Guarantee set forth in Section 10.01 will remain in full force and effect notwithstanding any failure to endorse on each Note a notation of such Guarantee.</w:t>
      </w:r>
    </w:p>
    <w:p>
      <w:pPr>
        <w:spacing w:after="0" w:line="16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delivery of any Note by the Trustee, after the authentication thereof hereunder, will constitute due delivery of the Guarantee set forth in this Indenture on behalf of the Guarantors.</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10.04</w:t>
      </w:r>
      <w:r>
        <w:rPr>
          <w:sz w:val="20"/>
          <w:szCs w:val="20"/>
          <w:color w:val="auto"/>
        </w:rPr>
        <w:tab/>
      </w:r>
      <w:r>
        <w:rPr>
          <w:rFonts w:ascii="Arial" w:cs="Arial" w:eastAsia="Arial" w:hAnsi="Arial"/>
          <w:sz w:val="16"/>
          <w:szCs w:val="16"/>
          <w:i w:val="1"/>
          <w:iCs w:val="1"/>
          <w:color w:val="auto"/>
        </w:rPr>
        <w:t>Releases.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169" w:lineRule="exact"/>
        <w:rPr>
          <w:sz w:val="20"/>
          <w:szCs w:val="20"/>
          <w:color w:val="auto"/>
        </w:rPr>
      </w:pPr>
    </w:p>
    <w:p>
      <w:pPr>
        <w:jc w:val="both"/>
        <w:ind w:firstLine="1304"/>
        <w:spacing w:after="0" w:line="237" w:lineRule="auto"/>
        <w:tabs>
          <w:tab w:leader="none" w:pos="171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69" w:lineRule="exact"/>
        <w:rPr>
          <w:rFonts w:ascii="Arial" w:cs="Arial" w:eastAsia="Arial" w:hAnsi="Arial"/>
          <w:sz w:val="20"/>
          <w:szCs w:val="20"/>
          <w:color w:val="auto"/>
        </w:rPr>
      </w:pPr>
    </w:p>
    <w:p>
      <w:pPr>
        <w:jc w:val="both"/>
        <w:ind w:firstLine="1304"/>
        <w:spacing w:after="0" w:line="275" w:lineRule="auto"/>
        <w:tabs>
          <w:tab w:leader="none" w:pos="17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25" w:lineRule="exact"/>
        <w:rPr>
          <w:rFonts w:ascii="Arial" w:cs="Arial" w:eastAsia="Arial" w:hAnsi="Arial"/>
          <w:sz w:val="18"/>
          <w:szCs w:val="18"/>
          <w:color w:val="auto"/>
        </w:rPr>
      </w:pPr>
    </w:p>
    <w:p>
      <w:pPr>
        <w:ind w:left="1720" w:hanging="416"/>
        <w:spacing w:after="0"/>
        <w:tabs>
          <w:tab w:leader="none" w:pos="1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Issuer designates such Guarantor to be an Unrestricted Subsidiary in accordance with the terms of this Indenture;</w:t>
      </w:r>
    </w:p>
    <w:p>
      <w:pPr>
        <w:spacing w:after="0" w:line="211" w:lineRule="exact"/>
        <w:rPr>
          <w:rFonts w:ascii="Arial" w:cs="Arial" w:eastAsia="Arial" w:hAnsi="Arial"/>
          <w:sz w:val="18"/>
          <w:szCs w:val="18"/>
          <w:color w:val="auto"/>
        </w:rPr>
      </w:pPr>
    </w:p>
    <w:p>
      <w:pPr>
        <w:ind w:right="20" w:firstLine="1304"/>
        <w:spacing w:after="0" w:line="246" w:lineRule="auto"/>
        <w:tabs>
          <w:tab w:leader="none" w:pos="182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upon Legal Defeasance or Covenant Defeasance in accordance with Article 8 or satisfaction and discharge of this Indenture in accordance with Article 11;</w:t>
      </w:r>
    </w:p>
    <w:p>
      <w:pPr>
        <w:spacing w:after="0" w:line="163" w:lineRule="exact"/>
        <w:rPr>
          <w:rFonts w:ascii="Arial" w:cs="Arial" w:eastAsia="Arial" w:hAnsi="Arial"/>
          <w:sz w:val="20"/>
          <w:szCs w:val="20"/>
          <w:color w:val="auto"/>
        </w:rPr>
      </w:pPr>
    </w:p>
    <w:p>
      <w:pPr>
        <w:ind w:left="1800" w:hanging="496"/>
        <w:spacing w:after="0"/>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or Event of Default has occurred that is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159" w:lineRule="exact"/>
        <w:rPr>
          <w:rFonts w:ascii="Arial" w:cs="Arial" w:eastAsia="Arial" w:hAnsi="Arial"/>
          <w:sz w:val="18"/>
          <w:szCs w:val="18"/>
          <w:color w:val="auto"/>
        </w:rPr>
      </w:pPr>
    </w:p>
    <w:p>
      <w:pPr>
        <w:ind w:firstLine="1304"/>
        <w:spacing w:after="0" w:line="300" w:lineRule="auto"/>
        <w:tabs>
          <w:tab w:leader="none" w:pos="17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17" w:lineRule="exact"/>
        <w:rPr>
          <w:rFonts w:ascii="Arial" w:cs="Arial" w:eastAsia="Arial" w:hAnsi="Arial"/>
          <w:sz w:val="18"/>
          <w:szCs w:val="18"/>
          <w:color w:val="auto"/>
        </w:rPr>
      </w:pPr>
    </w:p>
    <w:p>
      <w:pPr>
        <w:jc w:val="both"/>
        <w:ind w:firstLine="1304"/>
        <w:spacing w:after="0" w:line="237" w:lineRule="auto"/>
        <w:tabs>
          <w:tab w:leader="none" w:pos="173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at such time as such Guarantor ceases to guarantee or otherwise be an obligor with respect to any other Indebtedness of the Issuer or any other Guarantor in excess of the De Minimis Guaranteed Amount;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no Event of Default has occurred that is continuing.</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SATISFACTION AND DISCHARGE</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11.01</w:t>
      </w:r>
      <w:r>
        <w:rPr>
          <w:sz w:val="20"/>
          <w:szCs w:val="20"/>
          <w:color w:val="auto"/>
        </w:rPr>
        <w:tab/>
      </w:r>
      <w:r>
        <w:rPr>
          <w:rFonts w:ascii="Arial" w:cs="Arial" w:eastAsia="Arial" w:hAnsi="Arial"/>
          <w:sz w:val="18"/>
          <w:szCs w:val="18"/>
          <w:i w:val="1"/>
          <w:iCs w:val="1"/>
          <w:color w:val="auto"/>
        </w:rPr>
        <w:t>Satisfaction and Discharge.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157" w:lineRule="exact"/>
        <w:rPr>
          <w:sz w:val="20"/>
          <w:szCs w:val="20"/>
          <w:color w:val="auto"/>
        </w:rPr>
      </w:pPr>
    </w:p>
    <w:p>
      <w:pPr>
        <w:ind w:left="1720" w:hanging="416"/>
        <w:spacing w:after="0"/>
        <w:tabs>
          <w:tab w:leader="none" w:pos="17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either:</w:t>
      </w:r>
    </w:p>
    <w:p>
      <w:pPr>
        <w:spacing w:after="0" w:line="175" w:lineRule="exact"/>
        <w:rPr>
          <w:rFonts w:ascii="Arial" w:cs="Arial" w:eastAsia="Arial" w:hAnsi="Arial"/>
          <w:sz w:val="20"/>
          <w:szCs w:val="20"/>
          <w:color w:val="auto"/>
        </w:rPr>
      </w:pPr>
    </w:p>
    <w:p>
      <w:pPr>
        <w:jc w:val="both"/>
        <w:ind w:left="660" w:firstLine="1292"/>
        <w:spacing w:after="0" w:line="237" w:lineRule="auto"/>
        <w:tabs>
          <w:tab w:leader="none" w:pos="2436"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69" w:lineRule="exact"/>
        <w:rPr>
          <w:rFonts w:ascii="Arial" w:cs="Arial" w:eastAsia="Arial" w:hAnsi="Arial"/>
          <w:sz w:val="20"/>
          <w:szCs w:val="20"/>
          <w:color w:val="auto"/>
        </w:rPr>
      </w:pPr>
    </w:p>
    <w:p>
      <w:pPr>
        <w:jc w:val="both"/>
        <w:ind w:left="660" w:firstLine="1292"/>
        <w:spacing w:after="0" w:line="287" w:lineRule="auto"/>
        <w:tabs>
          <w:tab w:leader="none" w:pos="246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or will become due and payable within one year by reason of the mailing of a notice of redemption or otherwise and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interest to the date of Stated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redemption is made as provided in Section 3.07(b)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Arial" w:cs="Arial" w:eastAsia="Arial" w:hAnsi="Arial"/>
          <w:sz w:val="16"/>
          <w:szCs w:val="16"/>
          <w:i w:val="1"/>
          <w:iCs w:val="1"/>
          <w:color w:val="auto"/>
        </w:rPr>
        <w:t>Applicable Premium Deficit</w:t>
      </w:r>
      <w:r>
        <w:rPr>
          <w:rFonts w:ascii="Arial" w:cs="Arial" w:eastAsia="Arial" w:hAnsi="Arial"/>
          <w:sz w:val="16"/>
          <w:szCs w:val="16"/>
          <w:color w:val="auto"/>
        </w:rPr>
        <w:t xml:space="preserve">”) (it being understood that any satisfaction and discharge shall be subject to the condition subsequent that such Applicable Premium Deficit is in fact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350" w:lineRule="exact"/>
        <w:rPr>
          <w:rFonts w:ascii="Arial" w:cs="Arial" w:eastAsia="Arial" w:hAnsi="Arial"/>
          <w:sz w:val="16"/>
          <w:szCs w:val="16"/>
          <w:color w:val="auto"/>
        </w:rPr>
      </w:pPr>
    </w:p>
    <w:p>
      <w:pPr>
        <w:ind w:left="1740" w:hanging="436"/>
        <w:spacing w:after="0"/>
        <w:tabs>
          <w:tab w:leader="none" w:pos="17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Issuer has paid or caused to be paid all other sums payable by the Issuer under this Indenture; and</w:t>
      </w:r>
    </w:p>
    <w:p>
      <w:pPr>
        <w:spacing w:after="0" w:line="175" w:lineRule="exact"/>
        <w:rPr>
          <w:rFonts w:ascii="Arial" w:cs="Arial" w:eastAsia="Arial" w:hAnsi="Arial"/>
          <w:sz w:val="20"/>
          <w:szCs w:val="20"/>
          <w:color w:val="auto"/>
        </w:rPr>
      </w:pPr>
    </w:p>
    <w:p>
      <w:pPr>
        <w:ind w:firstLine="1304"/>
        <w:spacing w:after="0" w:line="246" w:lineRule="auto"/>
        <w:tabs>
          <w:tab w:leader="none" w:pos="176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applicable, the Issuer has delivered irrevocable instructions to the Trustee to apply the deposited money toward the payment of the Notes at Stated Maturity or on the redemption date, as the case may be.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the Issuer must deliver an Officers’ Certificate and an Opinion of Counsel to the Trustee stating that all conditions precedent to satisfaction and discharge have been satisfied.</w:t>
      </w:r>
    </w:p>
    <w:p>
      <w:pPr>
        <w:spacing w:after="0" w:line="15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Notwithstanding the satisfaction and discharge of this Indenture, if money or Government Securities have been deposited with the Trustee pursuant to subclause (2) of clause (a) of this Section 11.01, the provisions of Sections 11.02 and 8.06 will survive. In addition, nothing in this Section 11.01 will be deemed to discharge those provisions of Section 7.07, that, by their terms, survive the satisfaction and discharge of this Indenture.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11.02</w:t>
      </w:r>
      <w:r>
        <w:rPr>
          <w:sz w:val="20"/>
          <w:szCs w:val="20"/>
          <w:color w:val="auto"/>
        </w:rPr>
        <w:tab/>
      </w:r>
      <w:r>
        <w:rPr>
          <w:rFonts w:ascii="Arial" w:cs="Arial" w:eastAsia="Arial" w:hAnsi="Arial"/>
          <w:sz w:val="18"/>
          <w:szCs w:val="18"/>
          <w:i w:val="1"/>
          <w:iCs w:val="1"/>
          <w:color w:val="auto"/>
        </w:rPr>
        <w:t>Application of Trust Money.</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or Government Securities have been deposited with the Trustee; but such money or Government Securities need not be segregated from other funds except to the extent required by law.</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5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12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12.01</w:t>
      </w:r>
      <w:r>
        <w:rPr>
          <w:sz w:val="20"/>
          <w:szCs w:val="20"/>
          <w:color w:val="auto"/>
        </w:rPr>
        <w:tab/>
      </w:r>
      <w:r>
        <w:rPr>
          <w:rFonts w:ascii="Arial" w:cs="Arial" w:eastAsia="Arial" w:hAnsi="Arial"/>
          <w:sz w:val="18"/>
          <w:szCs w:val="18"/>
          <w:i w:val="1"/>
          <w:iCs w:val="1"/>
          <w:color w:val="auto"/>
        </w:rPr>
        <w:t>[Reserved].</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12.02</w:t>
      </w:r>
      <w:r>
        <w:rPr>
          <w:sz w:val="20"/>
          <w:szCs w:val="20"/>
          <w:color w:val="auto"/>
        </w:rPr>
        <w:tab/>
      </w:r>
      <w:r>
        <w:rPr>
          <w:rFonts w:ascii="Arial" w:cs="Arial" w:eastAsia="Arial" w:hAnsi="Arial"/>
          <w:sz w:val="16"/>
          <w:szCs w:val="16"/>
          <w:i w:val="1"/>
          <w:iCs w:val="1"/>
          <w:color w:val="auto"/>
        </w:rPr>
        <w:t>Notices.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notice or communication by the Issuer, any Guarantor or the Trustee to the others is duly given if in writing in the English language and delivered in Person or by first class mail (registered or certified,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return receipt requested), electronic image scan, facsimile transmission or overnight air courier guaranteeing next day delivery, to the others’ address: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any of the Issuer and the Guarantors: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California Resources Corporation</w:t>
      </w:r>
    </w:p>
    <w:p>
      <w:pPr>
        <w:ind w:left="660"/>
        <w:spacing w:after="0" w:line="227" w:lineRule="auto"/>
        <w:rPr>
          <w:sz w:val="20"/>
          <w:szCs w:val="20"/>
          <w:color w:val="auto"/>
        </w:rPr>
      </w:pPr>
      <w:r>
        <w:rPr>
          <w:rFonts w:ascii="Arial" w:cs="Arial" w:eastAsia="Arial" w:hAnsi="Arial"/>
          <w:sz w:val="20"/>
          <w:szCs w:val="20"/>
          <w:color w:val="auto"/>
        </w:rPr>
        <w:t>27200 Tourney Road, Suite 200</w:t>
      </w:r>
    </w:p>
    <w:p>
      <w:pPr>
        <w:ind w:left="660"/>
        <w:spacing w:after="0" w:line="225" w:lineRule="auto"/>
        <w:rPr>
          <w:sz w:val="20"/>
          <w:szCs w:val="20"/>
          <w:color w:val="auto"/>
        </w:rPr>
      </w:pPr>
      <w:r>
        <w:rPr>
          <w:rFonts w:ascii="Arial" w:cs="Arial" w:eastAsia="Arial" w:hAnsi="Arial"/>
          <w:sz w:val="20"/>
          <w:szCs w:val="20"/>
          <w:color w:val="auto"/>
        </w:rPr>
        <w:t>Santa Clarita, California 91355</w:t>
      </w:r>
    </w:p>
    <w:p>
      <w:pPr>
        <w:ind w:left="660"/>
        <w:spacing w:after="0" w:line="226" w:lineRule="auto"/>
        <w:rPr>
          <w:sz w:val="20"/>
          <w:szCs w:val="20"/>
          <w:color w:val="auto"/>
        </w:rPr>
      </w:pPr>
      <w:r>
        <w:rPr>
          <w:rFonts w:ascii="Arial" w:cs="Arial" w:eastAsia="Arial" w:hAnsi="Arial"/>
          <w:sz w:val="20"/>
          <w:szCs w:val="20"/>
          <w:color w:val="auto"/>
        </w:rPr>
        <w:t>Facsimile No.: (818) 661-3750</w:t>
      </w:r>
    </w:p>
    <w:p>
      <w:pPr>
        <w:ind w:left="660"/>
        <w:spacing w:after="0"/>
        <w:rPr>
          <w:sz w:val="20"/>
          <w:szCs w:val="20"/>
          <w:color w:val="auto"/>
        </w:rPr>
      </w:pPr>
      <w:r>
        <w:rPr>
          <w:rFonts w:ascii="Arial" w:cs="Arial" w:eastAsia="Arial" w:hAnsi="Arial"/>
          <w:sz w:val="20"/>
          <w:szCs w:val="20"/>
          <w:color w:val="auto"/>
        </w:rPr>
        <w:t>Attention: Chief Financial Officer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Trustee: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Wilmington Trust, National Association</w:t>
      </w:r>
    </w:p>
    <w:p>
      <w:pPr>
        <w:ind w:left="660"/>
        <w:spacing w:after="0" w:line="227" w:lineRule="auto"/>
        <w:rPr>
          <w:sz w:val="20"/>
          <w:szCs w:val="20"/>
          <w:color w:val="auto"/>
        </w:rPr>
      </w:pPr>
      <w:r>
        <w:rPr>
          <w:rFonts w:ascii="Arial" w:cs="Arial" w:eastAsia="Arial" w:hAnsi="Arial"/>
          <w:sz w:val="20"/>
          <w:szCs w:val="20"/>
          <w:color w:val="auto"/>
        </w:rPr>
        <w:t>50 South Sixth Street, Suite 1290</w:t>
      </w:r>
    </w:p>
    <w:p>
      <w:pPr>
        <w:ind w:left="660"/>
        <w:spacing w:after="0" w:line="225" w:lineRule="auto"/>
        <w:rPr>
          <w:sz w:val="20"/>
          <w:szCs w:val="20"/>
          <w:color w:val="auto"/>
        </w:rPr>
      </w:pPr>
      <w:r>
        <w:rPr>
          <w:rFonts w:ascii="Arial" w:cs="Arial" w:eastAsia="Arial" w:hAnsi="Arial"/>
          <w:sz w:val="20"/>
          <w:szCs w:val="20"/>
          <w:color w:val="auto"/>
        </w:rPr>
        <w:t>Minneapolis, Minnesota 55402</w:t>
      </w:r>
    </w:p>
    <w:p>
      <w:pPr>
        <w:ind w:left="660"/>
        <w:spacing w:after="0" w:line="226" w:lineRule="auto"/>
        <w:rPr>
          <w:sz w:val="20"/>
          <w:szCs w:val="20"/>
          <w:color w:val="auto"/>
        </w:rPr>
      </w:pPr>
      <w:r>
        <w:rPr>
          <w:rFonts w:ascii="Arial" w:cs="Arial" w:eastAsia="Arial" w:hAnsi="Arial"/>
          <w:sz w:val="20"/>
          <w:szCs w:val="20"/>
          <w:color w:val="auto"/>
        </w:rPr>
        <w:t>Facsimile No.: (612) 217-5651</w:t>
      </w:r>
    </w:p>
    <w:p>
      <w:pPr>
        <w:ind w:left="660"/>
        <w:spacing w:after="0"/>
        <w:rPr>
          <w:sz w:val="20"/>
          <w:szCs w:val="20"/>
          <w:color w:val="auto"/>
        </w:rPr>
      </w:pPr>
      <w:r>
        <w:rPr>
          <w:rFonts w:ascii="Arial" w:cs="Arial" w:eastAsia="Arial" w:hAnsi="Arial"/>
          <w:sz w:val="20"/>
          <w:szCs w:val="20"/>
          <w:color w:val="auto"/>
        </w:rPr>
        <w:t>Attention: California Resources Corporation, Administrator</w:t>
      </w:r>
    </w:p>
    <w:p>
      <w:pPr>
        <w:spacing w:after="0" w:line="17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11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5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If a notice or communication is mailed in the manner provided above within the time prescribed, it is duly given, whether or not the addressee receives it.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Issuer mails a notice or communication to Holders, the Issuer will mail a copy to the Trustee and each Agent at the same time.</w:t>
      </w:r>
    </w:p>
    <w:p>
      <w:pPr>
        <w:spacing w:after="0" w:line="198"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 this Indenture provides for notice of any event to a Holder of a Global Note, such notice shall be sufficiently given if given to the Depositary for such Note (or its designee), pursuant to 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Applicable Procedures, not later than the latest date (if any), and not earlier than the earliest date (if any), prescribed for the giving of such notice.</w:t>
      </w:r>
    </w:p>
    <w:p>
      <w:pPr>
        <w:spacing w:after="0" w:line="15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12.03</w:t>
      </w:r>
      <w:r>
        <w:rPr>
          <w:sz w:val="20"/>
          <w:szCs w:val="20"/>
          <w:color w:val="auto"/>
        </w:rPr>
        <w:tab/>
      </w:r>
      <w:r>
        <w:rPr>
          <w:rFonts w:ascii="Arial" w:cs="Arial" w:eastAsia="Arial" w:hAnsi="Arial"/>
          <w:sz w:val="16"/>
          <w:szCs w:val="16"/>
          <w:i w:val="1"/>
          <w:iCs w:val="1"/>
          <w:color w:val="auto"/>
        </w:rPr>
        <w:t>Benefit of Indenture.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12.04</w:t>
      </w:r>
      <w:r>
        <w:rPr>
          <w:sz w:val="20"/>
          <w:szCs w:val="20"/>
          <w:color w:val="auto"/>
        </w:rPr>
        <w:tab/>
      </w:r>
      <w:r>
        <w:rPr>
          <w:rFonts w:ascii="Arial" w:cs="Arial" w:eastAsia="Arial" w:hAnsi="Arial"/>
          <w:sz w:val="18"/>
          <w:szCs w:val="18"/>
          <w:i w:val="1"/>
          <w:iCs w:val="1"/>
          <w:color w:val="auto"/>
        </w:rPr>
        <w:t>Certificate and Opinion as to Conditions Precedent.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any request or application by the Issuer to the Trustee to take any action under this Indenture, the Issuer shall furnish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Trustee:</w:t>
      </w:r>
    </w:p>
    <w:p>
      <w:pPr>
        <w:spacing w:after="0" w:line="173" w:lineRule="exact"/>
        <w:rPr>
          <w:sz w:val="20"/>
          <w:szCs w:val="20"/>
          <w:color w:val="auto"/>
        </w:rPr>
      </w:pPr>
    </w:p>
    <w:p>
      <w:pPr>
        <w:jc w:val="both"/>
        <w:ind w:firstLine="1304"/>
        <w:spacing w:after="0" w:line="237" w:lineRule="auto"/>
        <w:tabs>
          <w:tab w:leader="none" w:pos="172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69" w:lineRule="exact"/>
        <w:rPr>
          <w:rFonts w:ascii="Arial" w:cs="Arial" w:eastAsia="Arial" w:hAnsi="Arial"/>
          <w:sz w:val="20"/>
          <w:szCs w:val="20"/>
          <w:color w:val="auto"/>
        </w:rPr>
      </w:pPr>
    </w:p>
    <w:p>
      <w:pPr>
        <w:ind w:right="20" w:firstLine="1304"/>
        <w:spacing w:after="0" w:line="368" w:lineRule="auto"/>
        <w:tabs>
          <w:tab w:leader="none" w:pos="173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12.05</w:t>
      </w:r>
      <w:r>
        <w:rPr>
          <w:sz w:val="20"/>
          <w:szCs w:val="20"/>
          <w:color w:val="auto"/>
        </w:rPr>
        <w:tab/>
      </w:r>
      <w:r>
        <w:rPr>
          <w:rFonts w:ascii="Arial" w:cs="Arial" w:eastAsia="Arial" w:hAnsi="Arial"/>
          <w:sz w:val="18"/>
          <w:szCs w:val="18"/>
          <w:i w:val="1"/>
          <w:iCs w:val="1"/>
          <w:color w:val="auto"/>
        </w:rPr>
        <w:t>Statements Required in Certificate or Opinion.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certificate or opinion with respect to compliance with a condition or covenant provided for in this Indenture must include:</w:t>
      </w:r>
    </w:p>
    <w:p>
      <w:pPr>
        <w:spacing w:after="0" w:line="200" w:lineRule="exact"/>
        <w:rPr>
          <w:sz w:val="20"/>
          <w:szCs w:val="20"/>
          <w:color w:val="auto"/>
        </w:rPr>
      </w:pPr>
    </w:p>
    <w:p>
      <w:pPr>
        <w:ind w:left="1720" w:hanging="416"/>
        <w:spacing w:after="0"/>
        <w:tabs>
          <w:tab w:leader="none" w:pos="172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 statement that the person making such certificate or opinion has read such covenant or condition;</w:t>
      </w:r>
    </w:p>
    <w:p>
      <w:pPr>
        <w:spacing w:after="0" w:line="175" w:lineRule="exact"/>
        <w:rPr>
          <w:rFonts w:ascii="Arial" w:cs="Arial" w:eastAsia="Arial" w:hAnsi="Arial"/>
          <w:sz w:val="20"/>
          <w:szCs w:val="20"/>
          <w:color w:val="auto"/>
        </w:rPr>
      </w:pPr>
    </w:p>
    <w:p>
      <w:pPr>
        <w:ind w:firstLine="1304"/>
        <w:spacing w:after="0" w:line="246" w:lineRule="auto"/>
        <w:tabs>
          <w:tab w:leader="none" w:pos="175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 brief statement as to the nature and scope of the examination or investigation upon which the statements or opinions contained in such certificate or opinion are based;</w:t>
      </w:r>
    </w:p>
    <w:p>
      <w:pPr>
        <w:spacing w:after="0" w:line="163" w:lineRule="exact"/>
        <w:rPr>
          <w:rFonts w:ascii="Arial" w:cs="Arial" w:eastAsia="Arial" w:hAnsi="Arial"/>
          <w:sz w:val="20"/>
          <w:szCs w:val="20"/>
          <w:color w:val="auto"/>
        </w:rPr>
      </w:pPr>
    </w:p>
    <w:p>
      <w:pPr>
        <w:ind w:firstLine="1304"/>
        <w:spacing w:after="0" w:line="300" w:lineRule="auto"/>
        <w:tabs>
          <w:tab w:leader="none" w:pos="173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17" w:lineRule="exact"/>
        <w:rPr>
          <w:rFonts w:ascii="Arial" w:cs="Arial" w:eastAsia="Arial" w:hAnsi="Arial"/>
          <w:sz w:val="18"/>
          <w:szCs w:val="18"/>
          <w:color w:val="auto"/>
        </w:rPr>
      </w:pPr>
    </w:p>
    <w:p>
      <w:pPr>
        <w:ind w:left="1740" w:hanging="436"/>
        <w:spacing w:after="0"/>
        <w:tabs>
          <w:tab w:leader="none" w:pos="17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 satisfied.</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5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12.06</w:t>
      </w:r>
      <w:r>
        <w:rPr>
          <w:sz w:val="20"/>
          <w:szCs w:val="20"/>
          <w:color w:val="auto"/>
        </w:rPr>
        <w:tab/>
      </w:r>
      <w:r>
        <w:rPr>
          <w:rFonts w:ascii="Arial" w:cs="Arial" w:eastAsia="Arial" w:hAnsi="Arial"/>
          <w:sz w:val="16"/>
          <w:szCs w:val="16"/>
          <w:i w:val="1"/>
          <w:iCs w:val="1"/>
          <w:color w:val="auto"/>
        </w:rPr>
        <w:t>Rules by Trustee and Agents.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Trustee may make reasonable rules for action by or at a meeting of Holders. The Registrar or Paying Agent may make reasonable rules and set reasonable requirements for its functions.</w:t>
      </w:r>
    </w:p>
    <w:p>
      <w:pPr>
        <w:spacing w:after="0" w:line="15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12.07</w:t>
      </w:r>
      <w:r>
        <w:rPr>
          <w:sz w:val="20"/>
          <w:szCs w:val="20"/>
          <w:color w:val="auto"/>
        </w:rPr>
        <w:tab/>
      </w:r>
      <w:r>
        <w:rPr>
          <w:rFonts w:ascii="Arial" w:cs="Arial" w:eastAsia="Arial" w:hAnsi="Arial"/>
          <w:sz w:val="18"/>
          <w:szCs w:val="18"/>
          <w:i w:val="1"/>
          <w:iCs w:val="1"/>
          <w:color w:val="auto"/>
        </w:rPr>
        <w:t>No Personal Liability of Directors, Officers, Employees and Members.</w:t>
      </w:r>
    </w:p>
    <w:p>
      <w:pPr>
        <w:spacing w:after="0" w:line="1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12.08</w:t>
      </w:r>
      <w:r>
        <w:rPr>
          <w:sz w:val="20"/>
          <w:szCs w:val="20"/>
          <w:color w:val="auto"/>
        </w:rPr>
        <w:tab/>
      </w:r>
      <w:r>
        <w:rPr>
          <w:rFonts w:ascii="Arial" w:cs="Arial" w:eastAsia="Arial" w:hAnsi="Arial"/>
          <w:sz w:val="18"/>
          <w:szCs w:val="18"/>
          <w:i w:val="1"/>
          <w:iCs w:val="1"/>
          <w:color w:val="auto"/>
        </w:rPr>
        <w:t>Governing Law; Jurisdiction.</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12.10</w:t>
      </w:r>
      <w:r>
        <w:rPr>
          <w:sz w:val="20"/>
          <w:szCs w:val="20"/>
          <w:color w:val="auto"/>
        </w:rPr>
        <w:tab/>
      </w:r>
      <w:r>
        <w:rPr>
          <w:rFonts w:ascii="Arial" w:cs="Arial" w:eastAsia="Arial" w:hAnsi="Arial"/>
          <w:sz w:val="16"/>
          <w:szCs w:val="16"/>
          <w:i w:val="1"/>
          <w:iCs w:val="1"/>
          <w:color w:val="auto"/>
        </w:rPr>
        <w:t>Successors.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12.11</w:t>
      </w:r>
      <w:r>
        <w:rPr>
          <w:sz w:val="20"/>
          <w:szCs w:val="20"/>
          <w:color w:val="auto"/>
        </w:rPr>
        <w:tab/>
      </w:r>
      <w:r>
        <w:rPr>
          <w:rFonts w:ascii="Arial" w:cs="Arial" w:eastAsia="Arial" w:hAnsi="Arial"/>
          <w:sz w:val="18"/>
          <w:szCs w:val="18"/>
          <w:i w:val="1"/>
          <w:iCs w:val="1"/>
          <w:color w:val="auto"/>
        </w:rPr>
        <w:t>Severability; Entire Agreement.</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12.12</w:t>
      </w:r>
      <w:r>
        <w:rPr>
          <w:sz w:val="20"/>
          <w:szCs w:val="20"/>
          <w:color w:val="auto"/>
        </w:rPr>
        <w:tab/>
      </w:r>
      <w:r>
        <w:rPr>
          <w:rFonts w:ascii="Arial" w:cs="Arial" w:eastAsia="Arial" w:hAnsi="Arial"/>
          <w:sz w:val="18"/>
          <w:szCs w:val="18"/>
          <w:i w:val="1"/>
          <w:iCs w:val="1"/>
          <w:color w:val="auto"/>
        </w:rPr>
        <w:t>Counterpart Originals.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parties may sign any number of copies of this Indenture, and each party hereto may sign any number of separate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4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18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1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12.14</w:t>
      </w:r>
      <w:r>
        <w:rPr>
          <w:sz w:val="20"/>
          <w:szCs w:val="20"/>
          <w:color w:val="auto"/>
        </w:rPr>
        <w:tab/>
      </w:r>
      <w:r>
        <w:rPr>
          <w:rFonts w:ascii="Arial" w:cs="Arial" w:eastAsia="Arial" w:hAnsi="Arial"/>
          <w:sz w:val="16"/>
          <w:szCs w:val="16"/>
          <w:i w:val="1"/>
          <w:iCs w:val="1"/>
          <w:color w:val="auto"/>
        </w:rPr>
        <w:t>Payment Date Other Than a Business Day.</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12.15</w:t>
      </w:r>
      <w:r>
        <w:rPr>
          <w:sz w:val="20"/>
          <w:szCs w:val="20"/>
          <w:color w:val="auto"/>
        </w:rPr>
        <w:tab/>
      </w:r>
      <w:r>
        <w:rPr>
          <w:rFonts w:ascii="Arial" w:cs="Arial" w:eastAsia="Arial" w:hAnsi="Arial"/>
          <w:sz w:val="18"/>
          <w:szCs w:val="18"/>
          <w:i w:val="1"/>
          <w:iCs w:val="1"/>
          <w:color w:val="auto"/>
        </w:rPr>
        <w:t>Action by Holders.</w:t>
      </w:r>
    </w:p>
    <w:p>
      <w:pPr>
        <w:spacing w:after="0" w:line="189" w:lineRule="exact"/>
        <w:rPr>
          <w:sz w:val="20"/>
          <w:szCs w:val="20"/>
          <w:color w:val="auto"/>
        </w:rPr>
      </w:pPr>
    </w:p>
    <w:p>
      <w:pPr>
        <w:jc w:val="both"/>
        <w:ind w:firstLine="1304"/>
        <w:spacing w:after="0" w:line="258" w:lineRule="auto"/>
        <w:tabs>
          <w:tab w:leader="none" w:pos="1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“Act” of the Holders signing such instrument or instruments. Proof of execution of any such instrument or of a writing appointing any such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agent shall be sufficient for any purpose of this Indenture and conclusive in favor of the Trustee and the Issuer if made in the manner provided in this Section 12.15.</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w:t>
      </w:r>
    </w:p>
    <w:p>
      <w:pPr>
        <w:spacing w:after="0" w:line="1" w:lineRule="exact"/>
        <w:rPr>
          <w:sz w:val="20"/>
          <w:szCs w:val="20"/>
          <w:color w:val="auto"/>
        </w:rPr>
      </w:pPr>
    </w:p>
    <w:p>
      <w:pPr>
        <w:jc w:val="both"/>
        <w:ind w:firstLine="8"/>
        <w:spacing w:after="0" w:line="258" w:lineRule="auto"/>
        <w:tabs>
          <w:tab w:leader="none" w:pos="3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 respect to any Global Note the Depositary for which is DTC, any consent or other action given, made or taken by an “agent member” of DTC by electronic means in accordance with the Automated Tender Offer Procedures system or other customary procedures of, and pursuant to authorization by, DTC shall be deemed to constitute the “</w:t>
      </w:r>
      <w:r>
        <w:rPr>
          <w:rFonts w:ascii="Arial" w:cs="Arial" w:eastAsia="Arial" w:hAnsi="Arial"/>
          <w:sz w:val="18"/>
          <w:szCs w:val="18"/>
          <w:i w:val="1"/>
          <w:iCs w:val="1"/>
          <w:color w:val="auto"/>
        </w:rPr>
        <w:t>Act</w:t>
      </w:r>
      <w:r>
        <w:rPr>
          <w:rFonts w:ascii="Arial" w:cs="Arial" w:eastAsia="Arial" w:hAnsi="Arial"/>
          <w:sz w:val="18"/>
          <w:szCs w:val="18"/>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53" w:lineRule="exact"/>
        <w:rPr>
          <w:rFonts w:ascii="Arial" w:cs="Arial" w:eastAsia="Arial" w:hAnsi="Arial"/>
          <w:sz w:val="18"/>
          <w:szCs w:val="18"/>
          <w:color w:val="auto"/>
        </w:rPr>
      </w:pPr>
    </w:p>
    <w:p>
      <w:pPr>
        <w:jc w:val="both"/>
        <w:ind w:firstLine="1304"/>
        <w:spacing w:after="0" w:line="260" w:lineRule="auto"/>
        <w:tabs>
          <w:tab w:leader="none" w:pos="173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53" w:lineRule="exact"/>
        <w:rPr>
          <w:rFonts w:ascii="Arial" w:cs="Arial" w:eastAsia="Arial" w:hAnsi="Arial"/>
          <w:sz w:val="18"/>
          <w:szCs w:val="18"/>
          <w:color w:val="auto"/>
        </w:rPr>
      </w:pPr>
    </w:p>
    <w:p>
      <w:pPr>
        <w:jc w:val="both"/>
        <w:ind w:firstLine="1304"/>
        <w:spacing w:after="0" w:line="237" w:lineRule="auto"/>
        <w:tabs>
          <w:tab w:leader="none" w:pos="1765" w:val="left"/>
        </w:tabs>
        <w:numPr>
          <w:ilvl w:val="1"/>
          <w:numId w:val="16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55" w:lineRule="exact"/>
        <w:rPr>
          <w:rFonts w:ascii="Arial" w:cs="Arial" w:eastAsia="Arial" w:hAnsi="Arial"/>
          <w:sz w:val="20"/>
          <w:szCs w:val="20"/>
          <w:color w:val="auto"/>
        </w:rPr>
      </w:pPr>
    </w:p>
    <w:p>
      <w:pPr>
        <w:jc w:val="both"/>
        <w:ind w:firstLine="1304"/>
        <w:spacing w:after="0" w:line="254" w:lineRule="auto"/>
        <w:tabs>
          <w:tab w:leader="none" w:pos="176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2" w:lineRule="exact"/>
        <w:rPr>
          <w:sz w:val="20"/>
          <w:szCs w:val="20"/>
          <w:color w:val="auto"/>
        </w:rPr>
      </w:pPr>
    </w:p>
    <w:p>
      <w:pPr>
        <w:jc w:val="both"/>
        <w:ind w:firstLine="1304"/>
        <w:spacing w:after="0" w:line="234" w:lineRule="auto"/>
        <w:tabs>
          <w:tab w:leader="none" w:pos="182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56" w:lineRule="exact"/>
        <w:rPr>
          <w:rFonts w:ascii="Arial" w:cs="Arial" w:eastAsia="Arial" w:hAnsi="Arial"/>
          <w:sz w:val="20"/>
          <w:szCs w:val="20"/>
          <w:color w:val="auto"/>
        </w:rPr>
      </w:pPr>
    </w:p>
    <w:p>
      <w:pPr>
        <w:jc w:val="both"/>
        <w:ind w:firstLine="1304"/>
        <w:spacing w:after="0" w:line="254" w:lineRule="auto"/>
        <w:tabs>
          <w:tab w:leader="none" w:pos="173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56" w:lineRule="exact"/>
        <w:rPr>
          <w:rFonts w:ascii="Arial" w:cs="Arial" w:eastAsia="Arial" w:hAnsi="Arial"/>
          <w:sz w:val="19"/>
          <w:szCs w:val="19"/>
          <w:color w:val="auto"/>
        </w:rPr>
      </w:pPr>
    </w:p>
    <w:p>
      <w:pPr>
        <w:ind w:right="20" w:firstLine="1304"/>
        <w:spacing w:after="0" w:line="246" w:lineRule="auto"/>
        <w:tabs>
          <w:tab w:leader="none" w:pos="178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For purposes of this Indenture, any action by the Holders which may be taken in writing may be taken by electronic means or as otherwise reasonably acceptable to the Trustee.</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12.16</w:t>
      </w:r>
      <w:r>
        <w:rPr>
          <w:sz w:val="20"/>
          <w:szCs w:val="20"/>
          <w:color w:val="auto"/>
        </w:rPr>
        <w:tab/>
      </w:r>
      <w:r>
        <w:rPr>
          <w:rFonts w:ascii="Arial" w:cs="Arial" w:eastAsia="Arial" w:hAnsi="Arial"/>
          <w:sz w:val="18"/>
          <w:szCs w:val="18"/>
          <w:i w:val="1"/>
          <w:iCs w:val="1"/>
          <w:color w:val="auto"/>
        </w:rPr>
        <w:t>Waiver of Jury Trial.</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12.17</w:t>
      </w:r>
      <w:r>
        <w:rPr>
          <w:sz w:val="20"/>
          <w:szCs w:val="20"/>
          <w:color w:val="auto"/>
        </w:rPr>
        <w:tab/>
      </w:r>
      <w:r>
        <w:rPr>
          <w:rFonts w:ascii="Arial" w:cs="Arial" w:eastAsia="Arial" w:hAnsi="Arial"/>
          <w:sz w:val="18"/>
          <w:szCs w:val="18"/>
          <w:i w:val="1"/>
          <w:iCs w:val="1"/>
          <w:color w:val="auto"/>
        </w:rPr>
        <w:t>Electronic Delivery.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Trustee shall have the right to accept and act upon instructions, including funds transfer instructions (“</w:t>
      </w:r>
      <w:r>
        <w:rPr>
          <w:rFonts w:ascii="Arial" w:cs="Arial" w:eastAsia="Arial" w:hAnsi="Arial"/>
          <w:sz w:val="18"/>
          <w:szCs w:val="18"/>
          <w:i w:val="1"/>
          <w:iCs w:val="1"/>
          <w:color w:val="auto"/>
        </w:rPr>
        <w:t>Instructions</w:t>
      </w:r>
      <w:r>
        <w:rPr>
          <w:rFonts w:ascii="Arial" w:cs="Arial" w:eastAsia="Arial" w:hAnsi="Arial"/>
          <w:sz w:val="18"/>
          <w:szCs w:val="18"/>
          <w:color w:val="auto"/>
        </w:rPr>
        <w:t>”) given pursuant to this Indenture and delivered using Electronic Means; provided, however, that the Issuer and/or any Guarantor shall provide to the an incumbency certificate listing officers with the authority to provide such Instructions (“</w:t>
      </w:r>
      <w:r>
        <w:rPr>
          <w:rFonts w:ascii="Arial" w:cs="Arial" w:eastAsia="Arial" w:hAnsi="Arial"/>
          <w:sz w:val="18"/>
          <w:szCs w:val="18"/>
          <w:i w:val="1"/>
          <w:iCs w:val="1"/>
          <w:color w:val="auto"/>
        </w:rPr>
        <w:t>Authorized Officers</w:t>
      </w:r>
      <w:r>
        <w:rPr>
          <w:rFonts w:ascii="Arial" w:cs="Arial" w:eastAsia="Arial" w:hAnsi="Arial"/>
          <w:sz w:val="18"/>
          <w:szCs w:val="18"/>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5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12.18</w:t>
      </w:r>
      <w:r>
        <w:rPr>
          <w:sz w:val="20"/>
          <w:szCs w:val="20"/>
          <w:color w:val="auto"/>
        </w:rPr>
        <w:tab/>
      </w:r>
      <w:r>
        <w:rPr>
          <w:rFonts w:ascii="Arial" w:cs="Arial" w:eastAsia="Arial" w:hAnsi="Arial"/>
          <w:sz w:val="16"/>
          <w:szCs w:val="16"/>
          <w:i w:val="1"/>
          <w:iCs w:val="1"/>
          <w:color w:val="auto"/>
        </w:rPr>
        <w:t>Language of Notices, Etc.</w:t>
      </w:r>
    </w:p>
    <w:p>
      <w:pPr>
        <w:spacing w:after="0" w:line="18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9"/>
          <w:szCs w:val="19"/>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1440" w:right="339" w:bottom="1440" w:gutter="0" w:footer="0" w:header="0"/>
        </w:sectPr>
      </w:pPr>
    </w:p>
    <w:bookmarkStart w:id="122" w:name="page123"/>
    <w:bookmarkEnd w:id="122"/>
    <w:p>
      <w:pPr>
        <w:jc w:val="center"/>
        <w:ind w:right="-139"/>
        <w:spacing w:after="0"/>
        <w:rPr>
          <w:sz w:val="20"/>
          <w:szCs w:val="20"/>
          <w:color w:val="auto"/>
        </w:rPr>
      </w:pPr>
      <w:r>
        <w:rPr>
          <w:rFonts w:ascii="Arial" w:cs="Arial" w:eastAsia="Arial" w:hAnsi="Arial"/>
          <w:sz w:val="20"/>
          <w:szCs w:val="20"/>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Dated as of January 20, 2021</w:t>
      </w:r>
    </w:p>
    <w:p>
      <w:pPr>
        <w:spacing w:after="0" w:line="24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CALIFORNIA RESOURCES CORPORATION,</w:t>
      </w:r>
    </w:p>
    <w:p>
      <w:pPr>
        <w:ind w:left="5040"/>
        <w:spacing w:after="0"/>
        <w:rPr>
          <w:sz w:val="20"/>
          <w:szCs w:val="20"/>
          <w:color w:val="auto"/>
        </w:rPr>
      </w:pPr>
      <w:r>
        <w:rPr>
          <w:rFonts w:ascii="Arial" w:cs="Arial" w:eastAsia="Arial" w:hAnsi="Arial"/>
          <w:sz w:val="20"/>
          <w:szCs w:val="20"/>
          <w:color w:val="auto"/>
        </w:rPr>
        <w:t>as the Issuer</w:t>
      </w:r>
    </w:p>
    <w:p>
      <w:pPr>
        <w:spacing w:after="0" w:line="200" w:lineRule="exact"/>
        <w:rPr>
          <w:sz w:val="20"/>
          <w:szCs w:val="20"/>
          <w:color w:val="auto"/>
        </w:rPr>
      </w:pPr>
    </w:p>
    <w:p>
      <w:pPr>
        <w:spacing w:after="0" w:line="337" w:lineRule="exact"/>
        <w:rPr>
          <w:sz w:val="20"/>
          <w:szCs w:val="20"/>
          <w:color w:val="auto"/>
        </w:rPr>
      </w:pPr>
    </w:p>
    <w:tbl>
      <w:tblPr>
        <w:tblLayout w:type="fixed"/>
        <w:tblInd w:w="504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397"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GUARANTORS</w:t>
      </w:r>
    </w:p>
    <w:p>
      <w:pPr>
        <w:spacing w:after="0" w:line="29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CALIFORNIA RESOURCES ELK HILLS, LLC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CALIFORNIA RESOURCES REAL ESTATE VENTURES, LLC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CRC CONSTRUCTION SERVICES, LLC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CRC SERVICES, LLC</w:t>
      </w:r>
    </w:p>
    <w:p>
      <w:pPr>
        <w:spacing w:after="0" w:line="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SOCAL HOLDING, LLC</w:t>
      </w:r>
    </w:p>
    <w:p>
      <w:pPr>
        <w:spacing w:after="0" w:line="303" w:lineRule="exact"/>
        <w:rPr>
          <w:sz w:val="20"/>
          <w:szCs w:val="20"/>
          <w:color w:val="auto"/>
        </w:rPr>
      </w:pPr>
    </w:p>
    <w:tbl>
      <w:tblPr>
        <w:tblLayout w:type="fixed"/>
        <w:tblInd w:w="504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400" w:type="dxa"/>
            <w:vAlign w:val="bottom"/>
            <w:gridSpan w:val="3"/>
          </w:tcPr>
          <w:p>
            <w:pPr>
              <w:ind w:left="20"/>
              <w:spacing w:after="0"/>
              <w:rPr>
                <w:sz w:val="20"/>
                <w:szCs w:val="20"/>
                <w:color w:val="auto"/>
              </w:rPr>
            </w:pPr>
            <w:r>
              <w:rPr>
                <w:rFonts w:ascii="Arial" w:cs="Arial" w:eastAsia="Arial" w:hAnsi="Arial"/>
                <w:sz w:val="20"/>
                <w:szCs w:val="20"/>
                <w:color w:val="auto"/>
                <w:w w:val="95"/>
              </w:rPr>
              <w:t>CALIFORNIA RESOURCES CORPORATION, as sole member</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400" w:type="dxa"/>
            <w:vAlign w:val="bottom"/>
            <w:gridSpan w:val="3"/>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Francisco J. Leon</w:t>
            </w:r>
          </w:p>
        </w:tc>
        <w:tc>
          <w:tcPr>
            <w:tcW w:w="720" w:type="dxa"/>
            <w:vAlign w:val="bottom"/>
          </w:tcPr>
          <w:p>
            <w:pPr>
              <w:spacing w:after="0"/>
              <w:rPr>
                <w:sz w:val="20"/>
                <w:szCs w:val="20"/>
                <w:color w:val="auto"/>
              </w:rPr>
            </w:pP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4660" w:type="dxa"/>
            <w:vAlign w:val="bottom"/>
            <w:gridSpan w:val="2"/>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60" w:type="dxa"/>
            <w:vAlign w:val="bottom"/>
            <w:gridSpan w:val="2"/>
          </w:tcPr>
          <w:p>
            <w:pPr>
              <w:ind w:left="180"/>
              <w:spacing w:after="0"/>
              <w:rPr>
                <w:sz w:val="20"/>
                <w:szCs w:val="20"/>
                <w:color w:val="auto"/>
              </w:rPr>
            </w:pPr>
            <w:r>
              <w:rPr>
                <w:rFonts w:ascii="Arial" w:cs="Arial" w:eastAsia="Arial" w:hAnsi="Arial"/>
                <w:sz w:val="20"/>
                <w:szCs w:val="20"/>
                <w:color w:val="auto"/>
              </w:rPr>
              <w:t>Financial Officer</w:t>
            </w:r>
          </w:p>
        </w:tc>
      </w:tr>
      <w:tr>
        <w:trPr>
          <w:trHeight w:val="604"/>
        </w:trPr>
        <w:tc>
          <w:tcPr>
            <w:tcW w:w="6060" w:type="dxa"/>
            <w:vAlign w:val="bottom"/>
            <w:gridSpan w:val="4"/>
          </w:tcPr>
          <w:p>
            <w:pPr>
              <w:spacing w:after="0"/>
              <w:rPr>
                <w:sz w:val="20"/>
                <w:szCs w:val="20"/>
                <w:color w:val="auto"/>
              </w:rPr>
            </w:pPr>
            <w:r>
              <w:rPr>
                <w:rFonts w:ascii="Arial" w:cs="Arial" w:eastAsia="Arial" w:hAnsi="Arial"/>
                <w:sz w:val="20"/>
                <w:szCs w:val="20"/>
                <w:b w:val="1"/>
                <w:bCs w:val="1"/>
                <w:color w:val="auto"/>
              </w:rPr>
              <w:t>CALIFORNIA RESOURCES WILMINGTON, LLC</w:t>
            </w:r>
          </w:p>
        </w:tc>
      </w:tr>
      <w:tr>
        <w:trPr>
          <w:trHeight w:val="5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400" w:type="dxa"/>
            <w:vAlign w:val="bottom"/>
            <w:gridSpan w:val="3"/>
          </w:tcPr>
          <w:p>
            <w:pPr>
              <w:ind w:left="20"/>
              <w:spacing w:after="0"/>
              <w:rPr>
                <w:sz w:val="20"/>
                <w:szCs w:val="20"/>
                <w:color w:val="auto"/>
              </w:rPr>
            </w:pPr>
            <w:r>
              <w:rPr>
                <w:rFonts w:ascii="Arial" w:cs="Arial" w:eastAsia="Arial" w:hAnsi="Arial"/>
                <w:sz w:val="20"/>
                <w:szCs w:val="20"/>
                <w:color w:val="auto"/>
                <w:w w:val="93"/>
              </w:rPr>
              <w:t>CALIFORNIA RESOURCES TIDELANDS, INC., as sole member</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400" w:type="dxa"/>
            <w:vAlign w:val="bottom"/>
            <w:gridSpan w:val="3"/>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Francisco J. Leon</w:t>
            </w:r>
          </w:p>
        </w:tc>
        <w:tc>
          <w:tcPr>
            <w:tcW w:w="720" w:type="dxa"/>
            <w:vAlign w:val="bottom"/>
          </w:tcPr>
          <w:p>
            <w:pPr>
              <w:spacing w:after="0"/>
              <w:rPr>
                <w:sz w:val="20"/>
                <w:szCs w:val="20"/>
                <w:color w:val="auto"/>
              </w:rPr>
            </w:pP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4660" w:type="dxa"/>
            <w:vAlign w:val="bottom"/>
            <w:gridSpan w:val="2"/>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60" w:type="dxa"/>
            <w:vAlign w:val="bottom"/>
            <w:gridSpan w:val="2"/>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20"/>
          <w:szCs w:val="20"/>
          <w:i w:val="1"/>
          <w:iCs w:val="1"/>
          <w:color w:val="auto"/>
        </w:rPr>
        <w:t>[Signature Page to Indenture]</w:t>
      </w:r>
    </w:p>
    <w:p>
      <w:pPr>
        <w:sectPr>
          <w:pgSz w:w="11900" w:h="16838" w:orient="portrait"/>
          <w:cols w:equalWidth="0" w:num="1">
            <w:col w:w="11100"/>
          </w:cols>
          <w:pgMar w:left="320" w:top="1419" w:right="479" w:bottom="1440" w:gutter="0" w:footer="0" w:header="0"/>
        </w:sectPr>
      </w:pPr>
    </w:p>
    <w:bookmarkStart w:id="123" w:name="page124"/>
    <w:bookmarkEnd w:id="123"/>
    <w:p>
      <w:pPr>
        <w:spacing w:after="0" w:line="27"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CALIFORNIA HEAVY OIL, INC.</w:t>
      </w:r>
    </w:p>
    <w:p>
      <w:pPr>
        <w:spacing w:after="0" w:line="303" w:lineRule="exact"/>
        <w:rPr>
          <w:sz w:val="20"/>
          <w:szCs w:val="20"/>
          <w:color w:val="auto"/>
        </w:rPr>
      </w:pPr>
    </w:p>
    <w:tbl>
      <w:tblPr>
        <w:tblLayout w:type="fixed"/>
        <w:tblInd w:w="392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36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303" w:lineRule="exact"/>
        <w:rPr>
          <w:sz w:val="20"/>
          <w:szCs w:val="20"/>
          <w:color w:val="auto"/>
        </w:rPr>
      </w:pPr>
    </w:p>
    <w:tbl>
      <w:tblPr>
        <w:tblLayout w:type="fixed"/>
        <w:tblInd w:w="392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34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303" w:lineRule="exact"/>
        <w:rPr>
          <w:sz w:val="20"/>
          <w:szCs w:val="20"/>
          <w:color w:val="auto"/>
        </w:rPr>
      </w:pPr>
    </w:p>
    <w:tbl>
      <w:tblPr>
        <w:tblLayout w:type="fixed"/>
        <w:tblInd w:w="392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r>
        <w:trPr>
          <w:trHeight w:val="618"/>
        </w:trPr>
        <w:tc>
          <w:tcPr>
            <w:tcW w:w="5340" w:type="dxa"/>
            <w:vAlign w:val="bottom"/>
            <w:gridSpan w:val="3"/>
          </w:tcPr>
          <w:p>
            <w:pPr>
              <w:spacing w:after="0"/>
              <w:rPr>
                <w:sz w:val="20"/>
                <w:szCs w:val="20"/>
                <w:color w:val="auto"/>
              </w:rPr>
            </w:pPr>
            <w:r>
              <w:rPr>
                <w:rFonts w:ascii="Arial" w:cs="Arial" w:eastAsia="Arial" w:hAnsi="Arial"/>
                <w:sz w:val="20"/>
                <w:szCs w:val="20"/>
                <w:b w:val="1"/>
                <w:bCs w:val="1"/>
                <w:color w:val="auto"/>
              </w:rPr>
              <w:t>CRC MARKETING, INC.</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36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SOUTHERN SAN JOAQUIN PRODUCTION, INC.</w:t>
      </w:r>
    </w:p>
    <w:p>
      <w:pPr>
        <w:spacing w:after="0" w:line="303" w:lineRule="exact"/>
        <w:rPr>
          <w:sz w:val="20"/>
          <w:szCs w:val="20"/>
          <w:color w:val="auto"/>
        </w:rPr>
      </w:pPr>
    </w:p>
    <w:tbl>
      <w:tblPr>
        <w:tblLayout w:type="fixed"/>
        <w:tblInd w:w="392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Pr>
          <w:p>
            <w:pPr>
              <w:ind w:left="180"/>
              <w:spacing w:after="0"/>
              <w:rPr>
                <w:sz w:val="20"/>
                <w:szCs w:val="20"/>
                <w:color w:val="auto"/>
              </w:rPr>
            </w:pPr>
            <w:r>
              <w:rPr>
                <w:rFonts w:ascii="Arial" w:cs="Arial" w:eastAsia="Arial" w:hAnsi="Arial"/>
                <w:sz w:val="20"/>
                <w:szCs w:val="20"/>
                <w:color w:val="auto"/>
              </w:rPr>
              <w:t>Francisco J. Leon</w:t>
            </w: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3940" w:type="dxa"/>
            <w:vAlign w:val="bottom"/>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20"/>
        <w:spacing w:after="0"/>
        <w:rPr>
          <w:sz w:val="20"/>
          <w:szCs w:val="20"/>
          <w:color w:val="auto"/>
        </w:rPr>
      </w:pPr>
      <w:r>
        <w:rPr>
          <w:rFonts w:ascii="Arial" w:cs="Arial" w:eastAsia="Arial" w:hAnsi="Arial"/>
          <w:sz w:val="20"/>
          <w:szCs w:val="20"/>
          <w:i w:val="1"/>
          <w:iCs w:val="1"/>
          <w:color w:val="auto"/>
        </w:rPr>
        <w:t>[Signature Page to Indenture]</w:t>
      </w:r>
    </w:p>
    <w:p>
      <w:pPr>
        <w:sectPr>
          <w:pgSz w:w="11900" w:h="16838" w:orient="portrait"/>
          <w:cols w:equalWidth="0" w:num="1">
            <w:col w:w="9400"/>
          </w:cols>
          <w:pgMar w:left="1440" w:top="1440" w:right="1059" w:bottom="1440" w:gutter="0" w:footer="0" w:header="0"/>
        </w:sectPr>
      </w:pPr>
    </w:p>
    <w:bookmarkStart w:id="124" w:name="page125"/>
    <w:bookmarkEnd w:id="124"/>
    <w:p>
      <w:pPr>
        <w:spacing w:after="0" w:line="27"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03" w:lineRule="exact"/>
        <w:rPr>
          <w:sz w:val="20"/>
          <w:szCs w:val="20"/>
          <w:color w:val="auto"/>
        </w:rPr>
      </w:pPr>
    </w:p>
    <w:tbl>
      <w:tblPr>
        <w:tblLayout w:type="fixed"/>
        <w:tblInd w:w="392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3"/>
          </w:tcPr>
          <w:p>
            <w:pPr>
              <w:ind w:left="20"/>
              <w:spacing w:after="0"/>
              <w:rPr>
                <w:sz w:val="20"/>
                <w:szCs w:val="20"/>
                <w:color w:val="auto"/>
              </w:rPr>
            </w:pPr>
            <w:r>
              <w:rPr>
                <w:rFonts w:ascii="Arial" w:cs="Arial" w:eastAsia="Arial" w:hAnsi="Arial"/>
                <w:sz w:val="20"/>
                <w:szCs w:val="20"/>
                <w:color w:val="auto"/>
                <w:w w:val="93"/>
              </w:rPr>
              <w:t>CALIFORNIA RESOURCES ELK HILLS, LLC, as sole member</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3"/>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Francisco J. Leon</w:t>
            </w:r>
          </w:p>
        </w:tc>
        <w:tc>
          <w:tcPr>
            <w:tcW w:w="580" w:type="dxa"/>
            <w:vAlign w:val="bottom"/>
          </w:tcPr>
          <w:p>
            <w:pPr>
              <w:spacing w:after="0"/>
              <w:rPr>
                <w:sz w:val="20"/>
                <w:szCs w:val="20"/>
                <w:color w:val="auto"/>
              </w:rPr>
            </w:pP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4520" w:type="dxa"/>
            <w:vAlign w:val="bottom"/>
            <w:gridSpan w:val="2"/>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20"/>
                <w:szCs w:val="20"/>
                <w:color w:val="auto"/>
              </w:rPr>
              <w:t>Financial Officer</w:t>
            </w:r>
          </w:p>
        </w:tc>
      </w:tr>
      <w:tr>
        <w:trPr>
          <w:trHeight w:val="618"/>
        </w:trPr>
        <w:tc>
          <w:tcPr>
            <w:tcW w:w="5920" w:type="dxa"/>
            <w:vAlign w:val="bottom"/>
            <w:gridSpan w:val="4"/>
          </w:tcPr>
          <w:p>
            <w:pPr>
              <w:spacing w:after="0"/>
              <w:rPr>
                <w:sz w:val="20"/>
                <w:szCs w:val="20"/>
                <w:color w:val="auto"/>
              </w:rPr>
            </w:pPr>
            <w:r>
              <w:rPr>
                <w:rFonts w:ascii="Arial" w:cs="Arial" w:eastAsia="Arial" w:hAnsi="Arial"/>
                <w:sz w:val="20"/>
                <w:szCs w:val="20"/>
                <w:b w:val="1"/>
                <w:bCs w:val="1"/>
                <w:color w:val="auto"/>
              </w:rPr>
              <w:t>CALIFORNIA RESOURCES TIDELANDS, INC.</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3"/>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Francisco J. Leon</w:t>
            </w:r>
          </w:p>
        </w:tc>
        <w:tc>
          <w:tcPr>
            <w:tcW w:w="580" w:type="dxa"/>
            <w:vAlign w:val="bottom"/>
          </w:tcPr>
          <w:p>
            <w:pPr>
              <w:spacing w:after="0"/>
              <w:rPr>
                <w:sz w:val="20"/>
                <w:szCs w:val="20"/>
                <w:color w:val="auto"/>
              </w:rPr>
            </w:pP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4520" w:type="dxa"/>
            <w:vAlign w:val="bottom"/>
            <w:gridSpan w:val="2"/>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20"/>
                <w:szCs w:val="20"/>
                <w:color w:val="auto"/>
              </w:rPr>
              <w:t>Financial Officer</w:t>
            </w:r>
          </w:p>
        </w:tc>
      </w:tr>
      <w:tr>
        <w:trPr>
          <w:trHeight w:val="604"/>
        </w:trPr>
        <w:tc>
          <w:tcPr>
            <w:tcW w:w="5920" w:type="dxa"/>
            <w:vAlign w:val="bottom"/>
            <w:gridSpan w:val="4"/>
          </w:tcPr>
          <w:p>
            <w:pPr>
              <w:spacing w:after="0"/>
              <w:rPr>
                <w:sz w:val="20"/>
                <w:szCs w:val="20"/>
                <w:color w:val="auto"/>
              </w:rPr>
            </w:pPr>
            <w:r>
              <w:rPr>
                <w:rFonts w:ascii="Arial" w:cs="Arial" w:eastAsia="Arial" w:hAnsi="Arial"/>
                <w:sz w:val="20"/>
                <w:szCs w:val="20"/>
                <w:b w:val="1"/>
                <w:bCs w:val="1"/>
                <w:color w:val="auto"/>
              </w:rPr>
              <w:t>CALIFORNIA RESOURCES COLES LEVEE, L.P.</w:t>
            </w:r>
          </w:p>
        </w:tc>
      </w:tr>
      <w:tr>
        <w:trPr>
          <w:trHeight w:val="50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3"/>
          </w:tcPr>
          <w:p>
            <w:pPr>
              <w:ind w:left="20"/>
              <w:spacing w:after="0"/>
              <w:rPr>
                <w:sz w:val="20"/>
                <w:szCs w:val="20"/>
                <w:color w:val="auto"/>
              </w:rPr>
            </w:pPr>
            <w:r>
              <w:rPr>
                <w:rFonts w:ascii="Arial" w:cs="Arial" w:eastAsia="Arial" w:hAnsi="Arial"/>
                <w:sz w:val="20"/>
                <w:szCs w:val="20"/>
                <w:color w:val="auto"/>
                <w:w w:val="94"/>
              </w:rPr>
              <w:t>CALIFORNIA RESOURCES COLES LEVEE, LLC., as general</w:t>
            </w:r>
          </w:p>
        </w:tc>
      </w:tr>
      <w:tr>
        <w:trPr>
          <w:trHeight w:val="250"/>
        </w:trPr>
        <w:tc>
          <w:tcPr>
            <w:tcW w:w="66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20"/>
                <w:szCs w:val="20"/>
                <w:color w:val="auto"/>
              </w:rPr>
              <w:t>partner</w:t>
            </w:r>
          </w:p>
        </w:tc>
        <w:tc>
          <w:tcPr>
            <w:tcW w:w="39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3"/>
          </w:tcPr>
          <w:p>
            <w:pPr>
              <w:ind w:left="20"/>
              <w:spacing w:after="0"/>
              <w:rPr>
                <w:sz w:val="20"/>
                <w:szCs w:val="20"/>
                <w:color w:val="auto"/>
              </w:rPr>
            </w:pPr>
            <w:r>
              <w:rPr>
                <w:rFonts w:ascii="Arial" w:cs="Arial" w:eastAsia="Arial" w:hAnsi="Arial"/>
                <w:sz w:val="20"/>
                <w:szCs w:val="20"/>
                <w:color w:val="auto"/>
              </w:rPr>
              <w:t>/s/ Francisco J. Leon</w:t>
            </w:r>
          </w:p>
        </w:tc>
      </w:tr>
      <w:tr>
        <w:trPr>
          <w:trHeight w:val="233"/>
        </w:trPr>
        <w:tc>
          <w:tcPr>
            <w:tcW w:w="66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9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Francisco J. Leon</w:t>
            </w:r>
          </w:p>
        </w:tc>
        <w:tc>
          <w:tcPr>
            <w:tcW w:w="580" w:type="dxa"/>
            <w:vAlign w:val="bottom"/>
          </w:tcPr>
          <w:p>
            <w:pPr>
              <w:spacing w:after="0"/>
              <w:rPr>
                <w:sz w:val="20"/>
                <w:szCs w:val="20"/>
                <w:color w:val="auto"/>
              </w:rPr>
            </w:pPr>
          </w:p>
        </w:tc>
      </w:tr>
      <w:tr>
        <w:trPr>
          <w:trHeight w:val="192"/>
        </w:trPr>
        <w:tc>
          <w:tcPr>
            <w:tcW w:w="660" w:type="dxa"/>
            <w:vAlign w:val="bottom"/>
          </w:tcPr>
          <w:p>
            <w:pPr>
              <w:spacing w:after="0"/>
              <w:rPr>
                <w:sz w:val="16"/>
                <w:szCs w:val="16"/>
                <w:color w:val="auto"/>
              </w:rPr>
            </w:pPr>
          </w:p>
        </w:tc>
        <w:tc>
          <w:tcPr>
            <w:tcW w:w="740" w:type="dxa"/>
            <w:vAlign w:val="bottom"/>
          </w:tcPr>
          <w:p>
            <w:pPr>
              <w:ind w:left="20"/>
              <w:spacing w:after="0" w:line="192" w:lineRule="exact"/>
              <w:rPr>
                <w:sz w:val="20"/>
                <w:szCs w:val="20"/>
                <w:color w:val="auto"/>
              </w:rPr>
            </w:pPr>
            <w:r>
              <w:rPr>
                <w:rFonts w:ascii="Arial" w:cs="Arial" w:eastAsia="Arial" w:hAnsi="Arial"/>
                <w:sz w:val="20"/>
                <w:szCs w:val="20"/>
                <w:color w:val="auto"/>
              </w:rPr>
              <w:t>Title:</w:t>
            </w:r>
          </w:p>
        </w:tc>
        <w:tc>
          <w:tcPr>
            <w:tcW w:w="4520" w:type="dxa"/>
            <w:vAlign w:val="bottom"/>
            <w:gridSpan w:val="2"/>
          </w:tcPr>
          <w:p>
            <w:pPr>
              <w:ind w:left="180"/>
              <w:spacing w:after="0" w:line="192" w:lineRule="exact"/>
              <w:rPr>
                <w:sz w:val="20"/>
                <w:szCs w:val="20"/>
                <w:color w:val="auto"/>
              </w:rPr>
            </w:pPr>
            <w:r>
              <w:rPr>
                <w:rFonts w:ascii="Arial" w:cs="Arial" w:eastAsia="Arial" w:hAnsi="Arial"/>
                <w:sz w:val="20"/>
                <w:szCs w:val="20"/>
                <w:color w:val="auto"/>
              </w:rPr>
              <w:t>Executive Vice President and Chief</w:t>
            </w:r>
          </w:p>
        </w:tc>
      </w:tr>
      <w:tr>
        <w:trPr>
          <w:trHeight w:val="250"/>
        </w:trPr>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20"/>
                <w:szCs w:val="20"/>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20"/>
        <w:spacing w:after="0"/>
        <w:rPr>
          <w:sz w:val="20"/>
          <w:szCs w:val="20"/>
          <w:color w:val="auto"/>
        </w:rPr>
      </w:pPr>
      <w:r>
        <w:rPr>
          <w:rFonts w:ascii="Arial" w:cs="Arial" w:eastAsia="Arial" w:hAnsi="Arial"/>
          <w:sz w:val="20"/>
          <w:szCs w:val="20"/>
          <w:i w:val="1"/>
          <w:iCs w:val="1"/>
          <w:color w:val="auto"/>
        </w:rPr>
        <w:t>[Signature Page to Indenture]</w:t>
      </w:r>
    </w:p>
    <w:p>
      <w:pPr>
        <w:sectPr>
          <w:pgSz w:w="11900" w:h="16838" w:orient="portrait"/>
          <w:cols w:equalWidth="0" w:num="1">
            <w:col w:w="9840"/>
          </w:cols>
          <w:pgMar w:left="1440" w:top="1440" w:right="619" w:bottom="1440" w:gutter="0" w:footer="0" w:header="0"/>
        </w:sectPr>
      </w:pPr>
    </w:p>
    <w:bookmarkStart w:id="125" w:name="page126"/>
    <w:bookmarkEnd w:id="125"/>
    <w:p>
      <w:pPr>
        <w:spacing w:after="0" w:line="27" w:lineRule="exact"/>
        <w:rPr>
          <w:sz w:val="20"/>
          <w:szCs w:val="20"/>
          <w:color w:val="auto"/>
        </w:rPr>
      </w:pPr>
    </w:p>
    <w:p>
      <w:pPr>
        <w:ind w:left="3600" w:right="960"/>
        <w:spacing w:after="0" w:line="309" w:lineRule="auto"/>
        <w:rPr>
          <w:sz w:val="20"/>
          <w:szCs w:val="20"/>
          <w:color w:val="auto"/>
        </w:rPr>
      </w:pPr>
      <w:r>
        <w:rPr>
          <w:rFonts w:ascii="Arial" w:cs="Arial" w:eastAsia="Arial" w:hAnsi="Arial"/>
          <w:sz w:val="20"/>
          <w:szCs w:val="20"/>
          <w:b w:val="1"/>
          <w:bCs w:val="1"/>
          <w:color w:val="auto"/>
        </w:rPr>
        <w:t xml:space="preserve">WILMINGTON TRUST, NATIONAL ASSOCIATION, </w:t>
      </w:r>
      <w:r>
        <w:rPr>
          <w:rFonts w:ascii="Arial" w:cs="Arial" w:eastAsia="Arial" w:hAnsi="Arial"/>
          <w:sz w:val="20"/>
          <w:szCs w:val="20"/>
          <w:color w:val="auto"/>
        </w:rPr>
        <w:t>as Trustee</w:t>
      </w:r>
    </w:p>
    <w:p>
      <w:pPr>
        <w:spacing w:after="0" w:line="210" w:lineRule="exact"/>
        <w:rPr>
          <w:sz w:val="20"/>
          <w:szCs w:val="20"/>
          <w:color w:val="auto"/>
        </w:rPr>
      </w:pPr>
    </w:p>
    <w:tbl>
      <w:tblPr>
        <w:tblLayout w:type="fixed"/>
        <w:tblInd w:w="3580" w:type="dxa"/>
        <w:tblCellMar>
          <w:top w:w="0" w:type="dxa"/>
          <w:left w:w="0" w:type="dxa"/>
          <w:bottom w:w="0" w:type="dxa"/>
          <w:right w:w="0" w:type="dxa"/>
        </w:tblCellMar>
      </w:tblPr>
      <w:tr>
        <w:trPr>
          <w:trHeight w:val="246"/>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Hallie E. Field</w:t>
            </w:r>
          </w:p>
        </w:tc>
      </w:tr>
      <w:tr>
        <w:trPr>
          <w:trHeight w:val="233"/>
        </w:trPr>
        <w:tc>
          <w:tcPr>
            <w:tcW w:w="780" w:type="dxa"/>
            <w:vAlign w:val="bottom"/>
          </w:tcPr>
          <w:p>
            <w:pPr>
              <w:ind w:left="20"/>
              <w:spacing w:after="0"/>
              <w:rPr>
                <w:sz w:val="20"/>
                <w:szCs w:val="20"/>
                <w:color w:val="auto"/>
              </w:rPr>
            </w:pPr>
            <w:r>
              <w:rPr>
                <w:rFonts w:ascii="Arial" w:cs="Arial" w:eastAsia="Arial" w:hAnsi="Arial"/>
                <w:sz w:val="20"/>
                <w:szCs w:val="20"/>
                <w:color w:val="auto"/>
              </w:rPr>
              <w:t>Name:</w:t>
            </w:r>
          </w:p>
        </w:tc>
        <w:tc>
          <w:tcPr>
            <w:tcW w:w="4900" w:type="dxa"/>
            <w:vAlign w:val="bottom"/>
          </w:tcPr>
          <w:p>
            <w:pPr>
              <w:ind w:left="220"/>
              <w:spacing w:after="0"/>
              <w:rPr>
                <w:sz w:val="20"/>
                <w:szCs w:val="20"/>
                <w:color w:val="auto"/>
              </w:rPr>
            </w:pPr>
            <w:r>
              <w:rPr>
                <w:rFonts w:ascii="Arial" w:cs="Arial" w:eastAsia="Arial" w:hAnsi="Arial"/>
                <w:sz w:val="20"/>
                <w:szCs w:val="20"/>
                <w:color w:val="auto"/>
              </w:rPr>
              <w:t>Hallie E. Field</w:t>
            </w:r>
          </w:p>
        </w:tc>
      </w:tr>
      <w:tr>
        <w:trPr>
          <w:trHeight w:val="250"/>
        </w:trPr>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4900" w:type="dxa"/>
            <w:vAlign w:val="bottom"/>
          </w:tcPr>
          <w:p>
            <w:pPr>
              <w:ind w:left="2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260"/>
          </w:cols>
          <w:pgMar w:left="1440" w:top="1440" w:right="1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color w:val="auto"/>
        </w:rPr>
        <w:t>EXHIBIT 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right="3660"/>
        <w:spacing w:after="0" w:line="502" w:lineRule="auto"/>
        <w:rPr>
          <w:sz w:val="20"/>
          <w:szCs w:val="20"/>
          <w:color w:val="auto"/>
        </w:rPr>
      </w:pPr>
      <w:r>
        <w:rPr>
          <w:rFonts w:ascii="Arial" w:cs="Arial" w:eastAsia="Arial" w:hAnsi="Arial"/>
          <w:sz w:val="18"/>
          <w:szCs w:val="18"/>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14" w:right="339" w:bottom="1440" w:gutter="0" w:footer="0" w:header="0"/>
        </w:sectPr>
      </w:pPr>
    </w:p>
    <w:bookmarkStart w:id="127" w:name="page128"/>
    <w:bookmarkEnd w:id="127"/>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80" w:type="dxa"/>
            <w:vAlign w:val="bottom"/>
            <w:tcBorders>
              <w:bottom w:val="single" w:sz="8" w:color="auto"/>
            </w:tcBorders>
          </w:tcPr>
          <w:p>
            <w:pPr>
              <w:spacing w:after="0"/>
              <w:rPr>
                <w:sz w:val="21"/>
                <w:szCs w:val="21"/>
                <w:color w:val="auto"/>
              </w:rPr>
            </w:pPr>
          </w:p>
        </w:tc>
        <w:tc>
          <w:tcPr>
            <w:tcW w:w="9060" w:type="dxa"/>
            <w:vAlign w:val="bottom"/>
            <w:tcBorders>
              <w:bottom w:val="single" w:sz="8" w:color="auto"/>
            </w:tcBorders>
          </w:tcPr>
          <w:p>
            <w:pPr>
              <w:jc w:val="center"/>
              <w:ind w:right="2081"/>
              <w:spacing w:after="0"/>
              <w:rPr>
                <w:sz w:val="20"/>
                <w:szCs w:val="20"/>
                <w:color w:val="auto"/>
              </w:rPr>
            </w:pPr>
            <w:r>
              <w:rPr>
                <w:rFonts w:ascii="Arial" w:cs="Arial" w:eastAsia="Arial" w:hAnsi="Arial"/>
                <w:sz w:val="20"/>
                <w:szCs w:val="20"/>
                <w:color w:val="auto"/>
                <w:w w:val="92"/>
              </w:rPr>
              <w:t>[Face of Note]</w:t>
            </w:r>
          </w:p>
        </w:tc>
      </w:tr>
      <w:tr>
        <w:trPr>
          <w:trHeight w:val="287"/>
        </w:trPr>
        <w:tc>
          <w:tcPr>
            <w:tcW w:w="2180" w:type="dxa"/>
            <w:vAlign w:val="bottom"/>
          </w:tcPr>
          <w:p>
            <w:pPr>
              <w:spacing w:after="0"/>
              <w:rPr>
                <w:sz w:val="24"/>
                <w:szCs w:val="24"/>
                <w:color w:val="auto"/>
              </w:rPr>
            </w:pPr>
          </w:p>
        </w:tc>
        <w:tc>
          <w:tcPr>
            <w:tcW w:w="9060" w:type="dxa"/>
            <w:vAlign w:val="bottom"/>
          </w:tcPr>
          <w:p>
            <w:pPr>
              <w:jc w:val="right"/>
              <w:spacing w:after="0"/>
              <w:rPr>
                <w:sz w:val="20"/>
                <w:szCs w:val="20"/>
                <w:color w:val="auto"/>
              </w:rPr>
            </w:pPr>
            <w:r>
              <w:rPr>
                <w:rFonts w:ascii="Arial" w:cs="Arial" w:eastAsia="Arial" w:hAnsi="Arial"/>
                <w:sz w:val="20"/>
                <w:szCs w:val="20"/>
                <w:color w:val="auto"/>
              </w:rPr>
              <w:t>CUSIP [ ]</w:t>
            </w:r>
          </w:p>
        </w:tc>
      </w:tr>
      <w:tr>
        <w:trPr>
          <w:trHeight w:val="216"/>
        </w:trPr>
        <w:tc>
          <w:tcPr>
            <w:tcW w:w="2180" w:type="dxa"/>
            <w:vAlign w:val="bottom"/>
          </w:tcPr>
          <w:p>
            <w:pPr>
              <w:spacing w:after="0"/>
              <w:rPr>
                <w:sz w:val="18"/>
                <w:szCs w:val="18"/>
                <w:color w:val="auto"/>
              </w:rPr>
            </w:pPr>
          </w:p>
        </w:tc>
        <w:tc>
          <w:tcPr>
            <w:tcW w:w="9060" w:type="dxa"/>
            <w:vAlign w:val="bottom"/>
          </w:tcPr>
          <w:p>
            <w:pPr>
              <w:jc w:val="right"/>
              <w:spacing w:after="0" w:line="216" w:lineRule="exact"/>
              <w:rPr>
                <w:sz w:val="20"/>
                <w:szCs w:val="20"/>
                <w:color w:val="auto"/>
              </w:rPr>
            </w:pPr>
            <w:r>
              <w:rPr>
                <w:rFonts w:ascii="Arial" w:cs="Arial" w:eastAsia="Arial" w:hAnsi="Arial"/>
                <w:sz w:val="20"/>
                <w:szCs w:val="20"/>
                <w:color w:val="auto"/>
              </w:rPr>
              <w:t>ISIN [ ][1]</w:t>
            </w:r>
          </w:p>
        </w:tc>
      </w:tr>
      <w:tr>
        <w:trPr>
          <w:trHeight w:val="250"/>
        </w:trPr>
        <w:tc>
          <w:tcPr>
            <w:tcW w:w="2180" w:type="dxa"/>
            <w:vAlign w:val="bottom"/>
          </w:tcPr>
          <w:p>
            <w:pPr>
              <w:spacing w:after="0"/>
              <w:rPr>
                <w:sz w:val="21"/>
                <w:szCs w:val="21"/>
                <w:color w:val="auto"/>
              </w:rPr>
            </w:pPr>
          </w:p>
        </w:tc>
        <w:tc>
          <w:tcPr>
            <w:tcW w:w="9060" w:type="dxa"/>
            <w:vAlign w:val="bottom"/>
          </w:tcPr>
          <w:p>
            <w:pPr>
              <w:jc w:val="center"/>
              <w:ind w:right="2061"/>
              <w:spacing w:after="0"/>
              <w:rPr>
                <w:sz w:val="20"/>
                <w:szCs w:val="20"/>
                <w:color w:val="auto"/>
              </w:rPr>
            </w:pPr>
            <w:r>
              <w:rPr>
                <w:rFonts w:ascii="Arial" w:cs="Arial" w:eastAsia="Arial" w:hAnsi="Arial"/>
                <w:sz w:val="20"/>
                <w:szCs w:val="20"/>
                <w:color w:val="auto"/>
                <w:w w:val="88"/>
              </w:rPr>
              <w:t>7.125% Senior Notes due 2026</w:t>
            </w:r>
          </w:p>
        </w:tc>
      </w:tr>
      <w:tr>
        <w:trPr>
          <w:trHeight w:val="661"/>
        </w:trPr>
        <w:tc>
          <w:tcPr>
            <w:tcW w:w="2180" w:type="dxa"/>
            <w:vAlign w:val="bottom"/>
          </w:tcPr>
          <w:p>
            <w:pPr>
              <w:ind w:left="20"/>
              <w:spacing w:after="0"/>
              <w:rPr>
                <w:sz w:val="20"/>
                <w:szCs w:val="20"/>
                <w:color w:val="auto"/>
              </w:rPr>
            </w:pPr>
            <w:r>
              <w:rPr>
                <w:rFonts w:ascii="Arial" w:cs="Arial" w:eastAsia="Arial" w:hAnsi="Arial"/>
                <w:sz w:val="20"/>
                <w:szCs w:val="20"/>
                <w:color w:val="auto"/>
              </w:rPr>
              <w:t>No. ___</w:t>
            </w:r>
          </w:p>
        </w:tc>
        <w:tc>
          <w:tcPr>
            <w:tcW w:w="9060" w:type="dxa"/>
            <w:vAlign w:val="bottom"/>
          </w:tcPr>
          <w:p>
            <w:pPr>
              <w:jc w:val="right"/>
              <w:spacing w:after="0"/>
              <w:rPr>
                <w:sz w:val="20"/>
                <w:szCs w:val="20"/>
                <w:color w:val="auto"/>
              </w:rPr>
            </w:pPr>
            <w:r>
              <w:rPr>
                <w:rFonts w:ascii="Arial" w:cs="Arial" w:eastAsia="Arial" w:hAnsi="Arial"/>
                <w:sz w:val="20"/>
                <w:szCs w:val="20"/>
                <w:color w:val="auto"/>
              </w:rPr>
              <w:t>$____________</w:t>
            </w:r>
          </w:p>
        </w:tc>
      </w:tr>
      <w:tr>
        <w:trPr>
          <w:trHeight w:val="338"/>
        </w:trPr>
        <w:tc>
          <w:tcPr>
            <w:tcW w:w="2180" w:type="dxa"/>
            <w:vAlign w:val="bottom"/>
          </w:tcPr>
          <w:p>
            <w:pPr>
              <w:spacing w:after="0"/>
              <w:rPr>
                <w:sz w:val="24"/>
                <w:szCs w:val="24"/>
                <w:color w:val="auto"/>
              </w:rPr>
            </w:pPr>
          </w:p>
        </w:tc>
        <w:tc>
          <w:tcPr>
            <w:tcW w:w="9060" w:type="dxa"/>
            <w:vAlign w:val="bottom"/>
          </w:tcPr>
          <w:p>
            <w:pPr>
              <w:jc w:val="center"/>
              <w:ind w:right="2061"/>
              <w:spacing w:after="0"/>
              <w:rPr>
                <w:sz w:val="20"/>
                <w:szCs w:val="20"/>
                <w:color w:val="auto"/>
              </w:rPr>
            </w:pPr>
            <w:r>
              <w:rPr>
                <w:rFonts w:ascii="Arial" w:cs="Arial" w:eastAsia="Arial" w:hAnsi="Arial"/>
                <w:sz w:val="20"/>
                <w:szCs w:val="20"/>
                <w:color w:val="auto"/>
                <w:w w:val="93"/>
              </w:rPr>
              <w:t>CALIFORNIA RESOURCES CORPORATION</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promises to pay, to or registered assigns, the principal sum of _______________________ DOLLARS [or such greater or lesser amount as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may be indicated on the attached Schedule of Increases or Decreases of Interests in the Global Note] on February 1, 2026.</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Interest Payment Dates: February 1 and August 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Record Dates: January 15 and July 15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ind w:left="280" w:hanging="272"/>
        <w:spacing w:after="0"/>
        <w:tabs>
          <w:tab w:leader="none" w:pos="2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144A CUSIP: 13057Q AH0 / 144A ISIN: US13057QAH02; Reg S CUSIP: U1303A AE6 / REG S ISIN: USU1303AAE65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480"/>
        <w:spacing w:after="0"/>
        <w:rPr>
          <w:rFonts w:ascii="Arial" w:cs="Arial" w:eastAsia="Arial" w:hAnsi="Arial"/>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Dated: January _____, 2021</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CALIFORNIA RESOURCES CORPORATION</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________________________________</w:t>
      </w:r>
    </w:p>
    <w:p>
      <w:pPr>
        <w:ind w:left="4280"/>
        <w:spacing w:after="0"/>
        <w:rPr>
          <w:sz w:val="20"/>
          <w:szCs w:val="20"/>
          <w:color w:val="auto"/>
        </w:rPr>
      </w:pPr>
      <w:r>
        <w:rPr>
          <w:rFonts w:ascii="Arial" w:cs="Arial" w:eastAsia="Arial" w:hAnsi="Arial"/>
          <w:sz w:val="20"/>
          <w:szCs w:val="20"/>
          <w:color w:val="auto"/>
        </w:rPr>
        <w:t>Name:</w:t>
      </w:r>
    </w:p>
    <w:p>
      <w:pPr>
        <w:ind w:left="4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139"/>
          </w:cols>
          <w:pgMar w:left="320" w:top="1419" w:right="1440"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Certificate of Authentication: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This is one of the Notes referred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the within-mentioned Indenture: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Trustee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Authorized Signatory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0139"/>
          </w:cols>
          <w:pgMar w:left="320" w:top="1419" w:right="1440" w:bottom="1440" w:gutter="0" w:footer="0" w:header="0"/>
        </w:sectPr>
      </w:pPr>
    </w:p>
    <w:bookmarkStart w:id="130" w:name="page131"/>
    <w:bookmarkEnd w:id="130"/>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[Reverse of Note]</w:t>
      </w:r>
    </w:p>
    <w:p>
      <w:pPr>
        <w:spacing w:after="0" w:line="175"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7.125% Senior Notes due 2026</w:t>
      </w:r>
    </w:p>
    <w:p>
      <w:pPr>
        <w:spacing w:after="0" w:line="18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Capitalized terms used herein have the meanings assigned to them in the Indenture referred to below unless otherwise indicated.</w:t>
      </w:r>
    </w:p>
    <w:p>
      <w:pPr>
        <w:spacing w:after="0" w:line="235" w:lineRule="exact"/>
        <w:rPr>
          <w:sz w:val="20"/>
          <w:szCs w:val="20"/>
          <w:color w:val="auto"/>
        </w:rPr>
      </w:pPr>
    </w:p>
    <w:p>
      <w:pPr>
        <w:jc w:val="both"/>
        <w:ind w:firstLine="644"/>
        <w:spacing w:after="0"/>
        <w:tabs>
          <w:tab w:leader="none" w:pos="1103"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California Resources Corporation, a Delaware corporation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or cause to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on the principal amount of this Note at a rate of 7.125% per annum. The Issuer will pay interest semi-annually in arrears on February 1 and August 1 of each year, or if any such day is not a Business Day, on the next succeeding Business Day (each, an “</w:t>
      </w:r>
      <w:r>
        <w:rPr>
          <w:rFonts w:ascii="Arial" w:cs="Arial" w:eastAsia="Arial" w:hAnsi="Arial"/>
          <w:sz w:val="19"/>
          <w:szCs w:val="19"/>
          <w:i w:val="1"/>
          <w:iCs w:val="1"/>
          <w:color w:val="auto"/>
        </w:rPr>
        <w:t>Interest Payment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first Interest Payment Date shall be August 1, 2021. Interest on the Notes will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Interest will be computed on the basis of a 360-day year comprised of twelve 30-day months.</w:t>
      </w:r>
    </w:p>
    <w:p>
      <w:pPr>
        <w:spacing w:after="0" w:line="189" w:lineRule="exact"/>
        <w:rPr>
          <w:sz w:val="20"/>
          <w:szCs w:val="20"/>
          <w:color w:val="auto"/>
        </w:rPr>
      </w:pPr>
    </w:p>
    <w:p>
      <w:pPr>
        <w:jc w:val="both"/>
        <w:ind w:firstLine="644"/>
        <w:spacing w:after="0" w:line="241" w:lineRule="auto"/>
        <w:tabs>
          <w:tab w:leader="none" w:pos="1198"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 will pay interest on the Notes (except defaulted interest) to the Persons who are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registered Holders of Notes at the close of business on the January 15 and July 15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168" w:lineRule="exact"/>
        <w:rPr>
          <w:rFonts w:ascii="Arial" w:cs="Arial" w:eastAsia="Arial" w:hAnsi="Arial"/>
          <w:sz w:val="19"/>
          <w:szCs w:val="19"/>
          <w:color w:val="auto"/>
        </w:rPr>
      </w:pPr>
    </w:p>
    <w:p>
      <w:pPr>
        <w:jc w:val="both"/>
        <w:ind w:firstLine="644"/>
        <w:spacing w:after="0" w:line="237" w:lineRule="auto"/>
        <w:tabs>
          <w:tab w:leader="none" w:pos="1076" w:val="left"/>
        </w:tabs>
        <w:numPr>
          <w:ilvl w:val="0"/>
          <w:numId w:val="164"/>
        </w:numPr>
        <w:rPr>
          <w:rFonts w:ascii="Arial" w:cs="Arial" w:eastAsia="Arial" w:hAnsi="Arial"/>
          <w:sz w:val="20"/>
          <w:szCs w:val="20"/>
          <w:color w:val="auto"/>
        </w:rPr>
      </w:pPr>
      <w:r>
        <w:rPr>
          <w:rFonts w:ascii="Arial" w:cs="Arial" w:eastAsia="Arial" w:hAnsi="Arial"/>
          <w:sz w:val="20"/>
          <w:szCs w:val="20"/>
          <w:i w:val="1"/>
          <w:iCs w:val="1"/>
          <w:color w:val="auto"/>
        </w:rPr>
        <w:t>Paying Agent and Registrar</w:t>
      </w:r>
      <w:r>
        <w:rPr>
          <w:rFonts w:ascii="Arial" w:cs="Arial" w:eastAsia="Arial" w:hAnsi="Arial"/>
          <w:sz w:val="20"/>
          <w:szCs w:val="20"/>
          <w:color w:val="auto"/>
        </w:rPr>
        <w:t>. Initially, Wilmington Trust, National Association, the Trustee under the Indenture, will act</w:t>
      </w:r>
      <w:r>
        <w:rPr>
          <w:rFonts w:ascii="Arial" w:cs="Arial" w:eastAsia="Arial" w:hAnsi="Arial"/>
          <w:sz w:val="20"/>
          <w:szCs w:val="20"/>
          <w:i w:val="1"/>
          <w:iCs w:val="1"/>
          <w:color w:val="auto"/>
        </w:rPr>
        <w:t xml:space="preserve"> </w:t>
      </w:r>
      <w:r>
        <w:rPr>
          <w:rFonts w:ascii="Arial" w:cs="Arial" w:eastAsia="Arial" w:hAnsi="Arial"/>
          <w:sz w:val="20"/>
          <w:szCs w:val="20"/>
          <w:color w:val="auto"/>
        </w:rPr>
        <w:t>as Paying Agent and Registrar. The Issuer may change the Paying Agent or Registrar without notice to any Holder. The Issuer or any of its Subsidiaries may act as Paying Agent or Registrar.</w:t>
      </w:r>
    </w:p>
    <w:p>
      <w:pPr>
        <w:spacing w:after="0" w:line="155" w:lineRule="exact"/>
        <w:rPr>
          <w:rFonts w:ascii="Arial" w:cs="Arial" w:eastAsia="Arial" w:hAnsi="Arial"/>
          <w:sz w:val="20"/>
          <w:szCs w:val="20"/>
          <w:color w:val="auto"/>
        </w:rPr>
      </w:pPr>
    </w:p>
    <w:p>
      <w:pPr>
        <w:jc w:val="both"/>
        <w:ind w:firstLine="644"/>
        <w:spacing w:after="0" w:line="232" w:lineRule="auto"/>
        <w:tabs>
          <w:tab w:leader="none" w:pos="1130" w:val="left"/>
        </w:tabs>
        <w:numPr>
          <w:ilvl w:val="0"/>
          <w:numId w:val="164"/>
        </w:numPr>
        <w:rPr>
          <w:rFonts w:ascii="Arial" w:cs="Arial" w:eastAsia="Arial" w:hAnsi="Arial"/>
          <w:sz w:val="20"/>
          <w:szCs w:val="20"/>
          <w:color w:val="auto"/>
        </w:rPr>
      </w:pPr>
      <w:r>
        <w:rPr>
          <w:rFonts w:ascii="Arial" w:cs="Arial" w:eastAsia="Arial" w:hAnsi="Arial"/>
          <w:sz w:val="20"/>
          <w:szCs w:val="20"/>
          <w:i w:val="1"/>
          <w:iCs w:val="1"/>
          <w:color w:val="auto"/>
        </w:rPr>
        <w:t>Indenture</w:t>
      </w:r>
      <w:r>
        <w:rPr>
          <w:rFonts w:ascii="Arial" w:cs="Arial" w:eastAsia="Arial" w:hAnsi="Arial"/>
          <w:sz w:val="20"/>
          <w:szCs w:val="20"/>
          <w:color w:val="auto"/>
        </w:rPr>
        <w:t>. The Issuer issued the Notes under an Indenture dated as of January 20, 2021 (the “</w:t>
      </w:r>
      <w:r>
        <w:rPr>
          <w:rFonts w:ascii="Arial" w:cs="Arial" w:eastAsia="Arial" w:hAnsi="Arial"/>
          <w:sz w:val="20"/>
          <w:szCs w:val="20"/>
          <w:i w:val="1"/>
          <w:iCs w:val="1"/>
          <w:color w:val="auto"/>
        </w:rPr>
        <w:t>Indenture</w:t>
      </w:r>
      <w:r>
        <w:rPr>
          <w:rFonts w:ascii="Arial" w:cs="Arial" w:eastAsia="Arial" w:hAnsi="Arial"/>
          <w:sz w:val="20"/>
          <w:szCs w:val="20"/>
          <w:color w:val="auto"/>
        </w:rPr>
        <w:t>”) among the</w:t>
      </w:r>
      <w:r>
        <w:rPr>
          <w:rFonts w:ascii="Arial" w:cs="Arial" w:eastAsia="Arial" w:hAnsi="Arial"/>
          <w:sz w:val="20"/>
          <w:szCs w:val="20"/>
          <w:i w:val="1"/>
          <w:iCs w:val="1"/>
          <w:color w:val="auto"/>
        </w:rPr>
        <w:t xml:space="preserve"> </w:t>
      </w:r>
      <w:r>
        <w:rPr>
          <w:rFonts w:ascii="Arial" w:cs="Arial" w:eastAsia="Arial" w:hAnsi="Arial"/>
          <w:sz w:val="20"/>
          <w:szCs w:val="20"/>
          <w:color w:val="auto"/>
        </w:rPr>
        <w:t>Issuer,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0580"/>
          </w:cols>
          <w:pgMar w:left="980" w:top="1440" w:right="339" w:bottom="1440" w:gutter="0" w:footer="0" w:header="0"/>
        </w:sectPr>
      </w:pPr>
    </w:p>
    <w:bookmarkStart w:id="131" w:name="page132"/>
    <w:bookmarkEnd w:id="131"/>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aggregate principal amount of Notes that may be issued thereunder.</w:t>
      </w:r>
    </w:p>
    <w:p>
      <w:pPr>
        <w:spacing w:after="0" w:line="175" w:lineRule="exact"/>
        <w:rPr>
          <w:sz w:val="20"/>
          <w:szCs w:val="20"/>
          <w:color w:val="auto"/>
        </w:rPr>
      </w:pPr>
    </w:p>
    <w:p>
      <w:pPr>
        <w:ind w:left="1080" w:hanging="436"/>
        <w:spacing w:after="0"/>
        <w:tabs>
          <w:tab w:leader="none" w:pos="1080" w:val="left"/>
        </w:tabs>
        <w:numPr>
          <w:ilvl w:val="0"/>
          <w:numId w:val="165"/>
        </w:numPr>
        <w:rPr>
          <w:rFonts w:ascii="Arial" w:cs="Arial" w:eastAsia="Arial" w:hAnsi="Arial"/>
          <w:sz w:val="20"/>
          <w:szCs w:val="20"/>
          <w:color w:val="auto"/>
        </w:rPr>
      </w:pPr>
      <w:r>
        <w:rPr>
          <w:rFonts w:ascii="Arial" w:cs="Arial" w:eastAsia="Arial" w:hAnsi="Arial"/>
          <w:sz w:val="20"/>
          <w:szCs w:val="20"/>
          <w:i w:val="1"/>
          <w:iCs w:val="1"/>
          <w:color w:val="auto"/>
        </w:rPr>
        <w:t>Optional Redemption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1292"/>
        <w:spacing w:after="0" w:line="257" w:lineRule="auto"/>
        <w:tabs>
          <w:tab w:leader="none" w:pos="17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At any time prior to February 1, 2023, the Issuer may on any one or more occasions redeem up to 35%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107.125% of the principal amount of the Notes redeemed, plus accrued and unpaid interest to, but excluding, the date of redemption (subject to the rights of Holders of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57" w:lineRule="exact"/>
        <w:rPr>
          <w:rFonts w:ascii="Arial" w:cs="Arial" w:eastAsia="Arial" w:hAnsi="Arial"/>
          <w:sz w:val="18"/>
          <w:szCs w:val="18"/>
          <w:color w:val="auto"/>
        </w:rPr>
      </w:pPr>
    </w:p>
    <w:p>
      <w:pPr>
        <w:jc w:val="both"/>
        <w:ind w:firstLine="1292"/>
        <w:spacing w:after="0" w:line="267" w:lineRule="auto"/>
        <w:tabs>
          <w:tab w:leader="none" w:pos="173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At any time prior to February 1, 2023, the Issuer may on any one or more occasions redeem all or a part of the Notes, upon notice as provided in the Indenture, at a redemption price equal to 100% of the principal amount of the Notes redeemed, plus the Applicable Premium as of, and accrued and unpaid interest to, but excluding, the date of redemption, subject to the rights of Holders of Notes on the relevant record date to receive interest due on the relevant Interest Payment Date.</w:t>
      </w:r>
    </w:p>
    <w:p>
      <w:pPr>
        <w:spacing w:after="0" w:line="131" w:lineRule="exact"/>
        <w:rPr>
          <w:rFonts w:ascii="Arial" w:cs="Arial" w:eastAsia="Arial" w:hAnsi="Arial"/>
          <w:sz w:val="18"/>
          <w:szCs w:val="18"/>
          <w:color w:val="auto"/>
        </w:rPr>
      </w:pPr>
    </w:p>
    <w:p>
      <w:pPr>
        <w:ind w:firstLine="1292"/>
        <w:spacing w:after="0" w:line="246" w:lineRule="auto"/>
        <w:tabs>
          <w:tab w:leader="none" w:pos="171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Issuer may redeem all (but not a portion of) the Notes when permitted by, and pursuant to the conditions in, Section 4.15(f) of the Indenture.</w:t>
      </w:r>
    </w:p>
    <w:p>
      <w:pPr>
        <w:spacing w:after="0" w:line="163" w:lineRule="exact"/>
        <w:rPr>
          <w:rFonts w:ascii="Arial" w:cs="Arial" w:eastAsia="Arial" w:hAnsi="Arial"/>
          <w:sz w:val="20"/>
          <w:szCs w:val="20"/>
          <w:color w:val="auto"/>
        </w:rPr>
      </w:pPr>
    </w:p>
    <w:p>
      <w:pPr>
        <w:ind w:left="1780" w:hanging="488"/>
        <w:spacing w:after="0"/>
        <w:tabs>
          <w:tab w:leader="none" w:pos="17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Except pursuant to the preceding paragraphs, the Notes will not be redeemable at the Issuer’s option prior to</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February 1, 2023.</w:t>
      </w:r>
    </w:p>
    <w:p>
      <w:pPr>
        <w:spacing w:after="0" w:line="172" w:lineRule="exact"/>
        <w:rPr>
          <w:rFonts w:ascii="Arial" w:cs="Arial" w:eastAsia="Arial" w:hAnsi="Arial"/>
          <w:sz w:val="18"/>
          <w:szCs w:val="18"/>
          <w:color w:val="auto"/>
        </w:rPr>
      </w:pPr>
    </w:p>
    <w:p>
      <w:pPr>
        <w:jc w:val="both"/>
        <w:ind w:firstLine="1292"/>
        <w:spacing w:after="0" w:line="246" w:lineRule="auto"/>
        <w:tabs>
          <w:tab w:leader="none" w:pos="1738" w:val="left"/>
        </w:tabs>
        <w:numPr>
          <w:ilvl w:val="1"/>
          <w:numId w:val="165"/>
        </w:numPr>
        <w:rPr>
          <w:rFonts w:ascii="Arial" w:cs="Arial" w:eastAsia="Arial" w:hAnsi="Arial"/>
          <w:sz w:val="19"/>
          <w:szCs w:val="19"/>
          <w:color w:val="auto"/>
        </w:rPr>
      </w:pPr>
      <w:r>
        <w:rPr>
          <w:rFonts w:ascii="Arial" w:cs="Arial" w:eastAsia="Arial" w:hAnsi="Arial"/>
          <w:sz w:val="19"/>
          <w:szCs w:val="19"/>
          <w:color w:val="auto"/>
        </w:rPr>
        <w:t>On and after February 1, 2023, the Issuer may on any one or more occasions redeem all or a part of the Notes, upon notice as provided in the Indenture, at the redemption prices (expressed as percentages of principal amount) set forth below, plus accrued and unpaid interest on the Notes redeemed, to, but excluding, the applicable redemption date, subject to the rights of Holders of Notes on the relevant record date to receive interest on the relevant Interest Payment Date, if redeemed during the twelve-month period beginning on February 1 of the years indicated below:</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0"/>
              </w:rPr>
              <w:t>Year</w:t>
            </w:r>
          </w:p>
        </w:tc>
        <w:tc>
          <w:tcPr>
            <w:tcW w:w="49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Percentage</w:t>
            </w:r>
          </w:p>
        </w:tc>
      </w:tr>
      <w:tr>
        <w:trPr>
          <w:trHeight w:val="260"/>
        </w:trPr>
        <w:tc>
          <w:tcPr>
            <w:tcW w:w="5260" w:type="dxa"/>
            <w:vAlign w:val="bottom"/>
            <w:gridSpan w:val="2"/>
          </w:tcPr>
          <w:p>
            <w:pPr>
              <w:spacing w:after="0"/>
              <w:rPr>
                <w:sz w:val="20"/>
                <w:szCs w:val="20"/>
                <w:color w:val="auto"/>
              </w:rPr>
            </w:pPr>
            <w:r>
              <w:rPr>
                <w:rFonts w:ascii="Arial" w:cs="Arial" w:eastAsia="Arial" w:hAnsi="Arial"/>
                <w:sz w:val="20"/>
                <w:szCs w:val="20"/>
                <w:color w:val="auto"/>
              </w:rPr>
              <w:t>2023</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103.563%</w:t>
            </w:r>
          </w:p>
        </w:tc>
      </w:tr>
      <w:tr>
        <w:trPr>
          <w:trHeight w:val="243"/>
        </w:trPr>
        <w:tc>
          <w:tcPr>
            <w:tcW w:w="5260" w:type="dxa"/>
            <w:vAlign w:val="bottom"/>
            <w:gridSpan w:val="2"/>
          </w:tcPr>
          <w:p>
            <w:pPr>
              <w:spacing w:after="0"/>
              <w:rPr>
                <w:sz w:val="20"/>
                <w:szCs w:val="20"/>
                <w:color w:val="auto"/>
              </w:rPr>
            </w:pPr>
            <w:r>
              <w:rPr>
                <w:rFonts w:ascii="Arial" w:cs="Arial" w:eastAsia="Arial" w:hAnsi="Arial"/>
                <w:sz w:val="20"/>
                <w:szCs w:val="20"/>
                <w:color w:val="auto"/>
              </w:rPr>
              <w:t>2024</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101.781%</w:t>
            </w:r>
          </w:p>
        </w:tc>
      </w:tr>
      <w:tr>
        <w:trPr>
          <w:trHeight w:val="250"/>
        </w:trPr>
        <w:tc>
          <w:tcPr>
            <w:tcW w:w="5260" w:type="dxa"/>
            <w:vAlign w:val="bottom"/>
            <w:gridSpan w:val="2"/>
          </w:tcPr>
          <w:p>
            <w:pPr>
              <w:spacing w:after="0"/>
              <w:rPr>
                <w:sz w:val="20"/>
                <w:szCs w:val="20"/>
                <w:color w:val="auto"/>
              </w:rPr>
            </w:pPr>
            <w:r>
              <w:rPr>
                <w:rFonts w:ascii="Arial" w:cs="Arial" w:eastAsia="Arial" w:hAnsi="Arial"/>
                <w:sz w:val="20"/>
                <w:szCs w:val="20"/>
                <w:color w:val="auto"/>
              </w:rPr>
              <w:t>2025 and thereafter</w:t>
            </w:r>
          </w:p>
        </w:tc>
        <w:tc>
          <w:tcPr>
            <w:tcW w:w="4620" w:type="dxa"/>
            <w:vAlign w:val="bottom"/>
            <w:gridSpan w:val="2"/>
          </w:tcPr>
          <w:p>
            <w:pPr>
              <w:jc w:val="center"/>
              <w:ind w:left="3641"/>
              <w:spacing w:after="0"/>
              <w:rPr>
                <w:sz w:val="20"/>
                <w:szCs w:val="20"/>
                <w:color w:val="auto"/>
              </w:rPr>
            </w:pPr>
            <w:r>
              <w:rPr>
                <w:rFonts w:ascii="Arial" w:cs="Arial" w:eastAsia="Arial" w:hAnsi="Arial"/>
                <w:sz w:val="20"/>
                <w:szCs w:val="20"/>
                <w:color w:val="auto"/>
                <w:w w:val="88"/>
              </w:rPr>
              <w:t>100.000%</w:t>
            </w:r>
          </w:p>
        </w:tc>
      </w:tr>
    </w:tbl>
    <w:p>
      <w:pPr>
        <w:spacing w:after="0" w:line="276" w:lineRule="exact"/>
        <w:rPr>
          <w:sz w:val="20"/>
          <w:szCs w:val="20"/>
          <w:color w:val="auto"/>
        </w:rPr>
      </w:pPr>
    </w:p>
    <w:p>
      <w:pPr>
        <w:ind w:firstLine="644"/>
        <w:spacing w:after="0" w:line="246" w:lineRule="auto"/>
        <w:tabs>
          <w:tab w:leader="none" w:pos="1184" w:val="left"/>
        </w:tabs>
        <w:numPr>
          <w:ilvl w:val="0"/>
          <w:numId w:val="166"/>
        </w:numPr>
        <w:rPr>
          <w:rFonts w:ascii="Arial" w:cs="Arial" w:eastAsia="Arial" w:hAnsi="Arial"/>
          <w:sz w:val="20"/>
          <w:szCs w:val="20"/>
          <w:color w:val="auto"/>
        </w:rPr>
      </w:pPr>
      <w:r>
        <w:rPr>
          <w:rFonts w:ascii="Arial" w:cs="Arial" w:eastAsia="Arial" w:hAnsi="Arial"/>
          <w:sz w:val="20"/>
          <w:szCs w:val="20"/>
          <w:i w:val="1"/>
          <w:iCs w:val="1"/>
          <w:color w:val="auto"/>
        </w:rPr>
        <w:t xml:space="preserve">Mandatory Redemption. </w:t>
      </w:r>
      <w:r>
        <w:rPr>
          <w:rFonts w:ascii="Arial" w:cs="Arial" w:eastAsia="Arial" w:hAnsi="Arial"/>
          <w:sz w:val="20"/>
          <w:szCs w:val="20"/>
          <w:color w:val="auto"/>
        </w:rPr>
        <w:t>The Issuer is not required to make mandatory redemption or sinking fund payments with</w:t>
      </w:r>
      <w:r>
        <w:rPr>
          <w:rFonts w:ascii="Arial" w:cs="Arial" w:eastAsia="Arial" w:hAnsi="Arial"/>
          <w:sz w:val="20"/>
          <w:szCs w:val="20"/>
          <w:i w:val="1"/>
          <w:iCs w:val="1"/>
          <w:color w:val="auto"/>
        </w:rPr>
        <w:t xml:space="preserve"> </w:t>
      </w:r>
      <w:r>
        <w:rPr>
          <w:rFonts w:ascii="Arial" w:cs="Arial" w:eastAsia="Arial" w:hAnsi="Arial"/>
          <w:sz w:val="20"/>
          <w:szCs w:val="20"/>
          <w:color w:val="auto"/>
        </w:rPr>
        <w:t>respect to the Notes.</w:t>
      </w:r>
    </w:p>
    <w:p>
      <w:pPr>
        <w:spacing w:after="0" w:line="149" w:lineRule="exact"/>
        <w:rPr>
          <w:rFonts w:ascii="Arial" w:cs="Arial" w:eastAsia="Arial" w:hAnsi="Arial"/>
          <w:sz w:val="20"/>
          <w:szCs w:val="20"/>
          <w:color w:val="auto"/>
        </w:rPr>
      </w:pPr>
    </w:p>
    <w:p>
      <w:pPr>
        <w:ind w:left="1080" w:hanging="436"/>
        <w:spacing w:after="0"/>
        <w:tabs>
          <w:tab w:leader="none" w:pos="1080" w:val="left"/>
        </w:tabs>
        <w:numPr>
          <w:ilvl w:val="0"/>
          <w:numId w:val="166"/>
        </w:numPr>
        <w:rPr>
          <w:rFonts w:ascii="Arial" w:cs="Arial" w:eastAsia="Arial" w:hAnsi="Arial"/>
          <w:sz w:val="20"/>
          <w:szCs w:val="20"/>
          <w:color w:val="auto"/>
        </w:rPr>
      </w:pPr>
      <w:r>
        <w:rPr>
          <w:rFonts w:ascii="Arial" w:cs="Arial" w:eastAsia="Arial" w:hAnsi="Arial"/>
          <w:sz w:val="20"/>
          <w:szCs w:val="20"/>
          <w:i w:val="1"/>
          <w:iCs w:val="1"/>
          <w:color w:val="auto"/>
        </w:rPr>
        <w:t>Repurchase at the Option of Holder.</w:t>
      </w:r>
    </w:p>
    <w:p>
      <w:pPr>
        <w:spacing w:after="0" w:line="188" w:lineRule="exact"/>
        <w:rPr>
          <w:rFonts w:ascii="Arial" w:cs="Arial" w:eastAsia="Arial" w:hAnsi="Arial"/>
          <w:sz w:val="20"/>
          <w:szCs w:val="20"/>
          <w:color w:val="auto"/>
        </w:rPr>
      </w:pPr>
    </w:p>
    <w:p>
      <w:pPr>
        <w:jc w:val="both"/>
        <w:ind w:firstLine="1292"/>
        <w:spacing w:after="0" w:line="275" w:lineRule="auto"/>
        <w:tabs>
          <w:tab w:leader="none" w:pos="179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there is a Change of Control Triggering Event, the Issuer will be required to make a cash tender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$2,000 or an integral multiple of $1,000 in excess thereof) of each Holder’s Notes at a purchase price in cash equal to 101% of the aggregate principal amount thereof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0580"/>
          </w:cols>
          <w:pgMar w:left="980" w:top="1440" w:right="339" w:bottom="1440" w:gutter="0" w:footer="0" w:header="0"/>
        </w:sectPr>
      </w:pPr>
    </w:p>
    <w:bookmarkStart w:id="132" w:name="page133"/>
    <w:bookmarkEnd w:id="132"/>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accrued and unpaid interest thereon to, but excluding, the date of purchase, subject to the rights of Holders on the relevant record date to receive interest due on the relevant Interest Payment Date (the “</w:t>
      </w:r>
      <w:r>
        <w:rPr>
          <w:rFonts w:ascii="Arial" w:cs="Arial" w:eastAsia="Arial" w:hAnsi="Arial"/>
          <w:sz w:val="20"/>
          <w:szCs w:val="20"/>
          <w:i w:val="1"/>
          <w:iCs w:val="1"/>
          <w:color w:val="auto"/>
        </w:rPr>
        <w:t>Change of Control Payment</w:t>
      </w:r>
      <w:r>
        <w:rPr>
          <w:rFonts w:ascii="Arial" w:cs="Arial" w:eastAsia="Arial" w:hAnsi="Arial"/>
          <w:sz w:val="20"/>
          <w:szCs w:val="20"/>
          <w:color w:val="auto"/>
        </w:rPr>
        <w:t>”). Within 30 days following any Change of Control Triggering Event, the Issuer will mail a notice to each Holder (with a copy to the Trustee) setting forth the procedures governing the Change of Control Offer as required by the Indenture.</w:t>
      </w:r>
    </w:p>
    <w:p>
      <w:pPr>
        <w:spacing w:after="0" w:line="156" w:lineRule="exact"/>
        <w:rPr>
          <w:sz w:val="20"/>
          <w:szCs w:val="20"/>
          <w:color w:val="auto"/>
        </w:rPr>
      </w:pPr>
    </w:p>
    <w:p>
      <w:pPr>
        <w:jc w:val="both"/>
        <w:ind w:firstLine="1292"/>
        <w:spacing w:after="0" w:line="242" w:lineRule="auto"/>
        <w:tabs>
          <w:tab w:leader="none" w:pos="1776"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Notes containing provisions similar to those set forth in the Indenture with respect to offers to purchase with the proceeds of sales of assets to purchase,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the maximum principal amount of Notes and such other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Indebtedness that may be purchased, prepaid or redeemed out of the Excess Proceeds, as defined in the Indenture. Holders of Definitive Notes that are the subject of an offer to purchase will receive an Asset Sale Offer from the Issuer prior to any related purchase date and may elect to have such Notes purchased by completing the form entitled “</w:t>
      </w:r>
      <w:r>
        <w:rPr>
          <w:rFonts w:ascii="Arial" w:cs="Arial" w:eastAsia="Arial" w:hAnsi="Arial"/>
          <w:sz w:val="19"/>
          <w:szCs w:val="19"/>
          <w:i w:val="1"/>
          <w:iCs w:val="1"/>
          <w:color w:val="auto"/>
        </w:rPr>
        <w:t>Option of Holder to Elect</w:t>
      </w:r>
      <w:r>
        <w:rPr>
          <w:rFonts w:ascii="Arial" w:cs="Arial" w:eastAsia="Arial" w:hAnsi="Arial"/>
          <w:sz w:val="19"/>
          <w:szCs w:val="19"/>
          <w:color w:val="auto"/>
        </w:rPr>
        <w:t xml:space="preserve"> </w:t>
      </w:r>
      <w:r>
        <w:rPr>
          <w:rFonts w:ascii="Arial" w:cs="Arial" w:eastAsia="Arial" w:hAnsi="Arial"/>
          <w:sz w:val="19"/>
          <w:szCs w:val="19"/>
          <w:i w:val="1"/>
          <w:iCs w:val="1"/>
          <w:color w:val="auto"/>
        </w:rPr>
        <w:t>Purchase</w:t>
      </w:r>
      <w:r>
        <w:rPr>
          <w:rFonts w:ascii="Arial" w:cs="Arial" w:eastAsia="Arial" w:hAnsi="Arial"/>
          <w:sz w:val="19"/>
          <w:szCs w:val="19"/>
          <w:color w:val="auto"/>
        </w:rPr>
        <w:t>” attached to the Notes.</w:t>
      </w:r>
    </w:p>
    <w:p>
      <w:pPr>
        <w:spacing w:after="0" w:line="168" w:lineRule="exact"/>
        <w:rPr>
          <w:rFonts w:ascii="Arial" w:cs="Arial" w:eastAsia="Arial" w:hAnsi="Arial"/>
          <w:sz w:val="19"/>
          <w:szCs w:val="19"/>
          <w:color w:val="auto"/>
        </w:rPr>
      </w:pPr>
    </w:p>
    <w:p>
      <w:pPr>
        <w:jc w:val="both"/>
        <w:ind w:firstLine="644"/>
        <w:spacing w:after="0" w:line="230" w:lineRule="auto"/>
        <w:tabs>
          <w:tab w:leader="none" w:pos="1144"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Notice of Redemption</w:t>
      </w:r>
      <w:r>
        <w:rPr>
          <w:rFonts w:ascii="Arial" w:cs="Arial" w:eastAsia="Arial" w:hAnsi="Arial"/>
          <w:sz w:val="20"/>
          <w:szCs w:val="20"/>
          <w:color w:val="auto"/>
        </w:rPr>
        <w:t>. At least 10 days but not more than 60 days before a redemption date, the Issuer will send or</w:t>
      </w:r>
      <w:r>
        <w:rPr>
          <w:rFonts w:ascii="Arial" w:cs="Arial" w:eastAsia="Arial" w:hAnsi="Arial"/>
          <w:sz w:val="20"/>
          <w:szCs w:val="20"/>
          <w:i w:val="1"/>
          <w:iCs w:val="1"/>
          <w:color w:val="auto"/>
        </w:rPr>
        <w:t xml:space="preserve"> </w:t>
      </w:r>
      <w:r>
        <w:rPr>
          <w:rFonts w:ascii="Arial" w:cs="Arial" w:eastAsia="Arial" w:hAnsi="Arial"/>
          <w:sz w:val="20"/>
          <w:szCs w:val="20"/>
          <w:color w:val="auto"/>
        </w:rPr>
        <w:t>cause to be sent, 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171" w:lineRule="exact"/>
        <w:rPr>
          <w:rFonts w:ascii="Arial" w:cs="Arial" w:eastAsia="Arial" w:hAnsi="Arial"/>
          <w:sz w:val="20"/>
          <w:szCs w:val="20"/>
          <w:color w:val="auto"/>
        </w:rPr>
      </w:pPr>
    </w:p>
    <w:p>
      <w:pPr>
        <w:jc w:val="both"/>
        <w:ind w:firstLine="644"/>
        <w:spacing w:after="0" w:line="242" w:lineRule="auto"/>
        <w:tabs>
          <w:tab w:leader="none" w:pos="1211"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in minimum denominations of $2,000 and</w:t>
      </w:r>
      <w:r>
        <w:rPr>
          <w:rFonts w:ascii="Arial" w:cs="Arial" w:eastAsia="Arial" w:hAnsi="Arial"/>
          <w:sz w:val="19"/>
          <w:szCs w:val="19"/>
          <w:i w:val="1"/>
          <w:iCs w:val="1"/>
          <w:color w:val="auto"/>
        </w:rPr>
        <w:t xml:space="preserve"> </w:t>
      </w:r>
      <w:r>
        <w:rPr>
          <w:rFonts w:ascii="Arial" w:cs="Arial" w:eastAsia="Arial" w:hAnsi="Arial"/>
          <w:sz w:val="19"/>
          <w:szCs w:val="19"/>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154" w:lineRule="exact"/>
        <w:rPr>
          <w:rFonts w:ascii="Arial" w:cs="Arial" w:eastAsia="Arial" w:hAnsi="Arial"/>
          <w:sz w:val="19"/>
          <w:szCs w:val="19"/>
          <w:color w:val="auto"/>
        </w:rPr>
      </w:pPr>
    </w:p>
    <w:p>
      <w:pPr>
        <w:ind w:right="20" w:firstLine="644"/>
        <w:spacing w:after="0" w:line="246" w:lineRule="auto"/>
        <w:tabs>
          <w:tab w:leader="none" w:pos="1229"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Persons Deemed Owners</w:t>
      </w:r>
      <w:r>
        <w:rPr>
          <w:rFonts w:ascii="Arial" w:cs="Arial" w:eastAsia="Arial" w:hAnsi="Arial"/>
          <w:sz w:val="20"/>
          <w:szCs w:val="20"/>
          <w:color w:val="auto"/>
        </w:rPr>
        <w:t>. The registered Holder of a Note may be treated as the owner of it for all purposes. Only</w:t>
      </w:r>
      <w:r>
        <w:rPr>
          <w:rFonts w:ascii="Arial" w:cs="Arial" w:eastAsia="Arial" w:hAnsi="Arial"/>
          <w:sz w:val="20"/>
          <w:szCs w:val="20"/>
          <w:i w:val="1"/>
          <w:iCs w:val="1"/>
          <w:color w:val="auto"/>
        </w:rPr>
        <w:t xml:space="preserve"> </w:t>
      </w:r>
      <w:r>
        <w:rPr>
          <w:rFonts w:ascii="Arial" w:cs="Arial" w:eastAsia="Arial" w:hAnsi="Arial"/>
          <w:sz w:val="20"/>
          <w:szCs w:val="20"/>
          <w:color w:val="auto"/>
        </w:rPr>
        <w:t>registered Holders have rights under the Indenture.</w:t>
      </w:r>
    </w:p>
    <w:p>
      <w:pPr>
        <w:spacing w:after="0" w:line="163" w:lineRule="exact"/>
        <w:rPr>
          <w:rFonts w:ascii="Arial" w:cs="Arial" w:eastAsia="Arial" w:hAnsi="Arial"/>
          <w:sz w:val="20"/>
          <w:szCs w:val="20"/>
          <w:color w:val="auto"/>
        </w:rPr>
      </w:pPr>
    </w:p>
    <w:p>
      <w:pPr>
        <w:jc w:val="both"/>
        <w:ind w:firstLine="644"/>
        <w:spacing w:after="0" w:line="260"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the Notes or the Guarantees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 majority in aggregate principal amount of the then outstanding Notes including Additional Notes, if any, voting as a single class, and any existing Default or Event of Default or 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153" w:lineRule="exact"/>
        <w:rPr>
          <w:rFonts w:ascii="Arial" w:cs="Arial" w:eastAsia="Arial" w:hAnsi="Arial"/>
          <w:sz w:val="18"/>
          <w:szCs w:val="18"/>
          <w:color w:val="auto"/>
        </w:rPr>
      </w:pPr>
    </w:p>
    <w:p>
      <w:pPr>
        <w:ind w:left="1180" w:hanging="536"/>
        <w:spacing w:after="0"/>
        <w:tabs>
          <w:tab w:leader="none" w:pos="1180"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Defaults and Remedies</w:t>
      </w:r>
      <w:r>
        <w:rPr>
          <w:rFonts w:ascii="Arial" w:cs="Arial" w:eastAsia="Arial" w:hAnsi="Arial"/>
          <w:sz w:val="20"/>
          <w:szCs w:val="20"/>
          <w:color w:val="auto"/>
        </w:rPr>
        <w:t>. In the case of an Event of Default arising from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0580"/>
          </w:cols>
          <w:pgMar w:left="980" w:top="1440" w:right="339" w:bottom="1440" w:gutter="0" w:footer="0" w:header="0"/>
        </w:sectPr>
      </w:pPr>
    </w:p>
    <w:bookmarkStart w:id="133" w:name="page134"/>
    <w:bookmarkEnd w:id="133"/>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events of bankruptcy or insolvency with respect to the 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149" w:lineRule="exact"/>
        <w:rPr>
          <w:sz w:val="20"/>
          <w:szCs w:val="20"/>
          <w:color w:val="auto"/>
        </w:rPr>
      </w:pPr>
    </w:p>
    <w:p>
      <w:pPr>
        <w:jc w:val="both"/>
        <w:ind w:firstLine="644"/>
        <w:spacing w:after="0" w:line="237" w:lineRule="auto"/>
        <w:tabs>
          <w:tab w:leader="none" w:pos="1202"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Trustee Dealings with Issuer</w:t>
      </w:r>
      <w:r>
        <w:rPr>
          <w:rFonts w:ascii="Arial" w:cs="Arial" w:eastAsia="Arial" w:hAnsi="Arial"/>
          <w:sz w:val="20"/>
          <w:szCs w:val="20"/>
          <w:color w:val="auto"/>
        </w:rPr>
        <w:t>. The Trustee, in its individual or any other capacity, may make loans to, accept deposits</w:t>
      </w:r>
      <w:r>
        <w:rPr>
          <w:rFonts w:ascii="Arial" w:cs="Arial" w:eastAsia="Arial" w:hAnsi="Arial"/>
          <w:sz w:val="20"/>
          <w:szCs w:val="20"/>
          <w:i w:val="1"/>
          <w:iCs w:val="1"/>
          <w:color w:val="auto"/>
        </w:rPr>
        <w:t xml:space="preserve"> </w:t>
      </w:r>
      <w:r>
        <w:rPr>
          <w:rFonts w:ascii="Arial" w:cs="Arial" w:eastAsia="Arial" w:hAnsi="Arial"/>
          <w:sz w:val="20"/>
          <w:szCs w:val="20"/>
          <w:color w:val="auto"/>
        </w:rPr>
        <w:t>from, and perform services for the Issuer or its Affiliates, and may otherwise deal with the Issuer or its Affiliates, as if it were not the Trustee.</w:t>
      </w:r>
    </w:p>
    <w:p>
      <w:pPr>
        <w:spacing w:after="0" w:line="169" w:lineRule="exact"/>
        <w:rPr>
          <w:rFonts w:ascii="Arial" w:cs="Arial" w:eastAsia="Arial" w:hAnsi="Arial"/>
          <w:sz w:val="20"/>
          <w:szCs w:val="20"/>
          <w:color w:val="auto"/>
        </w:rPr>
      </w:pPr>
    </w:p>
    <w:p>
      <w:pPr>
        <w:jc w:val="both"/>
        <w:ind w:firstLine="644"/>
        <w:spacing w:after="0" w:line="246" w:lineRule="auto"/>
        <w:tabs>
          <w:tab w:leader="none" w:pos="1243" w:val="left"/>
        </w:tabs>
        <w:numPr>
          <w:ilvl w:val="0"/>
          <w:numId w:val="169"/>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partner, employee, incorporator, manager,</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 or 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62" w:lineRule="exact"/>
        <w:rPr>
          <w:rFonts w:ascii="Arial" w:cs="Arial" w:eastAsia="Arial" w:hAnsi="Arial"/>
          <w:sz w:val="19"/>
          <w:szCs w:val="19"/>
          <w:color w:val="auto"/>
        </w:rPr>
      </w:pPr>
    </w:p>
    <w:p>
      <w:pPr>
        <w:ind w:firstLine="644"/>
        <w:spacing w:after="0" w:line="246" w:lineRule="auto"/>
        <w:tabs>
          <w:tab w:leader="none" w:pos="1351"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Authentication</w:t>
      </w:r>
      <w:r>
        <w:rPr>
          <w:rFonts w:ascii="Arial" w:cs="Arial" w:eastAsia="Arial" w:hAnsi="Arial"/>
          <w:sz w:val="20"/>
          <w:szCs w:val="20"/>
          <w:color w:val="auto"/>
        </w:rPr>
        <w:t>. This Note will not be valid until authenticated by the manual signature of the Trustee or an</w:t>
      </w:r>
      <w:r>
        <w:rPr>
          <w:rFonts w:ascii="Arial" w:cs="Arial" w:eastAsia="Arial" w:hAnsi="Arial"/>
          <w:sz w:val="20"/>
          <w:szCs w:val="20"/>
          <w:i w:val="1"/>
          <w:iCs w:val="1"/>
          <w:color w:val="auto"/>
        </w:rPr>
        <w:t xml:space="preserve"> </w:t>
      </w:r>
      <w:r>
        <w:rPr>
          <w:rFonts w:ascii="Arial" w:cs="Arial" w:eastAsia="Arial" w:hAnsi="Arial"/>
          <w:sz w:val="20"/>
          <w:szCs w:val="20"/>
          <w:color w:val="auto"/>
        </w:rPr>
        <w:t>authenticating agent.</w:t>
      </w:r>
    </w:p>
    <w:p>
      <w:pPr>
        <w:spacing w:after="0" w:line="149" w:lineRule="exact"/>
        <w:rPr>
          <w:rFonts w:ascii="Arial" w:cs="Arial" w:eastAsia="Arial" w:hAnsi="Arial"/>
          <w:sz w:val="20"/>
          <w:szCs w:val="20"/>
          <w:color w:val="auto"/>
        </w:rPr>
      </w:pPr>
    </w:p>
    <w:p>
      <w:pPr>
        <w:jc w:val="both"/>
        <w:ind w:firstLine="644"/>
        <w:spacing w:after="0" w:line="237" w:lineRule="auto"/>
        <w:tabs>
          <w:tab w:leader="none" w:pos="1202"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Abbreviations</w:t>
      </w:r>
      <w:r>
        <w:rPr>
          <w:rFonts w:ascii="Arial" w:cs="Arial" w:eastAsia="Arial" w:hAnsi="Arial"/>
          <w:sz w:val="20"/>
          <w:szCs w:val="20"/>
          <w:color w:val="auto"/>
        </w:rPr>
        <w:t>. Customary abbreviations may be used in the name of a Holder or an assignee, such as: TEN COM (=</w:t>
      </w:r>
      <w:r>
        <w:rPr>
          <w:rFonts w:ascii="Arial" w:cs="Arial" w:eastAsia="Arial" w:hAnsi="Arial"/>
          <w:sz w:val="20"/>
          <w:szCs w:val="20"/>
          <w:i w:val="1"/>
          <w:iCs w:val="1"/>
          <w:color w:val="auto"/>
        </w:rPr>
        <w:t xml:space="preserve"> </w:t>
      </w:r>
      <w:r>
        <w:rPr>
          <w:rFonts w:ascii="Arial" w:cs="Arial" w:eastAsia="Arial" w:hAnsi="Arial"/>
          <w:sz w:val="20"/>
          <w:szCs w:val="20"/>
          <w:color w:val="auto"/>
        </w:rPr>
        <w:t>tenants in common), TEN ENT (= tenants by the entireties), JT TEN (= joint tenants with right of survivorship and not as tenants in common), CUST (= Custodian), and U/G/M/A (= Uniform Gifts to Minors Act).</w:t>
      </w:r>
    </w:p>
    <w:p>
      <w:pPr>
        <w:spacing w:after="0" w:line="169" w:lineRule="exact"/>
        <w:rPr>
          <w:rFonts w:ascii="Arial" w:cs="Arial" w:eastAsia="Arial" w:hAnsi="Arial"/>
          <w:sz w:val="20"/>
          <w:szCs w:val="20"/>
          <w:color w:val="auto"/>
        </w:rPr>
      </w:pPr>
    </w:p>
    <w:p>
      <w:pPr>
        <w:jc w:val="both"/>
        <w:ind w:firstLine="644"/>
        <w:spacing w:after="0" w:line="310" w:lineRule="auto"/>
        <w:tabs>
          <w:tab w:leader="none" w:pos="1229"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CUSIP Numbers</w:t>
      </w:r>
      <w:r>
        <w:rPr>
          <w:rFonts w:ascii="Arial" w:cs="Arial" w:eastAsia="Arial" w:hAnsi="Arial"/>
          <w:sz w:val="16"/>
          <w:szCs w:val="16"/>
          <w:color w:val="auto"/>
        </w:rPr>
        <w:t>. Pursuant to a recommendation promulgated by the Committee on Uniform Security Identification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15" w:lineRule="exact"/>
        <w:rPr>
          <w:rFonts w:ascii="Arial" w:cs="Arial" w:eastAsia="Arial" w:hAnsi="Arial"/>
          <w:sz w:val="16"/>
          <w:szCs w:val="16"/>
          <w:color w:val="auto"/>
        </w:rPr>
      </w:pPr>
    </w:p>
    <w:p>
      <w:pPr>
        <w:jc w:val="both"/>
        <w:ind w:right="20" w:firstLine="644"/>
        <w:spacing w:after="0" w:line="234" w:lineRule="auto"/>
        <w:tabs>
          <w:tab w:leader="none" w:pos="1432"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 xml:space="preserve">GOVERNING LAW. </w:t>
      </w:r>
      <w:r>
        <w:rPr>
          <w:rFonts w:ascii="Arial" w:cs="Arial" w:eastAsia="Arial" w:hAnsi="Arial"/>
          <w:sz w:val="20"/>
          <w:szCs w:val="20"/>
          <w:color w:val="auto"/>
        </w:rPr>
        <w:t>THE INDENTURE, THE NOTES AND THE GUARANTEES, AND ANY CLAIM,</w:t>
      </w:r>
      <w:r>
        <w:rPr>
          <w:rFonts w:ascii="Arial" w:cs="Arial" w:eastAsia="Arial" w:hAnsi="Arial"/>
          <w:sz w:val="20"/>
          <w:szCs w:val="20"/>
          <w:i w:val="1"/>
          <w:iCs w:val="1"/>
          <w:color w:val="auto"/>
        </w:rPr>
        <w:t xml:space="preserve"> </w:t>
      </w:r>
      <w:r>
        <w:rPr>
          <w:rFonts w:ascii="Arial" w:cs="Arial" w:eastAsia="Arial" w:hAnsi="Arial"/>
          <w:sz w:val="20"/>
          <w:szCs w:val="20"/>
          <w:color w:val="auto"/>
        </w:rPr>
        <w:t>CONTROVERSY OR DISPUTE ARISING UNDER OR RELATED TO THE INDENTURE, THE NOTES AND THE GUARANTEES,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0580"/>
          </w:cols>
          <w:pgMar w:left="980" w:top="1440" w:right="339" w:bottom="1440" w:gutter="0" w:footer="0" w:header="0"/>
        </w:sectPr>
      </w:pPr>
    </w:p>
    <w:bookmarkStart w:id="134" w:name="page135"/>
    <w:bookmarkEnd w:id="134"/>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Issuer will furnish to any Holder upon written request and without charge a copy of the Indenture. Requests may be made to:</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27" w:lineRule="auto"/>
        <w:rPr>
          <w:sz w:val="20"/>
          <w:szCs w:val="20"/>
          <w:color w:val="auto"/>
        </w:rPr>
      </w:pPr>
      <w:r>
        <w:rPr>
          <w:rFonts w:ascii="Arial" w:cs="Arial" w:eastAsia="Arial" w:hAnsi="Arial"/>
          <w:sz w:val="20"/>
          <w:szCs w:val="20"/>
          <w:color w:val="auto"/>
        </w:rPr>
        <w:t>27200 Tourney Road, Suite 200</w:t>
      </w:r>
    </w:p>
    <w:p>
      <w:pPr>
        <w:spacing w:after="0" w:line="225" w:lineRule="auto"/>
        <w:rPr>
          <w:sz w:val="20"/>
          <w:szCs w:val="20"/>
          <w:color w:val="auto"/>
        </w:rPr>
      </w:pPr>
      <w:r>
        <w:rPr>
          <w:rFonts w:ascii="Arial" w:cs="Arial" w:eastAsia="Arial" w:hAnsi="Arial"/>
          <w:sz w:val="20"/>
          <w:szCs w:val="20"/>
          <w:color w:val="auto"/>
        </w:rPr>
        <w:t>Santa Clarita, California 91355 Facsimile No.: (818) 661-3750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0220"/>
          </w:cols>
          <w:pgMar w:left="980" w:top="1440" w:right="699" w:bottom="1440" w:gutter="0" w:footer="0" w:header="0"/>
        </w:sectPr>
      </w:pPr>
    </w:p>
    <w:bookmarkStart w:id="135" w:name="page136"/>
    <w:bookmarkEnd w:id="135"/>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ASSIGNMENT FORM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assign this Note, fill in the form below:</w:t>
      </w:r>
    </w:p>
    <w:p>
      <w:pPr>
        <w:spacing w:after="0" w:line="189"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or (we) assign and transfer this Note to: _______________________________________________</w:t>
      </w:r>
    </w:p>
    <w:p>
      <w:pPr>
        <w:spacing w:after="0" w:line="2" w:lineRule="exact"/>
        <w:rPr>
          <w:rFonts w:ascii="Arial" w:cs="Arial" w:eastAsia="Arial" w:hAnsi="Arial"/>
          <w:sz w:val="20"/>
          <w:szCs w:val="20"/>
          <w:color w:val="auto"/>
        </w:rPr>
      </w:pPr>
    </w:p>
    <w:p>
      <w:pPr>
        <w:ind w:left="4540"/>
        <w:spacing w:after="0"/>
        <w:rPr>
          <w:rFonts w:ascii="Arial" w:cs="Arial" w:eastAsia="Arial" w:hAnsi="Arial"/>
          <w:sz w:val="20"/>
          <w:szCs w:val="20"/>
          <w:color w:val="auto"/>
        </w:rPr>
      </w:pPr>
      <w:r>
        <w:rPr>
          <w:rFonts w:ascii="Arial" w:cs="Arial" w:eastAsia="Arial" w:hAnsi="Arial"/>
          <w:sz w:val="20"/>
          <w:szCs w:val="20"/>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(Print or type assignee’s name, address and zip code)</w:t>
      </w:r>
    </w:p>
    <w:p>
      <w:pPr>
        <w:spacing w:after="0" w:line="189" w:lineRule="exact"/>
        <w:rPr>
          <w:sz w:val="20"/>
          <w:szCs w:val="20"/>
          <w:color w:val="auto"/>
        </w:rPr>
      </w:pPr>
    </w:p>
    <w:p>
      <w:pPr>
        <w:ind w:right="1760"/>
        <w:spacing w:after="0" w:line="429" w:lineRule="auto"/>
        <w:rPr>
          <w:sz w:val="20"/>
          <w:szCs w:val="20"/>
          <w:color w:val="auto"/>
        </w:rPr>
      </w:pPr>
      <w:r>
        <w:rPr>
          <w:rFonts w:ascii="Arial" w:cs="Arial" w:eastAsia="Arial" w:hAnsi="Arial"/>
          <w:sz w:val="20"/>
          <w:szCs w:val="20"/>
          <w:color w:val="auto"/>
        </w:rPr>
        <w:t>and irrevocably appoint to transfer this Note on the books of the Issuer. The agent may substitute another to act for him. Date: _______________</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Your Signature: ____________________________________</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w:t>
      </w:r>
    </w:p>
    <w:p>
      <w:pPr>
        <w:spacing w:after="0" w:line="189" w:lineRule="exact"/>
        <w:rPr>
          <w:sz w:val="20"/>
          <w:szCs w:val="20"/>
          <w:color w:val="auto"/>
        </w:rPr>
      </w:pPr>
    </w:p>
    <w:p>
      <w:pPr>
        <w:ind w:left="300" w:hanging="292"/>
        <w:spacing w:after="0"/>
        <w:tabs>
          <w:tab w:leader="none" w:pos="3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0"/>
          <w:szCs w:val="20"/>
          <w:color w:val="auto"/>
        </w:rPr>
        <w:t>A-10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OPTION OF HOLDER TO ELECT PURCHASE</w:t>
      </w:r>
    </w:p>
    <w:p>
      <w:pPr>
        <w:spacing w:after="0" w:line="175"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If you want to elect to have this Note purchased by the Issuer pursuant to Section 4.10 or 4.15 of the Indenture, check the appropriate box below:</w:t>
      </w:r>
    </w:p>
    <w:p>
      <w:pPr>
        <w:spacing w:after="0" w:line="126" w:lineRule="exact"/>
        <w:rPr>
          <w:sz w:val="20"/>
          <w:szCs w:val="20"/>
          <w:color w:val="auto"/>
        </w:rPr>
      </w:pPr>
    </w:p>
    <w:p>
      <w:pPr>
        <w:ind w:left="4620" w:hanging="235"/>
        <w:spacing w:after="0" w:line="230" w:lineRule="exact"/>
        <w:tabs>
          <w:tab w:leader="none" w:pos="4620" w:val="left"/>
        </w:tabs>
        <w:numPr>
          <w:ilvl w:val="0"/>
          <w:numId w:val="172"/>
        </w:numPr>
        <w:rPr>
          <w:rFonts w:ascii="MS PGothic" w:cs="MS PGothic" w:eastAsia="MS PGothic" w:hAnsi="MS PGothic"/>
          <w:sz w:val="20"/>
          <w:szCs w:val="20"/>
          <w:color w:val="auto"/>
        </w:rPr>
      </w:pPr>
      <w:r>
        <w:rPr>
          <w:rFonts w:ascii="Arial" w:cs="Arial" w:eastAsia="Arial" w:hAnsi="Arial"/>
          <w:sz w:val="20"/>
          <w:szCs w:val="20"/>
          <w:color w:val="auto"/>
        </w:rPr>
        <w:t xml:space="preserve">Section 4.10 </w:t>
      </w:r>
      <w:r>
        <w:rPr>
          <w:rFonts w:ascii="MS PGothic" w:cs="MS PGothic" w:eastAsia="MS PGothic" w:hAnsi="MS PGothic"/>
          <w:sz w:val="20"/>
          <w:szCs w:val="20"/>
          <w:color w:val="auto"/>
        </w:rPr>
        <w:t>☐</w:t>
      </w:r>
      <w:r>
        <w:rPr>
          <w:rFonts w:ascii="Arial" w:cs="Arial" w:eastAsia="Arial" w:hAnsi="Arial"/>
          <w:sz w:val="20"/>
          <w:szCs w:val="20"/>
          <w:color w:val="auto"/>
        </w:rPr>
        <w:t xml:space="preserve"> Section 4.15</w:t>
      </w:r>
    </w:p>
    <w:p>
      <w:pPr>
        <w:spacing w:after="0" w:line="22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If you want to elect to have only part of the Note purchased by the Issuer pursuant to Section 4.10 or Section 4.15 of the Indenture, state the amount you elect to have purchased:</w:t>
      </w:r>
    </w:p>
    <w:p>
      <w:pPr>
        <w:spacing w:after="0" w:line="150"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w:t>
      </w:r>
    </w:p>
    <w:p>
      <w:pPr>
        <w:spacing w:after="0" w:line="18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Your Signature: ____________________________________</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Tax Identification No.:__________________________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w:t>
      </w:r>
    </w:p>
    <w:p>
      <w:pPr>
        <w:spacing w:after="0" w:line="189" w:lineRule="exact"/>
        <w:rPr>
          <w:sz w:val="20"/>
          <w:szCs w:val="20"/>
          <w:color w:val="auto"/>
        </w:rPr>
      </w:pPr>
    </w:p>
    <w:p>
      <w:pPr>
        <w:ind w:left="300" w:hanging="292"/>
        <w:spacing w:after="0"/>
        <w:tabs>
          <w:tab w:leader="none" w:pos="3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9"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0"/>
          <w:szCs w:val="20"/>
          <w:color w:val="auto"/>
        </w:rPr>
        <w:t>A-11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2" w:lineRule="exact"/>
        <w:rPr>
          <w:sz w:val="20"/>
          <w:szCs w:val="20"/>
          <w:color w:val="auto"/>
        </w:rPr>
      </w:pPr>
    </w:p>
    <w:tbl>
      <w:tblPr>
        <w:tblLayout w:type="fixed"/>
        <w:tblInd w:w="472" w:type="dxa"/>
        <w:tblCellMar>
          <w:top w:w="0" w:type="dxa"/>
          <w:left w:w="0" w:type="dxa"/>
          <w:bottom w:w="0" w:type="dxa"/>
          <w:right w:w="0" w:type="dxa"/>
        </w:tblCellMar>
      </w:tblPr>
      <w:tr>
        <w:trPr>
          <w:trHeight w:val="250"/>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40" w:type="dxa"/>
            <w:vAlign w:val="bottom"/>
            <w:gridSpan w:val="12"/>
          </w:tcPr>
          <w:p>
            <w:pPr>
              <w:jc w:val="center"/>
              <w:ind w:right="1360"/>
              <w:spacing w:after="0"/>
              <w:rPr>
                <w:sz w:val="20"/>
                <w:szCs w:val="20"/>
                <w:color w:val="auto"/>
              </w:rPr>
            </w:pPr>
            <w:r>
              <w:rPr>
                <w:rFonts w:ascii="Arial" w:cs="Arial" w:eastAsia="Arial" w:hAnsi="Arial"/>
                <w:sz w:val="20"/>
                <w:szCs w:val="20"/>
                <w:color w:val="auto"/>
                <w:w w:val="94"/>
              </w:rPr>
              <w:t>SCHEDULE OF INCREASES OR DECREASES OF INTERESTS IN THE GLOBAL NOTE *</w:t>
            </w:r>
          </w:p>
        </w:tc>
      </w:tr>
      <w:tr>
        <w:trPr>
          <w:trHeight w:val="405"/>
        </w:trPr>
        <w:tc>
          <w:tcPr>
            <w:tcW w:w="180" w:type="dxa"/>
            <w:vAlign w:val="bottom"/>
          </w:tcPr>
          <w:p>
            <w:pPr>
              <w:spacing w:after="0"/>
              <w:rPr>
                <w:sz w:val="24"/>
                <w:szCs w:val="24"/>
                <w:color w:val="auto"/>
              </w:rPr>
            </w:pPr>
          </w:p>
        </w:tc>
        <w:tc>
          <w:tcPr>
            <w:tcW w:w="8360" w:type="dxa"/>
            <w:vAlign w:val="bottom"/>
            <w:gridSpan w:val="11"/>
          </w:tcPr>
          <w:p>
            <w:pPr>
              <w:spacing w:after="0"/>
              <w:rPr>
                <w:sz w:val="20"/>
                <w:szCs w:val="20"/>
                <w:color w:val="auto"/>
              </w:rPr>
            </w:pPr>
            <w:r>
              <w:rPr>
                <w:rFonts w:ascii="Arial" w:cs="Arial" w:eastAsia="Arial" w:hAnsi="Arial"/>
                <w:sz w:val="20"/>
                <w:szCs w:val="20"/>
                <w:color w:val="auto"/>
              </w:rPr>
              <w:t>The following increases or decreases in principal amount of this Global Note have been made:</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8"/>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20"/>
                <w:szCs w:val="20"/>
                <w:color w:val="auto"/>
                <w:w w:val="94"/>
              </w:rPr>
              <w:t>Amount of</w:t>
            </w:r>
          </w:p>
        </w:tc>
        <w:tc>
          <w:tcPr>
            <w:tcW w:w="460" w:type="dxa"/>
            <w:vAlign w:val="bottom"/>
          </w:tcPr>
          <w:p>
            <w:pPr>
              <w:spacing w:after="0"/>
              <w:rPr>
                <w:sz w:val="24"/>
                <w:szCs w:val="2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20"/>
                <w:szCs w:val="20"/>
                <w:color w:val="auto"/>
                <w:w w:val="94"/>
              </w:rPr>
              <w:t>Amount of</w:t>
            </w:r>
          </w:p>
        </w:tc>
        <w:tc>
          <w:tcPr>
            <w:tcW w:w="2320" w:type="dxa"/>
            <w:vAlign w:val="bottom"/>
            <w:gridSpan w:val="3"/>
          </w:tcPr>
          <w:p>
            <w:pPr>
              <w:jc w:val="center"/>
              <w:spacing w:after="0"/>
              <w:rPr>
                <w:sz w:val="20"/>
                <w:szCs w:val="20"/>
                <w:color w:val="auto"/>
              </w:rPr>
            </w:pPr>
            <w:r>
              <w:rPr>
                <w:rFonts w:ascii="Arial" w:cs="Arial" w:eastAsia="Arial" w:hAnsi="Arial"/>
                <w:sz w:val="20"/>
                <w:szCs w:val="20"/>
                <w:color w:val="auto"/>
                <w:w w:val="92"/>
              </w:rPr>
              <w:t>Principal Amount</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ind w:right="460"/>
              <w:spacing w:after="0" w:line="216" w:lineRule="exact"/>
              <w:rPr>
                <w:sz w:val="20"/>
                <w:szCs w:val="20"/>
                <w:color w:val="auto"/>
              </w:rPr>
            </w:pPr>
            <w:r>
              <w:rPr>
                <w:rFonts w:ascii="Arial" w:cs="Arial" w:eastAsia="Arial" w:hAnsi="Arial"/>
                <w:sz w:val="20"/>
                <w:szCs w:val="20"/>
                <w:color w:val="auto"/>
                <w:w w:val="85"/>
              </w:rPr>
              <w:t>decrease in</w:t>
            </w:r>
          </w:p>
        </w:tc>
        <w:tc>
          <w:tcPr>
            <w:tcW w:w="460" w:type="dxa"/>
            <w:vAlign w:val="bottom"/>
          </w:tcPr>
          <w:p>
            <w:pPr>
              <w:spacing w:after="0"/>
              <w:rPr>
                <w:sz w:val="18"/>
                <w:szCs w:val="18"/>
                <w:color w:val="auto"/>
              </w:rPr>
            </w:pPr>
          </w:p>
        </w:tc>
        <w:tc>
          <w:tcPr>
            <w:tcW w:w="1760" w:type="dxa"/>
            <w:vAlign w:val="bottom"/>
            <w:gridSpan w:val="2"/>
          </w:tcPr>
          <w:p>
            <w:pPr>
              <w:jc w:val="center"/>
              <w:ind w:right="440"/>
              <w:spacing w:after="0" w:line="216" w:lineRule="exact"/>
              <w:rPr>
                <w:sz w:val="20"/>
                <w:szCs w:val="20"/>
                <w:color w:val="auto"/>
              </w:rPr>
            </w:pPr>
            <w:r>
              <w:rPr>
                <w:rFonts w:ascii="Arial" w:cs="Arial" w:eastAsia="Arial" w:hAnsi="Arial"/>
                <w:sz w:val="20"/>
                <w:szCs w:val="20"/>
                <w:color w:val="auto"/>
                <w:w w:val="86"/>
              </w:rPr>
              <w:t>increase in</w:t>
            </w:r>
          </w:p>
        </w:tc>
        <w:tc>
          <w:tcPr>
            <w:tcW w:w="232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2"/>
              </w:rPr>
              <w:t>of this Global Note</w:t>
            </w:r>
          </w:p>
        </w:tc>
        <w:tc>
          <w:tcPr>
            <w:tcW w:w="1800" w:type="dxa"/>
            <w:vAlign w:val="bottom"/>
            <w:gridSpan w:val="3"/>
          </w:tcPr>
          <w:p>
            <w:pPr>
              <w:jc w:val="center"/>
              <w:ind w:left="281"/>
              <w:spacing w:after="0" w:line="216" w:lineRule="exact"/>
              <w:rPr>
                <w:sz w:val="20"/>
                <w:szCs w:val="20"/>
                <w:color w:val="auto"/>
              </w:rPr>
            </w:pPr>
            <w:r>
              <w:rPr>
                <w:rFonts w:ascii="Arial" w:cs="Arial" w:eastAsia="Arial" w:hAnsi="Arial"/>
                <w:sz w:val="20"/>
                <w:szCs w:val="20"/>
                <w:color w:val="auto"/>
                <w:w w:val="90"/>
              </w:rPr>
              <w:t>Signature of</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3"/>
          </w:tcPr>
          <w:p>
            <w:pPr>
              <w:jc w:val="center"/>
              <w:ind w:left="341"/>
              <w:spacing w:after="0" w:line="216" w:lineRule="exact"/>
              <w:rPr>
                <w:sz w:val="20"/>
                <w:szCs w:val="20"/>
                <w:color w:val="auto"/>
              </w:rPr>
            </w:pPr>
            <w:r>
              <w:rPr>
                <w:rFonts w:ascii="Arial" w:cs="Arial" w:eastAsia="Arial" w:hAnsi="Arial"/>
                <w:sz w:val="20"/>
                <w:szCs w:val="20"/>
                <w:color w:val="auto"/>
                <w:w w:val="93"/>
              </w:rPr>
              <w:t>Principal Amount</w:t>
            </w:r>
          </w:p>
        </w:tc>
        <w:tc>
          <w:tcPr>
            <w:tcW w:w="222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3"/>
              </w:rPr>
              <w:t>Principal Amount</w:t>
            </w:r>
          </w:p>
        </w:tc>
        <w:tc>
          <w:tcPr>
            <w:tcW w:w="2320" w:type="dxa"/>
            <w:vAlign w:val="bottom"/>
            <w:gridSpan w:val="3"/>
          </w:tcPr>
          <w:p>
            <w:pPr>
              <w:jc w:val="center"/>
              <w:ind w:right="20"/>
              <w:spacing w:after="0" w:line="216" w:lineRule="exact"/>
              <w:rPr>
                <w:sz w:val="20"/>
                <w:szCs w:val="20"/>
                <w:color w:val="auto"/>
              </w:rPr>
            </w:pPr>
            <w:r>
              <w:rPr>
                <w:rFonts w:ascii="Arial" w:cs="Arial" w:eastAsia="Arial" w:hAnsi="Arial"/>
                <w:sz w:val="20"/>
                <w:szCs w:val="20"/>
                <w:color w:val="auto"/>
                <w:w w:val="93"/>
              </w:rPr>
              <w:t>following such</w:t>
            </w:r>
          </w:p>
        </w:tc>
        <w:tc>
          <w:tcPr>
            <w:tcW w:w="1800" w:type="dxa"/>
            <w:vAlign w:val="bottom"/>
            <w:gridSpan w:val="3"/>
          </w:tcPr>
          <w:p>
            <w:pPr>
              <w:jc w:val="center"/>
              <w:ind w:left="281"/>
              <w:spacing w:after="0" w:line="216" w:lineRule="exact"/>
              <w:rPr>
                <w:sz w:val="20"/>
                <w:szCs w:val="20"/>
                <w:color w:val="auto"/>
              </w:rPr>
            </w:pPr>
            <w:r>
              <w:rPr>
                <w:rFonts w:ascii="Arial" w:cs="Arial" w:eastAsia="Arial" w:hAnsi="Arial"/>
                <w:sz w:val="20"/>
                <w:szCs w:val="20"/>
                <w:color w:val="auto"/>
                <w:w w:val="92"/>
              </w:rPr>
              <w:t>authorized officer</w:t>
            </w:r>
          </w:p>
        </w:tc>
      </w:tr>
      <w:tr>
        <w:trPr>
          <w:trHeight w:val="216"/>
        </w:trPr>
        <w:tc>
          <w:tcPr>
            <w:tcW w:w="1300" w:type="dxa"/>
            <w:vAlign w:val="bottom"/>
            <w:gridSpan w:val="3"/>
          </w:tcPr>
          <w:p>
            <w:pPr>
              <w:spacing w:after="0" w:line="216" w:lineRule="exact"/>
              <w:rPr>
                <w:sz w:val="20"/>
                <w:szCs w:val="20"/>
                <w:color w:val="auto"/>
              </w:rPr>
            </w:pPr>
            <w:r>
              <w:rPr>
                <w:rFonts w:ascii="Arial" w:cs="Arial" w:eastAsia="Arial" w:hAnsi="Arial"/>
                <w:sz w:val="20"/>
                <w:szCs w:val="20"/>
                <w:color w:val="auto"/>
                <w:w w:val="87"/>
              </w:rPr>
              <w:t>Date of Increase</w:t>
            </w:r>
          </w:p>
        </w:tc>
        <w:tc>
          <w:tcPr>
            <w:tcW w:w="920" w:type="dxa"/>
            <w:vAlign w:val="bottom"/>
          </w:tcPr>
          <w:p>
            <w:pPr>
              <w:spacing w:after="0"/>
              <w:rPr>
                <w:sz w:val="18"/>
                <w:szCs w:val="18"/>
                <w:color w:val="auto"/>
              </w:rPr>
            </w:pPr>
          </w:p>
        </w:tc>
        <w:tc>
          <w:tcPr>
            <w:tcW w:w="1780" w:type="dxa"/>
            <w:vAlign w:val="bottom"/>
            <w:gridSpan w:val="2"/>
          </w:tcPr>
          <w:p>
            <w:pPr>
              <w:jc w:val="center"/>
              <w:ind w:right="460"/>
              <w:spacing w:after="0" w:line="216" w:lineRule="exact"/>
              <w:rPr>
                <w:sz w:val="20"/>
                <w:szCs w:val="20"/>
                <w:color w:val="auto"/>
              </w:rPr>
            </w:pPr>
            <w:r>
              <w:rPr>
                <w:rFonts w:ascii="Arial" w:cs="Arial" w:eastAsia="Arial" w:hAnsi="Arial"/>
                <w:sz w:val="20"/>
                <w:szCs w:val="20"/>
                <w:color w:val="auto"/>
                <w:w w:val="95"/>
              </w:rPr>
              <w:t>of</w:t>
            </w:r>
          </w:p>
        </w:tc>
        <w:tc>
          <w:tcPr>
            <w:tcW w:w="460" w:type="dxa"/>
            <w:vAlign w:val="bottom"/>
          </w:tcPr>
          <w:p>
            <w:pPr>
              <w:spacing w:after="0"/>
              <w:rPr>
                <w:sz w:val="18"/>
                <w:szCs w:val="18"/>
                <w:color w:val="auto"/>
              </w:rPr>
            </w:pPr>
          </w:p>
        </w:tc>
        <w:tc>
          <w:tcPr>
            <w:tcW w:w="1760" w:type="dxa"/>
            <w:vAlign w:val="bottom"/>
            <w:gridSpan w:val="2"/>
          </w:tcPr>
          <w:p>
            <w:pPr>
              <w:jc w:val="center"/>
              <w:ind w:right="440"/>
              <w:spacing w:after="0" w:line="216" w:lineRule="exact"/>
              <w:rPr>
                <w:sz w:val="20"/>
                <w:szCs w:val="20"/>
                <w:color w:val="auto"/>
              </w:rPr>
            </w:pPr>
            <w:r>
              <w:rPr>
                <w:rFonts w:ascii="Arial" w:cs="Arial" w:eastAsia="Arial" w:hAnsi="Arial"/>
                <w:sz w:val="20"/>
                <w:szCs w:val="20"/>
                <w:color w:val="auto"/>
                <w:w w:val="95"/>
              </w:rPr>
              <w:t>of</w:t>
            </w:r>
          </w:p>
        </w:tc>
        <w:tc>
          <w:tcPr>
            <w:tcW w:w="720" w:type="dxa"/>
            <w:vAlign w:val="bottom"/>
          </w:tcPr>
          <w:p>
            <w:pPr>
              <w:spacing w:after="0"/>
              <w:rPr>
                <w:sz w:val="18"/>
                <w:szCs w:val="18"/>
                <w:color w:val="auto"/>
              </w:rPr>
            </w:pPr>
          </w:p>
        </w:tc>
        <w:tc>
          <w:tcPr>
            <w:tcW w:w="1600" w:type="dxa"/>
            <w:vAlign w:val="bottom"/>
            <w:gridSpan w:val="2"/>
          </w:tcPr>
          <w:p>
            <w:pPr>
              <w:jc w:val="center"/>
              <w:ind w:right="720"/>
              <w:spacing w:after="0" w:line="216" w:lineRule="exact"/>
              <w:rPr>
                <w:sz w:val="20"/>
                <w:szCs w:val="20"/>
                <w:color w:val="auto"/>
              </w:rPr>
            </w:pPr>
            <w:r>
              <w:rPr>
                <w:rFonts w:ascii="Arial" w:cs="Arial" w:eastAsia="Arial" w:hAnsi="Arial"/>
                <w:sz w:val="20"/>
                <w:szCs w:val="20"/>
                <w:color w:val="auto"/>
                <w:w w:val="82"/>
              </w:rPr>
              <w:t>decrease</w:t>
            </w:r>
          </w:p>
        </w:tc>
        <w:tc>
          <w:tcPr>
            <w:tcW w:w="1800" w:type="dxa"/>
            <w:vAlign w:val="bottom"/>
            <w:gridSpan w:val="3"/>
          </w:tcPr>
          <w:p>
            <w:pPr>
              <w:jc w:val="center"/>
              <w:ind w:left="281"/>
              <w:spacing w:after="0" w:line="216" w:lineRule="exact"/>
              <w:rPr>
                <w:sz w:val="20"/>
                <w:szCs w:val="20"/>
                <w:color w:val="auto"/>
              </w:rPr>
            </w:pPr>
            <w:r>
              <w:rPr>
                <w:rFonts w:ascii="Arial" w:cs="Arial" w:eastAsia="Arial" w:hAnsi="Arial"/>
                <w:sz w:val="20"/>
                <w:szCs w:val="20"/>
                <w:color w:val="auto"/>
                <w:w w:val="89"/>
              </w:rPr>
              <w:t>of Trustee or</w:t>
            </w:r>
          </w:p>
        </w:tc>
      </w:tr>
      <w:tr>
        <w:trPr>
          <w:trHeight w:val="206"/>
        </w:trPr>
        <w:tc>
          <w:tcPr>
            <w:tcW w:w="180" w:type="dxa"/>
            <w:vAlign w:val="bottom"/>
          </w:tcPr>
          <w:p>
            <w:pPr>
              <w:spacing w:after="0"/>
              <w:rPr>
                <w:sz w:val="17"/>
                <w:szCs w:val="17"/>
                <w:color w:val="auto"/>
              </w:rPr>
            </w:pPr>
          </w:p>
        </w:tc>
        <w:tc>
          <w:tcPr>
            <w:tcW w:w="940" w:type="dxa"/>
            <w:vAlign w:val="bottom"/>
          </w:tcPr>
          <w:p>
            <w:pPr>
              <w:spacing w:after="0" w:line="206" w:lineRule="exact"/>
              <w:rPr>
                <w:sz w:val="20"/>
                <w:szCs w:val="20"/>
                <w:color w:val="auto"/>
              </w:rPr>
            </w:pPr>
            <w:r>
              <w:rPr>
                <w:rFonts w:ascii="Arial" w:cs="Arial" w:eastAsia="Arial" w:hAnsi="Arial"/>
                <w:sz w:val="20"/>
                <w:szCs w:val="20"/>
                <w:color w:val="auto"/>
                <w:w w:val="84"/>
              </w:rPr>
              <w:t>or Decrease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gridSpan w:val="2"/>
          </w:tcPr>
          <w:p>
            <w:pPr>
              <w:jc w:val="center"/>
              <w:ind w:right="460"/>
              <w:spacing w:after="0" w:line="206" w:lineRule="exact"/>
              <w:rPr>
                <w:sz w:val="20"/>
                <w:szCs w:val="20"/>
                <w:color w:val="auto"/>
              </w:rPr>
            </w:pPr>
            <w:r>
              <w:rPr>
                <w:rFonts w:ascii="Arial" w:cs="Arial" w:eastAsia="Arial" w:hAnsi="Arial"/>
                <w:sz w:val="20"/>
                <w:szCs w:val="20"/>
                <w:color w:val="auto"/>
                <w:w w:val="92"/>
              </w:rPr>
              <w:t>this Global Note</w:t>
            </w:r>
          </w:p>
        </w:tc>
        <w:tc>
          <w:tcPr>
            <w:tcW w:w="222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92"/>
              </w:rPr>
              <w:t>this Global Note</w:t>
            </w:r>
          </w:p>
        </w:tc>
        <w:tc>
          <w:tcPr>
            <w:tcW w:w="232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89"/>
              </w:rPr>
              <w:t>(or increase)</w:t>
            </w:r>
          </w:p>
        </w:tc>
        <w:tc>
          <w:tcPr>
            <w:tcW w:w="700" w:type="dxa"/>
            <w:vAlign w:val="bottom"/>
          </w:tcPr>
          <w:p>
            <w:pPr>
              <w:spacing w:after="0"/>
              <w:rPr>
                <w:sz w:val="17"/>
                <w:szCs w:val="17"/>
                <w:color w:val="auto"/>
              </w:rPr>
            </w:pPr>
          </w:p>
        </w:tc>
        <w:tc>
          <w:tcPr>
            <w:tcW w:w="1100" w:type="dxa"/>
            <w:vAlign w:val="bottom"/>
            <w:gridSpan w:val="2"/>
          </w:tcPr>
          <w:p>
            <w:pPr>
              <w:jc w:val="center"/>
              <w:ind w:right="300"/>
              <w:spacing w:after="0" w:line="206" w:lineRule="exact"/>
              <w:rPr>
                <w:sz w:val="20"/>
                <w:szCs w:val="20"/>
                <w:color w:val="auto"/>
              </w:rPr>
            </w:pPr>
            <w:r>
              <w:rPr>
                <w:rFonts w:ascii="Arial" w:cs="Arial" w:eastAsia="Arial" w:hAnsi="Arial"/>
                <w:sz w:val="20"/>
                <w:szCs w:val="20"/>
                <w:color w:val="auto"/>
                <w:w w:val="88"/>
              </w:rPr>
              <w:t>Custodian</w:t>
            </w: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2" w:hanging="152"/>
        <w:spacing w:after="0"/>
        <w:tabs>
          <w:tab w:leader="none" w:pos="152" w:val="left"/>
        </w:tabs>
        <w:numPr>
          <w:ilvl w:val="0"/>
          <w:numId w:val="174"/>
        </w:numPr>
        <w:rPr>
          <w:rFonts w:ascii="Arial" w:cs="Arial" w:eastAsia="Arial" w:hAnsi="Arial"/>
          <w:sz w:val="20"/>
          <w:szCs w:val="20"/>
          <w:color w:val="auto"/>
        </w:rPr>
      </w:pPr>
      <w:r>
        <w:rPr>
          <w:rFonts w:ascii="Arial" w:cs="Arial" w:eastAsia="Arial" w:hAnsi="Arial"/>
          <w:sz w:val="20"/>
          <w:szCs w:val="20"/>
          <w:i w:val="1"/>
          <w:iCs w:val="1"/>
          <w:color w:val="auto"/>
        </w:rPr>
        <w:t>This schedule should be included only if the Note is issued in global form</w:t>
      </w:r>
      <w:r>
        <w:rPr>
          <w:rFonts w:ascii="Arial" w:cs="Arial" w:eastAsia="Arial" w:hAnsi="Arial"/>
          <w:sz w:val="20"/>
          <w:szCs w:val="20"/>
          <w:color w:val="auto"/>
        </w:rPr>
        <w:t>.</w:t>
      </w:r>
    </w:p>
    <w:p>
      <w:pPr>
        <w:sectPr>
          <w:pgSz w:w="11900" w:h="16838" w:orient="portrait"/>
          <w:cols w:equalWidth="0" w:num="1">
            <w:col w:w="10812"/>
          </w:cols>
          <w:pgMar w:left="328"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812"/>
          </w:cols>
          <w:pgMar w:left="328" w:top="1440" w:right="759"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CERTIFICATE OF TRANSFER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27" w:lineRule="auto"/>
        <w:rPr>
          <w:sz w:val="20"/>
          <w:szCs w:val="20"/>
          <w:color w:val="auto"/>
        </w:rPr>
      </w:pPr>
      <w:r>
        <w:rPr>
          <w:rFonts w:ascii="Arial" w:cs="Arial" w:eastAsia="Arial" w:hAnsi="Arial"/>
          <w:sz w:val="20"/>
          <w:szCs w:val="20"/>
          <w:color w:val="auto"/>
        </w:rPr>
        <w:t>27200 Tourney Road, Suite 200</w:t>
      </w:r>
    </w:p>
    <w:p>
      <w:pPr>
        <w:spacing w:after="0" w:line="225" w:lineRule="auto"/>
        <w:rPr>
          <w:sz w:val="20"/>
          <w:szCs w:val="20"/>
          <w:color w:val="auto"/>
        </w:rPr>
      </w:pPr>
      <w:r>
        <w:rPr>
          <w:rFonts w:ascii="Arial" w:cs="Arial" w:eastAsia="Arial" w:hAnsi="Arial"/>
          <w:sz w:val="20"/>
          <w:szCs w:val="20"/>
          <w:color w:val="auto"/>
        </w:rPr>
        <w:t>Santa Clarita, California 91355</w:t>
      </w:r>
    </w:p>
    <w:p>
      <w:pPr>
        <w:spacing w:after="0" w:line="226" w:lineRule="auto"/>
        <w:rPr>
          <w:sz w:val="20"/>
          <w:szCs w:val="20"/>
          <w:color w:val="auto"/>
        </w:rPr>
      </w:pPr>
      <w:r>
        <w:rPr>
          <w:rFonts w:ascii="Arial" w:cs="Arial" w:eastAsia="Arial" w:hAnsi="Arial"/>
          <w:sz w:val="20"/>
          <w:szCs w:val="20"/>
          <w:color w:val="auto"/>
        </w:rPr>
        <w:t>Facsimile No.: (818) 661-3750</w:t>
      </w:r>
    </w:p>
    <w:p>
      <w:pPr>
        <w:spacing w:after="0"/>
        <w:rPr>
          <w:sz w:val="20"/>
          <w:szCs w:val="20"/>
          <w:color w:val="auto"/>
        </w:rPr>
      </w:pPr>
      <w:r>
        <w:rPr>
          <w:rFonts w:ascii="Arial" w:cs="Arial" w:eastAsia="Arial" w:hAnsi="Arial"/>
          <w:sz w:val="20"/>
          <w:szCs w:val="20"/>
          <w:color w:val="auto"/>
        </w:rPr>
        <w:t>Attention: 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227" w:lineRule="auto"/>
        <w:rPr>
          <w:sz w:val="20"/>
          <w:szCs w:val="20"/>
          <w:color w:val="auto"/>
        </w:rPr>
      </w:pPr>
      <w:r>
        <w:rPr>
          <w:rFonts w:ascii="Arial" w:cs="Arial" w:eastAsia="Arial" w:hAnsi="Arial"/>
          <w:sz w:val="20"/>
          <w:szCs w:val="20"/>
          <w:color w:val="auto"/>
        </w:rPr>
        <w:t>50 South Sixth Street, Suite 1290</w:t>
      </w:r>
    </w:p>
    <w:p>
      <w:pPr>
        <w:spacing w:after="0" w:line="225" w:lineRule="auto"/>
        <w:rPr>
          <w:sz w:val="20"/>
          <w:szCs w:val="20"/>
          <w:color w:val="auto"/>
        </w:rPr>
      </w:pPr>
      <w:r>
        <w:rPr>
          <w:rFonts w:ascii="Arial" w:cs="Arial" w:eastAsia="Arial" w:hAnsi="Arial"/>
          <w:sz w:val="20"/>
          <w:szCs w:val="20"/>
          <w:color w:val="auto"/>
        </w:rPr>
        <w:t>Minneapolis, Minnesota 55402</w:t>
      </w:r>
    </w:p>
    <w:p>
      <w:pPr>
        <w:spacing w:after="0" w:line="226" w:lineRule="auto"/>
        <w:rPr>
          <w:sz w:val="20"/>
          <w:szCs w:val="20"/>
          <w:color w:val="auto"/>
        </w:rPr>
      </w:pPr>
      <w:r>
        <w:rPr>
          <w:rFonts w:ascii="Arial" w:cs="Arial" w:eastAsia="Arial" w:hAnsi="Arial"/>
          <w:sz w:val="20"/>
          <w:szCs w:val="20"/>
          <w:color w:val="auto"/>
        </w:rPr>
        <w:t>Facsimile No.: (612) 217-5651</w:t>
      </w:r>
    </w:p>
    <w:p>
      <w:pPr>
        <w:spacing w:after="0"/>
        <w:rPr>
          <w:sz w:val="20"/>
          <w:szCs w:val="20"/>
          <w:color w:val="auto"/>
        </w:rPr>
      </w:pPr>
      <w:r>
        <w:rPr>
          <w:rFonts w:ascii="Arial" w:cs="Arial" w:eastAsia="Arial" w:hAnsi="Arial"/>
          <w:sz w:val="20"/>
          <w:szCs w:val="20"/>
          <w:color w:val="auto"/>
        </w:rPr>
        <w:t>Attention: California Resources Corporation, Administrator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California Resources Corporation 7.125% Senior Notes due 2026</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Reference is hereby made to the Indenture, dated as of January 20, 2021 (the “</w:t>
      </w:r>
      <w:r>
        <w:rPr>
          <w:rFonts w:ascii="Arial" w:cs="Arial" w:eastAsia="Arial" w:hAnsi="Arial"/>
          <w:sz w:val="20"/>
          <w:szCs w:val="20"/>
          <w:i w:val="1"/>
          <w:iCs w:val="1"/>
          <w:color w:val="auto"/>
        </w:rPr>
        <w:t>Indenture</w:t>
      </w:r>
      <w:r>
        <w:rPr>
          <w:rFonts w:ascii="Arial" w:cs="Arial" w:eastAsia="Arial" w:hAnsi="Arial"/>
          <w:sz w:val="20"/>
          <w:szCs w:val="20"/>
          <w:color w:val="auto"/>
        </w:rPr>
        <w:t>”), among California Resources Corporation, a Delaware corporation (the “</w:t>
      </w:r>
      <w:r>
        <w:rPr>
          <w:rFonts w:ascii="Arial" w:cs="Arial" w:eastAsia="Arial" w:hAnsi="Arial"/>
          <w:sz w:val="20"/>
          <w:szCs w:val="20"/>
          <w:i w:val="1"/>
          <w:iCs w:val="1"/>
          <w:color w:val="auto"/>
        </w:rPr>
        <w:t>Issuer</w:t>
      </w:r>
      <w:r>
        <w:rPr>
          <w:rFonts w:ascii="Arial" w:cs="Arial" w:eastAsia="Arial" w:hAnsi="Arial"/>
          <w:sz w:val="20"/>
          <w:szCs w:val="20"/>
          <w:color w:val="auto"/>
        </w:rPr>
        <w:t>”), the Guarantors party thereto and Wilmington Trust, National Association, as trustee. Capitalized terms used but not defined herein shall have the meanings given to them in the Indenture.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 (the “</w:t>
      </w:r>
      <w:r>
        <w:rPr>
          <w:rFonts w:ascii="Arial" w:cs="Arial" w:eastAsia="Arial" w:hAnsi="Arial"/>
          <w:sz w:val="18"/>
          <w:szCs w:val="18"/>
          <w:i w:val="1"/>
          <w:iCs w:val="1"/>
          <w:color w:val="auto"/>
        </w:rPr>
        <w:t>Transferor</w:t>
      </w:r>
      <w:r>
        <w:rPr>
          <w:rFonts w:ascii="Arial" w:cs="Arial" w:eastAsia="Arial" w:hAnsi="Arial"/>
          <w:sz w:val="18"/>
          <w:szCs w:val="18"/>
          <w:color w:val="auto"/>
        </w:rPr>
        <w:t>”) owns and proposes to transfer the Note[s] or interest in such Note[s] specified in Annex 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hereto, in the principal amount of $___________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___________________________ (the</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Transferee</w:t>
      </w:r>
      <w:r>
        <w:rPr>
          <w:rFonts w:ascii="Arial" w:cs="Arial" w:eastAsia="Arial" w:hAnsi="Arial"/>
          <w:sz w:val="20"/>
          <w:szCs w:val="20"/>
          <w:color w:val="auto"/>
        </w:rPr>
        <w:t>”), as further specified in Annex A hereto. In connection with the Transfer, the Transferor hereby certifies that: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[CHECK ALL THAT APPLY]</w:t>
      </w:r>
    </w:p>
    <w:p>
      <w:pPr>
        <w:spacing w:after="0" w:line="151" w:lineRule="exact"/>
        <w:rPr>
          <w:sz w:val="20"/>
          <w:szCs w:val="20"/>
          <w:color w:val="auto"/>
        </w:rPr>
      </w:pPr>
    </w:p>
    <w:p>
      <w:pPr>
        <w:jc w:val="both"/>
        <w:ind w:firstLine="656"/>
        <w:spacing w:after="0" w:line="224" w:lineRule="exact"/>
        <w:tabs>
          <w:tab w:leader="none" w:pos="859" w:val="left"/>
        </w:tabs>
        <w:numPr>
          <w:ilvl w:val="0"/>
          <w:numId w:val="175"/>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144A Global Note or a Restricted Definitive Note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pursuant to Rule 144A</w:t>
      </w:r>
      <w:r>
        <w:rPr>
          <w:rFonts w:ascii="Arial" w:cs="Arial" w:eastAsia="Arial" w:hAnsi="Arial"/>
          <w:sz w:val="19"/>
          <w:szCs w:val="19"/>
          <w:color w:val="auto"/>
        </w:rPr>
        <w:t>. The Transfer is being effected pursuant to and in accordance with Rule 144A under the Securities Act of 1933,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18" w:lineRule="exact"/>
        <w:rPr>
          <w:rFonts w:ascii="Arial" w:cs="Arial" w:eastAsia="Arial" w:hAnsi="Arial"/>
          <w:sz w:val="19"/>
          <w:szCs w:val="19"/>
          <w:color w:val="auto"/>
        </w:rPr>
      </w:pPr>
    </w:p>
    <w:p>
      <w:pPr>
        <w:jc w:val="both"/>
        <w:ind w:right="20" w:firstLine="656"/>
        <w:spacing w:after="0" w:line="234" w:lineRule="exact"/>
        <w:tabs>
          <w:tab w:leader="none" w:pos="846" w:val="left"/>
        </w:tabs>
        <w:numPr>
          <w:ilvl w:val="0"/>
          <w:numId w:val="17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if Transferee will take delivery of a beneficial interest in the Regulation S Global Note or a Restricted Definitive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Note pursuant to Regulation S</w:t>
      </w:r>
      <w:r>
        <w:rPr>
          <w:rFonts w:ascii="Arial" w:cs="Arial" w:eastAsia="Arial" w:hAnsi="Arial"/>
          <w:sz w:val="18"/>
          <w:szCs w:val="18"/>
          <w:color w:val="auto"/>
        </w:rPr>
        <w:t>. The Transfer is being effected pursuant to and in accordance with Rule 903 or Rule 904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40"/>
          </w:cols>
          <w:pgMar w:left="320" w:top="1414" w:right="339" w:bottom="1440" w:gutter="0" w:footer="0" w:header="0"/>
        </w:sectPr>
      </w:pPr>
    </w:p>
    <w:bookmarkStart w:id="139" w:name="page140"/>
    <w:bookmarkEnd w:id="139"/>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24" w:lineRule="exact"/>
        <w:rPr>
          <w:sz w:val="20"/>
          <w:szCs w:val="20"/>
          <w:color w:val="auto"/>
        </w:rPr>
      </w:pPr>
    </w:p>
    <w:p>
      <w:pPr>
        <w:jc w:val="both"/>
        <w:ind w:firstLine="656"/>
        <w:spacing w:after="0" w:line="231" w:lineRule="exact"/>
        <w:tabs>
          <w:tab w:leader="none" w:pos="846" w:val="left"/>
        </w:tabs>
        <w:numPr>
          <w:ilvl w:val="0"/>
          <w:numId w:val="17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and complete if, among other things, Transferee will take delivery of a beneficial interest in the IAI Global Note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or a Restricted Definitive Note pursuant to any provision of the Securities Act other than Rule 144A or Regulation S</w:t>
      </w:r>
      <w:r>
        <w:rPr>
          <w:rFonts w:ascii="Arial" w:cs="Arial" w:eastAsia="Arial" w:hAnsi="Arial"/>
          <w:sz w:val="19"/>
          <w:szCs w:val="19"/>
          <w:color w:val="auto"/>
        </w:rPr>
        <w:t>. The Transfer is</w:t>
      </w:r>
      <w:r>
        <w:rPr>
          <w:rFonts w:ascii="Arial" w:cs="Arial" w:eastAsia="Arial" w:hAnsi="Arial"/>
          <w:sz w:val="19"/>
          <w:szCs w:val="19"/>
          <w:b w:val="1"/>
          <w:bCs w:val="1"/>
          <w:color w:val="auto"/>
        </w:rPr>
        <w:t xml:space="preserve"> </w:t>
      </w:r>
      <w:r>
        <w:rPr>
          <w:rFonts w:ascii="Arial" w:cs="Arial" w:eastAsia="Arial" w:hAnsi="Arial"/>
          <w:sz w:val="19"/>
          <w:szCs w:val="19"/>
          <w:color w:val="auto"/>
        </w:rPr>
        <w:t>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23" w:lineRule="exact"/>
        <w:rPr>
          <w:rFonts w:ascii="Arial" w:cs="Arial" w:eastAsia="Arial" w:hAnsi="Arial"/>
          <w:sz w:val="19"/>
          <w:szCs w:val="19"/>
          <w:color w:val="auto"/>
        </w:rPr>
      </w:pPr>
    </w:p>
    <w:p>
      <w:pPr>
        <w:ind w:left="660" w:right="20" w:firstLine="644"/>
        <w:spacing w:after="0" w:line="262" w:lineRule="exact"/>
        <w:tabs>
          <w:tab w:leader="none" w:pos="1757" w:val="left"/>
        </w:tabs>
        <w:numPr>
          <w:ilvl w:val="1"/>
          <w:numId w:val="17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such Transfer is being effected pursuant an exemption from the registration requirements of the Securities Act other than as provided by Rule 144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130" w:lineRule="exact"/>
        <w:rPr>
          <w:sz w:val="20"/>
          <w:szCs w:val="20"/>
          <w:color w:val="auto"/>
        </w:rPr>
      </w:pPr>
    </w:p>
    <w:p>
      <w:pPr>
        <w:ind w:left="5540" w:right="3920" w:hanging="4236"/>
        <w:spacing w:after="0" w:line="364" w:lineRule="exact"/>
        <w:tabs>
          <w:tab w:leader="none" w:pos="1749" w:val="left"/>
        </w:tabs>
        <w:numPr>
          <w:ilvl w:val="0"/>
          <w:numId w:val="177"/>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such Transfer is being effected to the Issuer or a subsidiary thereof; or</w:t>
      </w:r>
    </w:p>
    <w:p>
      <w:pPr>
        <w:spacing w:after="0" w:line="123" w:lineRule="exact"/>
        <w:rPr>
          <w:rFonts w:ascii="Arial" w:cs="Arial" w:eastAsia="Arial" w:hAnsi="Arial"/>
          <w:sz w:val="20"/>
          <w:szCs w:val="20"/>
          <w:color w:val="auto"/>
        </w:rPr>
      </w:pPr>
    </w:p>
    <w:p>
      <w:pPr>
        <w:ind w:left="660" w:firstLine="644"/>
        <w:spacing w:after="0" w:line="262" w:lineRule="exact"/>
        <w:tabs>
          <w:tab w:leader="none" w:pos="1865" w:val="left"/>
        </w:tabs>
        <w:numPr>
          <w:ilvl w:val="0"/>
          <w:numId w:val="177"/>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such Transfer is being effected pursuant to an effective registration statement under the Securities Act and in compliance with the prospectus delivery requirements of the Securities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144" w:lineRule="exact"/>
        <w:rPr>
          <w:sz w:val="20"/>
          <w:szCs w:val="20"/>
          <w:color w:val="auto"/>
        </w:rPr>
      </w:pPr>
    </w:p>
    <w:p>
      <w:pPr>
        <w:jc w:val="both"/>
        <w:ind w:left="660" w:firstLine="644"/>
        <w:spacing w:after="0" w:line="225" w:lineRule="exact"/>
        <w:tabs>
          <w:tab w:leader="none" w:pos="1876" w:val="left"/>
        </w:tabs>
        <w:numPr>
          <w:ilvl w:val="0"/>
          <w:numId w:val="178"/>
        </w:numPr>
        <w:rPr>
          <w:rFonts w:ascii="Arial" w:cs="Arial" w:eastAsia="Arial" w:hAnsi="Arial"/>
          <w:sz w:val="18"/>
          <w:szCs w:val="18"/>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4" w:lineRule="exact"/>
        <w:rPr>
          <w:sz w:val="20"/>
          <w:szCs w:val="20"/>
          <w:color w:val="auto"/>
        </w:rPr>
      </w:pPr>
    </w:p>
    <w:p>
      <w:pPr>
        <w:ind w:left="660" w:firstLine="648"/>
        <w:spacing w:after="0" w:line="246" w:lineRule="auto"/>
        <w:rPr>
          <w:sz w:val="20"/>
          <w:szCs w:val="20"/>
          <w:color w:val="auto"/>
        </w:rPr>
      </w:pPr>
      <w:r>
        <w:rPr>
          <w:rFonts w:ascii="Arial" w:cs="Arial" w:eastAsia="Arial" w:hAnsi="Arial"/>
          <w:sz w:val="20"/>
          <w:szCs w:val="20"/>
          <w:color w:val="auto"/>
        </w:rPr>
        <w:t>Notwithstanding anything to the contrary, transfers pursuant to Rule 144 under the Securities Act will not be permitted, even if legally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firstLine="656"/>
        <w:spacing w:after="0" w:line="252" w:lineRule="exact"/>
        <w:tabs>
          <w:tab w:leader="none" w:pos="886" w:val="left"/>
        </w:tabs>
        <w:numPr>
          <w:ilvl w:val="0"/>
          <w:numId w:val="17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Check if Transferee will take delivery of a beneficial interest in an Unrestricted Global Note or an Unrestricted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Definitive Note</w:t>
      </w:r>
      <w:r>
        <w:rPr>
          <w:rFonts w:ascii="Arial" w:cs="Arial" w:eastAsia="Arial" w:hAnsi="Arial"/>
          <w:sz w:val="20"/>
          <w:szCs w:val="20"/>
          <w:color w:val="auto"/>
        </w:rPr>
        <w:t>.</w:t>
      </w:r>
    </w:p>
    <w:p>
      <w:pPr>
        <w:spacing w:after="0" w:line="119" w:lineRule="exact"/>
        <w:rPr>
          <w:sz w:val="20"/>
          <w:szCs w:val="20"/>
          <w:color w:val="auto"/>
        </w:rPr>
      </w:pPr>
    </w:p>
    <w:p>
      <w:pPr>
        <w:jc w:val="both"/>
        <w:ind w:firstLine="656"/>
        <w:spacing w:after="0" w:line="228" w:lineRule="exact"/>
        <w:tabs>
          <w:tab w:leader="none" w:pos="917" w:val="left"/>
        </w:tabs>
        <w:numPr>
          <w:ilvl w:val="0"/>
          <w:numId w:val="18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w:t>
      </w:r>
      <w:r>
        <w:rPr>
          <w:rFonts w:ascii="Arial" w:cs="Arial" w:eastAsia="Arial" w:hAnsi="Arial"/>
          <w:sz w:val="18"/>
          <w:szCs w:val="18"/>
          <w:b w:val="1"/>
          <w:bCs w:val="1"/>
          <w:color w:val="auto"/>
        </w:rPr>
        <w:t xml:space="preserve"> </w:t>
      </w:r>
      <w:r>
        <w:rPr>
          <w:rFonts w:ascii="Arial" w:cs="Arial" w:eastAsia="Arial" w:hAnsi="Arial"/>
          <w:sz w:val="18"/>
          <w:szCs w:val="18"/>
          <w:color w:val="auto"/>
        </w:rPr>
        <w:t>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32" w:lineRule="exact"/>
        <w:rPr>
          <w:sz w:val="20"/>
          <w:szCs w:val="20"/>
          <w:color w:val="auto"/>
        </w:rPr>
      </w:pPr>
    </w:p>
    <w:p>
      <w:pPr>
        <w:jc w:val="both"/>
        <w:ind w:firstLine="656"/>
        <w:spacing w:after="0" w:line="226" w:lineRule="exact"/>
        <w:tabs>
          <w:tab w:leader="none" w:pos="917" w:val="left"/>
        </w:tabs>
        <w:numPr>
          <w:ilvl w:val="0"/>
          <w:numId w:val="18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Other Exemption</w:t>
      </w:r>
      <w:r>
        <w:rPr>
          <w:rFonts w:ascii="Arial" w:cs="Arial" w:eastAsia="Arial" w:hAnsi="Arial"/>
          <w:sz w:val="19"/>
          <w:szCs w:val="19"/>
          <w:color w:val="auto"/>
        </w:rPr>
        <w:t>. (i) The Transfer is being effected pursuant to and in compliance with an</w:t>
      </w:r>
      <w:r>
        <w:rPr>
          <w:rFonts w:ascii="Arial" w:cs="Arial" w:eastAsia="Arial" w:hAnsi="Arial"/>
          <w:sz w:val="19"/>
          <w:szCs w:val="19"/>
          <w:b w:val="1"/>
          <w:bCs w:val="1"/>
          <w:color w:val="auto"/>
        </w:rPr>
        <w:t xml:space="preserve"> </w:t>
      </w:r>
      <w:r>
        <w:rPr>
          <w:rFonts w:ascii="Arial" w:cs="Arial" w:eastAsia="Arial" w:hAnsi="Arial"/>
          <w:sz w:val="19"/>
          <w:szCs w:val="19"/>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certificate and the statements contained herein are made for your benefit and the benefit of the Issuer.</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w:t>
      </w:r>
    </w:p>
    <w:p>
      <w:pPr>
        <w:ind w:left="4220"/>
        <w:spacing w:after="0"/>
        <w:rPr>
          <w:sz w:val="20"/>
          <w:szCs w:val="20"/>
          <w:color w:val="auto"/>
        </w:rPr>
      </w:pPr>
      <w:r>
        <w:rPr>
          <w:rFonts w:ascii="Arial" w:cs="Arial" w:eastAsia="Arial" w:hAnsi="Arial"/>
          <w:sz w:val="20"/>
          <w:szCs w:val="20"/>
          <w:color w:val="auto"/>
        </w:rPr>
        <w:t>[Insert Name of Transferor]</w:t>
      </w:r>
    </w:p>
    <w:p>
      <w:pPr>
        <w:spacing w:after="0" w:line="3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______________________________________</w:t>
      </w:r>
    </w:p>
    <w:p>
      <w:pPr>
        <w:ind w:left="4220"/>
        <w:spacing w:after="0" w:line="234" w:lineRule="auto"/>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_______________________</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w:t>
      </w:r>
    </w:p>
    <w:p>
      <w:pPr>
        <w:spacing w:after="0" w:line="189" w:lineRule="exact"/>
        <w:rPr>
          <w:sz w:val="20"/>
          <w:szCs w:val="20"/>
          <w:color w:val="auto"/>
        </w:rPr>
      </w:pPr>
    </w:p>
    <w:p>
      <w:pPr>
        <w:ind w:left="160" w:hanging="152"/>
        <w:spacing w:after="0"/>
        <w:tabs>
          <w:tab w:leader="none" w:pos="1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ind w:left="5480"/>
        <w:spacing w:after="0"/>
        <w:rPr>
          <w:rFonts w:ascii="Arial" w:cs="Arial" w:eastAsia="Arial" w:hAnsi="Arial"/>
          <w:sz w:val="20"/>
          <w:szCs w:val="20"/>
          <w:color w:val="auto"/>
        </w:rPr>
      </w:pPr>
      <w:r>
        <w:rPr>
          <w:rFonts w:ascii="Arial" w:cs="Arial" w:eastAsia="Arial" w:hAnsi="Arial"/>
          <w:sz w:val="20"/>
          <w:szCs w:val="20"/>
          <w:color w:val="auto"/>
        </w:rPr>
        <w:t>B-3</w:t>
      </w:r>
    </w:p>
    <w:p>
      <w:pPr>
        <w:sectPr>
          <w:pgSz w:w="11900" w:h="16838" w:orient="portrait"/>
          <w:cols w:equalWidth="0" w:num="1">
            <w:col w:w="11240"/>
          </w:cols>
          <w:pgMar w:left="320" w:top="1440" w:right="339" w:bottom="1440" w:gutter="0" w:footer="0" w:header="0"/>
        </w:sectPr>
      </w:pPr>
    </w:p>
    <w:bookmarkStart w:id="141" w:name="page142"/>
    <w:bookmarkEnd w:id="141"/>
    <w:p>
      <w:pPr>
        <w:jc w:val="right"/>
        <w:ind w:right="2599"/>
        <w:spacing w:after="0"/>
        <w:rPr>
          <w:sz w:val="20"/>
          <w:szCs w:val="20"/>
          <w:color w:val="auto"/>
        </w:rPr>
      </w:pPr>
      <w:r>
        <w:rPr>
          <w:rFonts w:ascii="Arial" w:cs="Arial" w:eastAsia="Arial" w:hAnsi="Arial"/>
          <w:sz w:val="20"/>
          <w:szCs w:val="20"/>
          <w:color w:val="auto"/>
        </w:rPr>
        <w:t>ANNEX A TO CERTIFICATE OF TRANSFER</w:t>
      </w:r>
    </w:p>
    <w:p>
      <w:pPr>
        <w:spacing w:after="0" w:line="202" w:lineRule="exact"/>
        <w:rPr>
          <w:sz w:val="20"/>
          <w:szCs w:val="20"/>
          <w:color w:val="auto"/>
        </w:rPr>
      </w:pPr>
    </w:p>
    <w:p>
      <w:pPr>
        <w:ind w:left="364" w:hanging="364"/>
        <w:spacing w:after="0"/>
        <w:tabs>
          <w:tab w:leader="none" w:pos="36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Transferor owns and proposes to transfer the following:</w:t>
      </w:r>
    </w:p>
    <w:p>
      <w:pPr>
        <w:spacing w:after="0" w:line="189" w:lineRule="exact"/>
        <w:rPr>
          <w:sz w:val="20"/>
          <w:szCs w:val="20"/>
          <w:color w:val="auto"/>
        </w:rPr>
      </w:pPr>
    </w:p>
    <w:p>
      <w:pPr>
        <w:ind w:left="3744"/>
        <w:spacing w:after="0"/>
        <w:rPr>
          <w:sz w:val="20"/>
          <w:szCs w:val="20"/>
          <w:color w:val="auto"/>
        </w:rPr>
      </w:pPr>
      <w:r>
        <w:rPr>
          <w:rFonts w:ascii="Arial" w:cs="Arial" w:eastAsia="Arial" w:hAnsi="Arial"/>
          <w:sz w:val="20"/>
          <w:szCs w:val="20"/>
          <w:color w:val="auto"/>
        </w:rPr>
        <w:t>[CHECK ONE OF (a) OR (b)]</w:t>
      </w:r>
    </w:p>
    <w:p>
      <w:pPr>
        <w:spacing w:after="0" w:line="151" w:lineRule="exact"/>
        <w:rPr>
          <w:sz w:val="20"/>
          <w:szCs w:val="20"/>
          <w:color w:val="auto"/>
        </w:rPr>
      </w:pPr>
    </w:p>
    <w:p>
      <w:pPr>
        <w:ind w:left="1084" w:hanging="274"/>
        <w:spacing w:after="0" w:line="230" w:lineRule="exact"/>
        <w:tabs>
          <w:tab w:leader="none" w:pos="1084" w:val="left"/>
        </w:tabs>
        <w:numPr>
          <w:ilvl w:val="1"/>
          <w:numId w:val="18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beneficial interest in the:</w:t>
      </w:r>
    </w:p>
    <w:p>
      <w:pPr>
        <w:spacing w:after="0" w:line="181" w:lineRule="exact"/>
        <w:rPr>
          <w:rFonts w:ascii="Arial" w:cs="Arial" w:eastAsia="Arial" w:hAnsi="Arial"/>
          <w:sz w:val="20"/>
          <w:szCs w:val="20"/>
          <w:color w:val="auto"/>
        </w:rPr>
      </w:pPr>
    </w:p>
    <w:p>
      <w:pPr>
        <w:ind w:left="1524" w:hanging="390"/>
        <w:spacing w:after="0" w:line="242" w:lineRule="exact"/>
        <w:tabs>
          <w:tab w:leader="none" w:pos="1524" w:val="left"/>
        </w:tabs>
        <w:numPr>
          <w:ilvl w:val="2"/>
          <w:numId w:val="184"/>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144A Global Note (CUSIP __________), or</w:t>
      </w:r>
    </w:p>
    <w:p>
      <w:pPr>
        <w:spacing w:after="0" w:line="177" w:lineRule="exact"/>
        <w:rPr>
          <w:rFonts w:ascii="Arial" w:cs="Arial" w:eastAsia="Arial" w:hAnsi="Arial"/>
          <w:sz w:val="20"/>
          <w:szCs w:val="20"/>
          <w:color w:val="auto"/>
        </w:rPr>
      </w:pPr>
    </w:p>
    <w:p>
      <w:pPr>
        <w:ind w:left="1564" w:hanging="430"/>
        <w:spacing w:after="0" w:line="242" w:lineRule="exact"/>
        <w:tabs>
          <w:tab w:leader="none" w:pos="1564" w:val="left"/>
        </w:tabs>
        <w:numPr>
          <w:ilvl w:val="2"/>
          <w:numId w:val="184"/>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Regulation S Global Note (CUSIP __________), or</w:t>
      </w:r>
    </w:p>
    <w:p>
      <w:pPr>
        <w:spacing w:after="0" w:line="190" w:lineRule="exact"/>
        <w:rPr>
          <w:rFonts w:ascii="Arial" w:cs="Arial" w:eastAsia="Arial" w:hAnsi="Arial"/>
          <w:sz w:val="20"/>
          <w:szCs w:val="20"/>
          <w:color w:val="auto"/>
        </w:rPr>
      </w:pPr>
    </w:p>
    <w:p>
      <w:pPr>
        <w:ind w:left="1624" w:hanging="490"/>
        <w:spacing w:after="0" w:line="242" w:lineRule="exact"/>
        <w:tabs>
          <w:tab w:leader="none" w:pos="1624" w:val="left"/>
        </w:tabs>
        <w:numPr>
          <w:ilvl w:val="2"/>
          <w:numId w:val="184"/>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IAI Global Note (CUSIP __________); or</w:t>
      </w:r>
    </w:p>
    <w:p>
      <w:pPr>
        <w:spacing w:after="0" w:line="190" w:lineRule="exact"/>
        <w:rPr>
          <w:rFonts w:ascii="Arial" w:cs="Arial" w:eastAsia="Arial" w:hAnsi="Arial"/>
          <w:sz w:val="20"/>
          <w:szCs w:val="20"/>
          <w:color w:val="auto"/>
        </w:rPr>
      </w:pPr>
    </w:p>
    <w:p>
      <w:pPr>
        <w:ind w:left="1084" w:hanging="274"/>
        <w:spacing w:after="0" w:line="242" w:lineRule="exact"/>
        <w:tabs>
          <w:tab w:leader="none" w:pos="1084" w:val="left"/>
        </w:tabs>
        <w:numPr>
          <w:ilvl w:val="1"/>
          <w:numId w:val="184"/>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a Restricted Definitive Note.</w:t>
      </w:r>
    </w:p>
    <w:p>
      <w:pPr>
        <w:spacing w:after="0" w:line="248" w:lineRule="exact"/>
        <w:rPr>
          <w:rFonts w:ascii="Arial" w:cs="Arial" w:eastAsia="Arial" w:hAnsi="Arial"/>
          <w:sz w:val="20"/>
          <w:szCs w:val="20"/>
          <w:color w:val="auto"/>
        </w:rPr>
      </w:pPr>
    </w:p>
    <w:p>
      <w:pPr>
        <w:ind w:left="364" w:hanging="364"/>
        <w:spacing w:after="0"/>
        <w:tabs>
          <w:tab w:leader="none" w:pos="36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After the Transfer the Transferee will hold:</w:t>
      </w:r>
    </w:p>
    <w:p>
      <w:pPr>
        <w:spacing w:after="0" w:line="202" w:lineRule="exact"/>
        <w:rPr>
          <w:sz w:val="20"/>
          <w:szCs w:val="20"/>
          <w:color w:val="auto"/>
        </w:rPr>
      </w:pPr>
    </w:p>
    <w:p>
      <w:pPr>
        <w:ind w:left="4344"/>
        <w:spacing w:after="0"/>
        <w:rPr>
          <w:sz w:val="20"/>
          <w:szCs w:val="20"/>
          <w:color w:val="auto"/>
        </w:rPr>
      </w:pPr>
      <w:r>
        <w:rPr>
          <w:rFonts w:ascii="Arial" w:cs="Arial" w:eastAsia="Arial" w:hAnsi="Arial"/>
          <w:sz w:val="20"/>
          <w:szCs w:val="20"/>
          <w:color w:val="auto"/>
        </w:rPr>
        <w:t>[CHECK ONE]</w:t>
      </w:r>
    </w:p>
    <w:p>
      <w:pPr>
        <w:spacing w:after="0" w:line="144" w:lineRule="exact"/>
        <w:rPr>
          <w:sz w:val="20"/>
          <w:szCs w:val="20"/>
          <w:color w:val="auto"/>
        </w:rPr>
      </w:pPr>
    </w:p>
    <w:p>
      <w:pPr>
        <w:ind w:left="1084" w:hanging="274"/>
        <w:spacing w:after="0" w:line="242" w:lineRule="exact"/>
        <w:tabs>
          <w:tab w:leader="none" w:pos="1084" w:val="left"/>
        </w:tabs>
        <w:numPr>
          <w:ilvl w:val="0"/>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a beneficial interest in the:</w:t>
      </w:r>
    </w:p>
    <w:p>
      <w:pPr>
        <w:spacing w:after="0" w:line="190" w:lineRule="exact"/>
        <w:rPr>
          <w:rFonts w:ascii="Arial" w:cs="Arial" w:eastAsia="Arial" w:hAnsi="Arial"/>
          <w:sz w:val="20"/>
          <w:szCs w:val="20"/>
          <w:color w:val="auto"/>
        </w:rPr>
      </w:pPr>
    </w:p>
    <w:p>
      <w:pPr>
        <w:ind w:left="1544" w:hanging="410"/>
        <w:spacing w:after="0" w:line="242" w:lineRule="exact"/>
        <w:tabs>
          <w:tab w:leader="none" w:pos="1544" w:val="left"/>
        </w:tabs>
        <w:numPr>
          <w:ilvl w:val="1"/>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144A Global Note (CUSIP __________), or</w:t>
      </w:r>
    </w:p>
    <w:p>
      <w:pPr>
        <w:spacing w:after="0" w:line="204" w:lineRule="exact"/>
        <w:rPr>
          <w:rFonts w:ascii="Arial" w:cs="Arial" w:eastAsia="Arial" w:hAnsi="Arial"/>
          <w:sz w:val="20"/>
          <w:szCs w:val="20"/>
          <w:color w:val="auto"/>
        </w:rPr>
      </w:pPr>
    </w:p>
    <w:p>
      <w:pPr>
        <w:ind w:left="1584" w:hanging="450"/>
        <w:spacing w:after="0" w:line="242" w:lineRule="exact"/>
        <w:tabs>
          <w:tab w:leader="none" w:pos="1584" w:val="left"/>
        </w:tabs>
        <w:numPr>
          <w:ilvl w:val="1"/>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Regulation S Global Note (CUSIP _________), or</w:t>
      </w:r>
    </w:p>
    <w:p>
      <w:pPr>
        <w:spacing w:after="0" w:line="204" w:lineRule="exact"/>
        <w:rPr>
          <w:rFonts w:ascii="Arial" w:cs="Arial" w:eastAsia="Arial" w:hAnsi="Arial"/>
          <w:sz w:val="20"/>
          <w:szCs w:val="20"/>
          <w:color w:val="auto"/>
        </w:rPr>
      </w:pPr>
    </w:p>
    <w:p>
      <w:pPr>
        <w:ind w:left="1624" w:hanging="490"/>
        <w:spacing w:after="0" w:line="242" w:lineRule="exact"/>
        <w:tabs>
          <w:tab w:leader="none" w:pos="1624" w:val="left"/>
        </w:tabs>
        <w:numPr>
          <w:ilvl w:val="1"/>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IAI Global Note (CUSIP _________); or</w:t>
      </w:r>
    </w:p>
    <w:p>
      <w:pPr>
        <w:spacing w:after="0" w:line="190" w:lineRule="exact"/>
        <w:rPr>
          <w:rFonts w:ascii="Arial" w:cs="Arial" w:eastAsia="Arial" w:hAnsi="Arial"/>
          <w:sz w:val="20"/>
          <w:szCs w:val="20"/>
          <w:color w:val="auto"/>
        </w:rPr>
      </w:pPr>
    </w:p>
    <w:p>
      <w:pPr>
        <w:ind w:left="1624" w:hanging="490"/>
        <w:spacing w:after="0" w:line="242" w:lineRule="exact"/>
        <w:tabs>
          <w:tab w:leader="none" w:pos="1624" w:val="left"/>
        </w:tabs>
        <w:numPr>
          <w:ilvl w:val="1"/>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Unrestricted Global Note (CUSIP _________); or</w:t>
      </w:r>
    </w:p>
    <w:p>
      <w:pPr>
        <w:spacing w:after="0" w:line="204" w:lineRule="exact"/>
        <w:rPr>
          <w:rFonts w:ascii="Arial" w:cs="Arial" w:eastAsia="Arial" w:hAnsi="Arial"/>
          <w:sz w:val="20"/>
          <w:szCs w:val="20"/>
          <w:color w:val="auto"/>
        </w:rPr>
      </w:pPr>
    </w:p>
    <w:p>
      <w:pPr>
        <w:ind w:left="1084" w:hanging="274"/>
        <w:spacing w:after="0" w:line="242" w:lineRule="exact"/>
        <w:tabs>
          <w:tab w:leader="none" w:pos="1084" w:val="left"/>
        </w:tabs>
        <w:numPr>
          <w:ilvl w:val="0"/>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a Restricted Definitive Note; or</w:t>
      </w:r>
    </w:p>
    <w:p>
      <w:pPr>
        <w:spacing w:after="0" w:line="204" w:lineRule="exact"/>
        <w:rPr>
          <w:rFonts w:ascii="Arial" w:cs="Arial" w:eastAsia="Arial" w:hAnsi="Arial"/>
          <w:sz w:val="20"/>
          <w:szCs w:val="20"/>
          <w:color w:val="auto"/>
        </w:rPr>
      </w:pPr>
    </w:p>
    <w:p>
      <w:pPr>
        <w:ind w:left="1084" w:hanging="274"/>
        <w:spacing w:after="0" w:line="242" w:lineRule="exact"/>
        <w:tabs>
          <w:tab w:leader="none" w:pos="1084" w:val="left"/>
        </w:tabs>
        <w:numPr>
          <w:ilvl w:val="0"/>
          <w:numId w:val="186"/>
        </w:numPr>
        <w:rPr>
          <w:rFonts w:ascii="Arial" w:cs="Arial" w:eastAsia="Arial" w:hAnsi="Arial"/>
          <w:sz w:val="20"/>
          <w:szCs w:val="20"/>
          <w:color w:val="auto"/>
        </w:rPr>
      </w:pPr>
      <w:r>
        <w:rPr>
          <w:rFonts w:ascii="MS PGothic" w:cs="MS PGothic" w:eastAsia="MS PGothic" w:hAnsi="MS PGothic"/>
          <w:sz w:val="21"/>
          <w:szCs w:val="21"/>
          <w:color w:val="auto"/>
        </w:rPr>
        <w:t>☐</w:t>
      </w:r>
      <w:r>
        <w:rPr>
          <w:rFonts w:ascii="Arial" w:cs="Arial" w:eastAsia="Arial" w:hAnsi="Arial"/>
          <w:sz w:val="20"/>
          <w:szCs w:val="20"/>
          <w:color w:val="auto"/>
        </w:rPr>
        <w:t xml:space="preserve"> an Unrestricted Definitive Note,</w:t>
      </w:r>
    </w:p>
    <w:p>
      <w:pPr>
        <w:spacing w:after="0" w:line="235" w:lineRule="exact"/>
        <w:rPr>
          <w:sz w:val="20"/>
          <w:szCs w:val="20"/>
          <w:color w:val="auto"/>
        </w:rPr>
      </w:pPr>
    </w:p>
    <w:p>
      <w:pPr>
        <w:ind w:left="1144"/>
        <w:spacing w:after="0"/>
        <w:rPr>
          <w:sz w:val="20"/>
          <w:szCs w:val="20"/>
          <w:color w:val="auto"/>
        </w:rPr>
      </w:pPr>
      <w:r>
        <w:rPr>
          <w:rFonts w:ascii="Arial" w:cs="Arial" w:eastAsia="Arial" w:hAnsi="Arial"/>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4"/>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9483"/>
          </w:cols>
          <w:pgMar w:left="976" w:top="1419"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color w:val="auto"/>
        </w:rPr>
        <w:t>EXHIBIT 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CERTIFICATE OF EXCHANGE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27" w:lineRule="auto"/>
        <w:rPr>
          <w:sz w:val="20"/>
          <w:szCs w:val="20"/>
          <w:color w:val="auto"/>
        </w:rPr>
      </w:pPr>
      <w:r>
        <w:rPr>
          <w:rFonts w:ascii="Arial" w:cs="Arial" w:eastAsia="Arial" w:hAnsi="Arial"/>
          <w:sz w:val="20"/>
          <w:szCs w:val="20"/>
          <w:color w:val="auto"/>
        </w:rPr>
        <w:t>27200 Tourney Road, Suite 200</w:t>
      </w:r>
    </w:p>
    <w:p>
      <w:pPr>
        <w:spacing w:after="0" w:line="225" w:lineRule="auto"/>
        <w:rPr>
          <w:sz w:val="20"/>
          <w:szCs w:val="20"/>
          <w:color w:val="auto"/>
        </w:rPr>
      </w:pPr>
      <w:r>
        <w:rPr>
          <w:rFonts w:ascii="Arial" w:cs="Arial" w:eastAsia="Arial" w:hAnsi="Arial"/>
          <w:sz w:val="20"/>
          <w:szCs w:val="20"/>
          <w:color w:val="auto"/>
        </w:rPr>
        <w:t>Santa Clarita, California 91355</w:t>
      </w:r>
    </w:p>
    <w:p>
      <w:pPr>
        <w:spacing w:after="0" w:line="226" w:lineRule="auto"/>
        <w:rPr>
          <w:sz w:val="20"/>
          <w:szCs w:val="20"/>
          <w:color w:val="auto"/>
        </w:rPr>
      </w:pPr>
      <w:r>
        <w:rPr>
          <w:rFonts w:ascii="Arial" w:cs="Arial" w:eastAsia="Arial" w:hAnsi="Arial"/>
          <w:sz w:val="20"/>
          <w:szCs w:val="20"/>
          <w:color w:val="auto"/>
        </w:rPr>
        <w:t>Facsimile No.: (818) 661-3750</w:t>
      </w:r>
    </w:p>
    <w:p>
      <w:pPr>
        <w:spacing w:after="0"/>
        <w:rPr>
          <w:sz w:val="20"/>
          <w:szCs w:val="20"/>
          <w:color w:val="auto"/>
        </w:rPr>
      </w:pPr>
      <w:r>
        <w:rPr>
          <w:rFonts w:ascii="Arial" w:cs="Arial" w:eastAsia="Arial" w:hAnsi="Arial"/>
          <w:sz w:val="20"/>
          <w:szCs w:val="20"/>
          <w:color w:val="auto"/>
        </w:rPr>
        <w:t>Attention: Chief Financial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227" w:lineRule="auto"/>
        <w:rPr>
          <w:sz w:val="20"/>
          <w:szCs w:val="20"/>
          <w:color w:val="auto"/>
        </w:rPr>
      </w:pPr>
      <w:r>
        <w:rPr>
          <w:rFonts w:ascii="Arial" w:cs="Arial" w:eastAsia="Arial" w:hAnsi="Arial"/>
          <w:sz w:val="20"/>
          <w:szCs w:val="20"/>
          <w:color w:val="auto"/>
        </w:rPr>
        <w:t>50 South Sixth Street, Suite 1290</w:t>
      </w:r>
    </w:p>
    <w:p>
      <w:pPr>
        <w:spacing w:after="0" w:line="225" w:lineRule="auto"/>
        <w:rPr>
          <w:sz w:val="20"/>
          <w:szCs w:val="20"/>
          <w:color w:val="auto"/>
        </w:rPr>
      </w:pPr>
      <w:r>
        <w:rPr>
          <w:rFonts w:ascii="Arial" w:cs="Arial" w:eastAsia="Arial" w:hAnsi="Arial"/>
          <w:sz w:val="20"/>
          <w:szCs w:val="20"/>
          <w:color w:val="auto"/>
        </w:rPr>
        <w:t>Minneapolis, Minnesota 55402</w:t>
      </w:r>
    </w:p>
    <w:p>
      <w:pPr>
        <w:spacing w:after="0" w:line="226" w:lineRule="auto"/>
        <w:rPr>
          <w:sz w:val="20"/>
          <w:szCs w:val="20"/>
          <w:color w:val="auto"/>
        </w:rPr>
      </w:pPr>
      <w:r>
        <w:rPr>
          <w:rFonts w:ascii="Arial" w:cs="Arial" w:eastAsia="Arial" w:hAnsi="Arial"/>
          <w:sz w:val="20"/>
          <w:szCs w:val="20"/>
          <w:color w:val="auto"/>
        </w:rPr>
        <w:t>Facsimile No.: 612-217-5651</w:t>
      </w:r>
    </w:p>
    <w:p>
      <w:pPr>
        <w:spacing w:after="0"/>
        <w:rPr>
          <w:sz w:val="20"/>
          <w:szCs w:val="20"/>
          <w:color w:val="auto"/>
        </w:rPr>
      </w:pPr>
      <w:r>
        <w:rPr>
          <w:rFonts w:ascii="Arial" w:cs="Arial" w:eastAsia="Arial" w:hAnsi="Arial"/>
          <w:sz w:val="20"/>
          <w:szCs w:val="20"/>
          <w:color w:val="auto"/>
        </w:rPr>
        <w:t>Attention: California Resources Corporation, Administrator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California Resources Corporation 7.125% Senior Notes due 2026</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Reference is hereby made to the Indenture, dated as of January 20, 2021 (the “</w:t>
      </w:r>
      <w:r>
        <w:rPr>
          <w:rFonts w:ascii="Arial" w:cs="Arial" w:eastAsia="Arial" w:hAnsi="Arial"/>
          <w:sz w:val="20"/>
          <w:szCs w:val="20"/>
          <w:i w:val="1"/>
          <w:iCs w:val="1"/>
          <w:color w:val="auto"/>
        </w:rPr>
        <w:t>Indenture</w:t>
      </w:r>
      <w:r>
        <w:rPr>
          <w:rFonts w:ascii="Arial" w:cs="Arial" w:eastAsia="Arial" w:hAnsi="Arial"/>
          <w:sz w:val="20"/>
          <w:szCs w:val="20"/>
          <w:color w:val="auto"/>
        </w:rPr>
        <w:t>”), among California Resources Corporation, a Delaware corporation (the “</w:t>
      </w:r>
      <w:r>
        <w:rPr>
          <w:rFonts w:ascii="Arial" w:cs="Arial" w:eastAsia="Arial" w:hAnsi="Arial"/>
          <w:sz w:val="20"/>
          <w:szCs w:val="20"/>
          <w:i w:val="1"/>
          <w:iCs w:val="1"/>
          <w:color w:val="auto"/>
        </w:rPr>
        <w:t>Issuer</w:t>
      </w:r>
      <w:r>
        <w:rPr>
          <w:rFonts w:ascii="Arial" w:cs="Arial" w:eastAsia="Arial" w:hAnsi="Arial"/>
          <w:sz w:val="20"/>
          <w:szCs w:val="20"/>
          <w:color w:val="auto"/>
        </w:rPr>
        <w:t>”), the Guarantors party thereto and Wilmington Trust, National Association, as trustee. Capitalized terms used but not defined herein shall have the meanings given to them in the Indenture.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 (the “</w:t>
      </w:r>
      <w:r>
        <w:rPr>
          <w:rFonts w:ascii="Arial" w:cs="Arial" w:eastAsia="Arial" w:hAnsi="Arial"/>
          <w:sz w:val="18"/>
          <w:szCs w:val="18"/>
          <w:i w:val="1"/>
          <w:iCs w:val="1"/>
          <w:color w:val="auto"/>
        </w:rPr>
        <w:t>Owner</w:t>
      </w:r>
      <w:r>
        <w:rPr>
          <w:rFonts w:ascii="Arial" w:cs="Arial" w:eastAsia="Arial" w:hAnsi="Arial"/>
          <w:sz w:val="18"/>
          <w:szCs w:val="18"/>
          <w:color w:val="auto"/>
        </w:rPr>
        <w:t>”) owns and proposes to exchange the Note[s] or interest in such Note[s] specified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herein, in the principal amount of $____________ 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hereby certifies that:</w:t>
      </w:r>
    </w:p>
    <w:p>
      <w:pPr>
        <w:spacing w:after="0" w:line="167" w:lineRule="exact"/>
        <w:rPr>
          <w:sz w:val="20"/>
          <w:szCs w:val="20"/>
          <w:color w:val="auto"/>
        </w:rPr>
      </w:pPr>
    </w:p>
    <w:p>
      <w:pPr>
        <w:ind w:right="20" w:firstLine="656"/>
        <w:spacing w:after="0" w:line="252" w:lineRule="auto"/>
        <w:tabs>
          <w:tab w:leader="none" w:pos="1062" w:val="left"/>
        </w:tabs>
        <w:numPr>
          <w:ilvl w:val="0"/>
          <w:numId w:val="187"/>
        </w:numPr>
        <w:rPr>
          <w:rFonts w:ascii="Arial" w:cs="Arial" w:eastAsia="Arial" w:hAnsi="Arial"/>
          <w:sz w:val="20"/>
          <w:szCs w:val="20"/>
          <w:color w:val="auto"/>
        </w:rPr>
      </w:pPr>
      <w:r>
        <w:rPr>
          <w:rFonts w:ascii="Arial" w:cs="Arial" w:eastAsia="Arial" w:hAnsi="Arial"/>
          <w:sz w:val="20"/>
          <w:szCs w:val="20"/>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07" w:lineRule="exact"/>
        <w:rPr>
          <w:sz w:val="20"/>
          <w:szCs w:val="20"/>
          <w:color w:val="auto"/>
        </w:rPr>
      </w:pPr>
    </w:p>
    <w:p>
      <w:pPr>
        <w:jc w:val="both"/>
        <w:ind w:firstLine="656"/>
        <w:spacing w:after="0" w:line="225" w:lineRule="exact"/>
        <w:tabs>
          <w:tab w:leader="none" w:pos="917" w:val="left"/>
        </w:tabs>
        <w:numPr>
          <w:ilvl w:val="0"/>
          <w:numId w:val="18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 for a beneficial interest in an</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1" w:lineRule="exact"/>
        <w:rPr>
          <w:rFonts w:ascii="Arial" w:cs="Arial" w:eastAsia="Arial" w:hAnsi="Arial"/>
          <w:sz w:val="19"/>
          <w:szCs w:val="19"/>
          <w:color w:val="auto"/>
        </w:rPr>
      </w:pPr>
    </w:p>
    <w:p>
      <w:pPr>
        <w:jc w:val="both"/>
        <w:ind w:firstLine="656"/>
        <w:spacing w:after="0" w:line="227" w:lineRule="exact"/>
        <w:tabs>
          <w:tab w:leader="none" w:pos="928" w:val="left"/>
        </w:tabs>
        <w:numPr>
          <w:ilvl w:val="0"/>
          <w:numId w:val="18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beneficial interest in a Restricted Global Note to Unrestricted Definitive Note</w:t>
      </w:r>
      <w:r>
        <w:rPr>
          <w:rFonts w:ascii="Arial" w:cs="Arial" w:eastAsia="Arial" w:hAnsi="Arial"/>
          <w:sz w:val="20"/>
          <w:szCs w:val="20"/>
          <w:color w:val="auto"/>
        </w:rPr>
        <w:t>.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240"/>
          </w:cols>
          <w:pgMar w:left="320" w:top="1414" w:right="339" w:bottom="1440" w:gutter="0" w:footer="0" w:header="0"/>
        </w:sectPr>
      </w:pPr>
    </w:p>
    <w:bookmarkStart w:id="143" w:name="page144"/>
    <w:bookmarkEnd w:id="143"/>
    <w:p>
      <w:pPr>
        <w:spacing w:after="0" w:line="144" w:lineRule="exact"/>
        <w:rPr>
          <w:sz w:val="20"/>
          <w:szCs w:val="20"/>
          <w:color w:val="auto"/>
        </w:rPr>
      </w:pPr>
    </w:p>
    <w:p>
      <w:pPr>
        <w:jc w:val="both"/>
        <w:ind w:firstLine="656"/>
        <w:spacing w:after="0" w:line="227" w:lineRule="exact"/>
        <w:tabs>
          <w:tab w:leader="none" w:pos="917" w:val="left"/>
        </w:tabs>
        <w:numPr>
          <w:ilvl w:val="0"/>
          <w:numId w:val="18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Restricted Definitive Note to beneficial interest in an Unrestricted Global Note</w:t>
      </w:r>
      <w:r>
        <w:rPr>
          <w:rFonts w:ascii="Arial" w:cs="Arial" w:eastAsia="Arial" w:hAnsi="Arial"/>
          <w:sz w:val="20"/>
          <w:szCs w:val="20"/>
          <w:color w:val="auto"/>
        </w:rPr>
        <w:t>.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17" w:lineRule="exact"/>
        <w:rPr>
          <w:rFonts w:ascii="Arial" w:cs="Arial" w:eastAsia="Arial" w:hAnsi="Arial"/>
          <w:sz w:val="20"/>
          <w:szCs w:val="20"/>
          <w:color w:val="auto"/>
        </w:rPr>
      </w:pPr>
    </w:p>
    <w:p>
      <w:pPr>
        <w:jc w:val="both"/>
        <w:ind w:firstLine="656"/>
        <w:spacing w:after="0" w:line="227" w:lineRule="exact"/>
        <w:tabs>
          <w:tab w:leader="none" w:pos="942" w:val="left"/>
        </w:tabs>
        <w:numPr>
          <w:ilvl w:val="0"/>
          <w:numId w:val="18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Restricted Definitive Note to Unrestricted Definitive Note</w:t>
      </w:r>
      <w:r>
        <w:rPr>
          <w:rFonts w:ascii="Arial" w:cs="Arial" w:eastAsia="Arial" w:hAnsi="Arial"/>
          <w:sz w:val="20"/>
          <w:szCs w:val="20"/>
          <w:color w:val="auto"/>
        </w:rPr>
        <w:t>. In connection with the Owner’s</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63" w:lineRule="exact"/>
        <w:rPr>
          <w:sz w:val="20"/>
          <w:szCs w:val="20"/>
          <w:color w:val="auto"/>
        </w:rPr>
      </w:pPr>
    </w:p>
    <w:p>
      <w:pPr>
        <w:ind w:right="20" w:firstLine="656"/>
        <w:spacing w:after="0" w:line="252" w:lineRule="auto"/>
        <w:tabs>
          <w:tab w:leader="none" w:pos="1008" w:val="left"/>
        </w:tabs>
        <w:numPr>
          <w:ilvl w:val="0"/>
          <w:numId w:val="190"/>
        </w:numPr>
        <w:rPr>
          <w:rFonts w:ascii="Arial" w:cs="Arial" w:eastAsia="Arial" w:hAnsi="Arial"/>
          <w:sz w:val="20"/>
          <w:szCs w:val="20"/>
          <w:color w:val="auto"/>
        </w:rPr>
      </w:pPr>
      <w:r>
        <w:rPr>
          <w:rFonts w:ascii="Arial" w:cs="Arial" w:eastAsia="Arial" w:hAnsi="Arial"/>
          <w:sz w:val="20"/>
          <w:szCs w:val="20"/>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20" w:lineRule="exact"/>
        <w:rPr>
          <w:sz w:val="20"/>
          <w:szCs w:val="20"/>
          <w:color w:val="auto"/>
        </w:rPr>
      </w:pPr>
    </w:p>
    <w:p>
      <w:pPr>
        <w:jc w:val="both"/>
        <w:ind w:firstLine="656"/>
        <w:spacing w:after="0" w:line="228" w:lineRule="exact"/>
        <w:tabs>
          <w:tab w:leader="none" w:pos="930" w:val="left"/>
        </w:tabs>
        <w:numPr>
          <w:ilvl w:val="0"/>
          <w:numId w:val="19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Check if Exchange is from beneficial interest in a Restricted Global Note to Restricted Definitive Note. </w:t>
      </w:r>
      <w:r>
        <w:rPr>
          <w:rFonts w:ascii="Arial" w:cs="Arial" w:eastAsia="Arial" w:hAnsi="Arial"/>
          <w:sz w:val="20"/>
          <w:szCs w:val="20"/>
          <w:color w:val="auto"/>
        </w:rPr>
        <w:t>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2" w:lineRule="exact"/>
        <w:rPr>
          <w:rFonts w:ascii="Arial" w:cs="Arial" w:eastAsia="Arial" w:hAnsi="Arial"/>
          <w:sz w:val="20"/>
          <w:szCs w:val="20"/>
          <w:color w:val="auto"/>
        </w:rPr>
      </w:pPr>
    </w:p>
    <w:p>
      <w:pPr>
        <w:jc w:val="both"/>
        <w:ind w:firstLine="656"/>
        <w:spacing w:after="0" w:line="225" w:lineRule="exact"/>
        <w:tabs>
          <w:tab w:leader="none" w:pos="942" w:val="left"/>
        </w:tabs>
        <w:numPr>
          <w:ilvl w:val="0"/>
          <w:numId w:val="1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 Restricted Global Note</w:t>
      </w:r>
      <w:r>
        <w:rPr>
          <w:rFonts w:ascii="Arial" w:cs="Arial" w:eastAsia="Arial" w:hAnsi="Arial"/>
          <w:sz w:val="18"/>
          <w:szCs w:val="18"/>
          <w:color w:val="auto"/>
        </w:rPr>
        <w: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Exchange of the Owner’s Restricted Definitive Note for a beneficial interest in the [CHECK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certificate and the statements contained herein are made for your benefit and the benefit of the Issuer.</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_____________________________________</w:t>
      </w:r>
    </w:p>
    <w:p>
      <w:pPr>
        <w:ind w:left="4220"/>
        <w:spacing w:after="0"/>
        <w:rPr>
          <w:sz w:val="20"/>
          <w:szCs w:val="20"/>
          <w:color w:val="auto"/>
        </w:rPr>
      </w:pPr>
      <w:r>
        <w:rPr>
          <w:rFonts w:ascii="Arial" w:cs="Arial" w:eastAsia="Arial" w:hAnsi="Arial"/>
          <w:sz w:val="20"/>
          <w:szCs w:val="20"/>
          <w:color w:val="auto"/>
        </w:rPr>
        <w:t>[Insert Name of Transferor]</w:t>
      </w: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240"/>
          </w:cols>
          <w:pgMar w:left="320" w:top="1440" w:right="339" w:bottom="1440" w:gutter="0" w:footer="0" w:header="0"/>
        </w:sectPr>
      </w:pPr>
    </w:p>
    <w:bookmarkStart w:id="144" w:name="page145"/>
    <w:bookmarkEnd w:id="144"/>
    <w:p>
      <w:pPr>
        <w:ind w:left="3560"/>
        <w:spacing w:after="0"/>
        <w:rPr>
          <w:sz w:val="20"/>
          <w:szCs w:val="20"/>
          <w:color w:val="auto"/>
        </w:rPr>
      </w:pPr>
      <w:r>
        <w:rPr>
          <w:rFonts w:ascii="Arial" w:cs="Arial" w:eastAsia="Arial" w:hAnsi="Arial"/>
          <w:sz w:val="20"/>
          <w:szCs w:val="20"/>
          <w:color w:val="auto"/>
        </w:rPr>
        <w:t>Name:</w:t>
      </w:r>
    </w:p>
    <w:p>
      <w:pPr>
        <w:spacing w:after="0" w:line="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Title: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9479"/>
          </w:cols>
          <w:pgMar w:left="980" w:top="1419"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EXHIBIT 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CERTIFICATE FROM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ACQUIRING INSTITUTIONAL ACCREDITED INVESTOR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27" w:lineRule="auto"/>
        <w:rPr>
          <w:sz w:val="20"/>
          <w:szCs w:val="20"/>
          <w:color w:val="auto"/>
        </w:rPr>
      </w:pPr>
      <w:r>
        <w:rPr>
          <w:rFonts w:ascii="Arial" w:cs="Arial" w:eastAsia="Arial" w:hAnsi="Arial"/>
          <w:sz w:val="20"/>
          <w:szCs w:val="20"/>
          <w:color w:val="auto"/>
        </w:rPr>
        <w:t>27200 Tourney Road, Suite 200</w:t>
      </w:r>
    </w:p>
    <w:p>
      <w:pPr>
        <w:spacing w:after="0" w:line="225" w:lineRule="auto"/>
        <w:rPr>
          <w:sz w:val="20"/>
          <w:szCs w:val="20"/>
          <w:color w:val="auto"/>
        </w:rPr>
      </w:pPr>
      <w:r>
        <w:rPr>
          <w:rFonts w:ascii="Arial" w:cs="Arial" w:eastAsia="Arial" w:hAnsi="Arial"/>
          <w:sz w:val="20"/>
          <w:szCs w:val="20"/>
          <w:color w:val="auto"/>
        </w:rPr>
        <w:t>Santa Clarita, California 91355</w:t>
      </w:r>
    </w:p>
    <w:p>
      <w:pPr>
        <w:spacing w:after="0" w:line="226" w:lineRule="auto"/>
        <w:rPr>
          <w:sz w:val="20"/>
          <w:szCs w:val="20"/>
          <w:color w:val="auto"/>
        </w:rPr>
      </w:pPr>
      <w:r>
        <w:rPr>
          <w:rFonts w:ascii="Arial" w:cs="Arial" w:eastAsia="Arial" w:hAnsi="Arial"/>
          <w:sz w:val="20"/>
          <w:szCs w:val="20"/>
          <w:color w:val="auto"/>
        </w:rPr>
        <w:t>Facsimile No.: (818) 661-3750</w:t>
      </w:r>
    </w:p>
    <w:p>
      <w:pPr>
        <w:spacing w:after="0"/>
        <w:rPr>
          <w:sz w:val="20"/>
          <w:szCs w:val="20"/>
          <w:color w:val="auto"/>
        </w:rPr>
      </w:pPr>
      <w:r>
        <w:rPr>
          <w:rFonts w:ascii="Arial" w:cs="Arial" w:eastAsia="Arial" w:hAnsi="Arial"/>
          <w:sz w:val="20"/>
          <w:szCs w:val="20"/>
          <w:color w:val="auto"/>
        </w:rPr>
        <w:t>Attention: Chief Financial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227" w:lineRule="auto"/>
        <w:rPr>
          <w:sz w:val="20"/>
          <w:szCs w:val="20"/>
          <w:color w:val="auto"/>
        </w:rPr>
      </w:pPr>
      <w:r>
        <w:rPr>
          <w:rFonts w:ascii="Arial" w:cs="Arial" w:eastAsia="Arial" w:hAnsi="Arial"/>
          <w:sz w:val="20"/>
          <w:szCs w:val="20"/>
          <w:color w:val="auto"/>
        </w:rPr>
        <w:t>50 South Sixth Street, Suite 1290</w:t>
      </w:r>
    </w:p>
    <w:p>
      <w:pPr>
        <w:spacing w:after="0" w:line="225" w:lineRule="auto"/>
        <w:rPr>
          <w:sz w:val="20"/>
          <w:szCs w:val="20"/>
          <w:color w:val="auto"/>
        </w:rPr>
      </w:pPr>
      <w:r>
        <w:rPr>
          <w:rFonts w:ascii="Arial" w:cs="Arial" w:eastAsia="Arial" w:hAnsi="Arial"/>
          <w:sz w:val="20"/>
          <w:szCs w:val="20"/>
          <w:color w:val="auto"/>
        </w:rPr>
        <w:t>Minneapolis, Minnesota 55402</w:t>
      </w:r>
    </w:p>
    <w:p>
      <w:pPr>
        <w:spacing w:after="0" w:line="226" w:lineRule="auto"/>
        <w:rPr>
          <w:sz w:val="20"/>
          <w:szCs w:val="20"/>
          <w:color w:val="auto"/>
        </w:rPr>
      </w:pPr>
      <w:r>
        <w:rPr>
          <w:rFonts w:ascii="Arial" w:cs="Arial" w:eastAsia="Arial" w:hAnsi="Arial"/>
          <w:sz w:val="20"/>
          <w:szCs w:val="20"/>
          <w:color w:val="auto"/>
        </w:rPr>
        <w:t>Facsimile No.: 612-217-5651</w:t>
      </w:r>
    </w:p>
    <w:p>
      <w:pPr>
        <w:spacing w:after="0"/>
        <w:rPr>
          <w:sz w:val="20"/>
          <w:szCs w:val="20"/>
          <w:color w:val="auto"/>
        </w:rPr>
      </w:pPr>
      <w:r>
        <w:rPr>
          <w:rFonts w:ascii="Arial" w:cs="Arial" w:eastAsia="Arial" w:hAnsi="Arial"/>
          <w:sz w:val="20"/>
          <w:szCs w:val="20"/>
          <w:color w:val="auto"/>
        </w:rPr>
        <w:t>Attention: California Resources Corporation, Administrator</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 California Resources Corporation 7.125% Senior Notes due 2026</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Reference is hereby made to the Indenture, dated as of January 20, 2021 (the “</w:t>
      </w:r>
      <w:r>
        <w:rPr>
          <w:rFonts w:ascii="Arial" w:cs="Arial" w:eastAsia="Arial" w:hAnsi="Arial"/>
          <w:sz w:val="20"/>
          <w:szCs w:val="20"/>
          <w:i w:val="1"/>
          <w:iCs w:val="1"/>
          <w:color w:val="auto"/>
        </w:rPr>
        <w:t>Indenture</w:t>
      </w:r>
      <w:r>
        <w:rPr>
          <w:rFonts w:ascii="Arial" w:cs="Arial" w:eastAsia="Arial" w:hAnsi="Arial"/>
          <w:sz w:val="20"/>
          <w:szCs w:val="20"/>
          <w:color w:val="auto"/>
        </w:rPr>
        <w:t>”), among California Resources Corporation, a Delaware corporation (the “</w:t>
      </w:r>
      <w:r>
        <w:rPr>
          <w:rFonts w:ascii="Arial" w:cs="Arial" w:eastAsia="Arial" w:hAnsi="Arial"/>
          <w:sz w:val="20"/>
          <w:szCs w:val="20"/>
          <w:i w:val="1"/>
          <w:iCs w:val="1"/>
          <w:color w:val="auto"/>
        </w:rPr>
        <w:t>Issuer</w:t>
      </w:r>
      <w:r>
        <w:rPr>
          <w:rFonts w:ascii="Arial" w:cs="Arial" w:eastAsia="Arial" w:hAnsi="Arial"/>
          <w:sz w:val="20"/>
          <w:szCs w:val="20"/>
          <w:color w:val="auto"/>
        </w:rPr>
        <w:t>”), the Guarantors party thereto and Wilmington Trust, National Association, as trustee. Capitalized terms used but not defined herein shall have the meanings given to them in the Indenture.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our proposed purchase of $____________ aggregate principal amount of:</w:t>
      </w:r>
    </w:p>
    <w:p>
      <w:pPr>
        <w:spacing w:after="0" w:line="138" w:lineRule="exact"/>
        <w:rPr>
          <w:sz w:val="20"/>
          <w:szCs w:val="20"/>
          <w:color w:val="auto"/>
        </w:rPr>
      </w:pPr>
    </w:p>
    <w:p>
      <w:pPr>
        <w:ind w:left="920" w:hanging="264"/>
        <w:spacing w:after="0" w:line="230" w:lineRule="exact"/>
        <w:tabs>
          <w:tab w:leader="none" w:pos="920" w:val="left"/>
        </w:tabs>
        <w:numPr>
          <w:ilvl w:val="0"/>
          <w:numId w:val="19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beneficial interest in a Global Note, or</w:t>
      </w:r>
    </w:p>
    <w:p>
      <w:pPr>
        <w:spacing w:after="0" w:line="188" w:lineRule="exact"/>
        <w:rPr>
          <w:rFonts w:ascii="Arial" w:cs="Arial" w:eastAsia="Arial" w:hAnsi="Arial"/>
          <w:sz w:val="20"/>
          <w:szCs w:val="20"/>
          <w:color w:val="auto"/>
        </w:rPr>
      </w:pPr>
    </w:p>
    <w:p>
      <w:pPr>
        <w:ind w:left="940" w:hanging="284"/>
        <w:spacing w:after="0" w:line="230" w:lineRule="exact"/>
        <w:tabs>
          <w:tab w:leader="none" w:pos="940" w:val="left"/>
        </w:tabs>
        <w:numPr>
          <w:ilvl w:val="0"/>
          <w:numId w:val="19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Definitive Note,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confirm that:</w:t>
      </w:r>
    </w:p>
    <w:p>
      <w:pPr>
        <w:spacing w:after="0" w:line="175" w:lineRule="exact"/>
        <w:rPr>
          <w:sz w:val="20"/>
          <w:szCs w:val="20"/>
          <w:color w:val="auto"/>
        </w:rPr>
      </w:pPr>
    </w:p>
    <w:p>
      <w:pPr>
        <w:jc w:val="both"/>
        <w:ind w:firstLine="656"/>
        <w:spacing w:after="0" w:line="275" w:lineRule="auto"/>
        <w:tabs>
          <w:tab w:leader="none" w:pos="99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56"/>
        <w:spacing w:after="0" w:line="255" w:lineRule="auto"/>
        <w:tabs>
          <w:tab w:leader="none" w:pos="101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(E) pursuant to another available exemption from the registration requirements of the Securities Act other than Rule 144 under the Securities Act or (F) pursuant to an effective registration statement under the Securities Act, and we further agree to provide to any Person purchasing the Definitive Note or beneficial interest in 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240"/>
          </w:cols>
          <w:pgMar w:left="320" w:top="1414" w:right="339" w:bottom="1440" w:gutter="0" w:footer="0" w:header="0"/>
        </w:sectPr>
      </w:pPr>
    </w:p>
    <w:bookmarkStart w:id="146" w:name="page147"/>
    <w:bookmarkEnd w:id="146"/>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Note from us in a transaction meeting the requirements of clauses (A) through (E) of this paragraph a notice advising such purchaser that resales thereof are restricted as stated herein. Notwithstanding anything to the contrary, transfers pursuant to Rule 144 under the Securities Act will not be permitted, even if legally available.3.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70" w:lineRule="exact"/>
        <w:rPr>
          <w:sz w:val="20"/>
          <w:szCs w:val="20"/>
          <w:color w:val="auto"/>
        </w:rPr>
      </w:pPr>
    </w:p>
    <w:p>
      <w:pPr>
        <w:jc w:val="both"/>
        <w:ind w:right="20" w:firstLine="656"/>
        <w:spacing w:after="0" w:line="275" w:lineRule="auto"/>
        <w:tabs>
          <w:tab w:leader="none" w:pos="105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52" w:lineRule="exact"/>
        <w:rPr>
          <w:rFonts w:ascii="Arial" w:cs="Arial" w:eastAsia="Arial" w:hAnsi="Arial"/>
          <w:sz w:val="18"/>
          <w:szCs w:val="18"/>
          <w:color w:val="auto"/>
        </w:rPr>
      </w:pPr>
    </w:p>
    <w:p>
      <w:pPr>
        <w:ind w:right="20" w:firstLine="656"/>
        <w:spacing w:after="0" w:line="246" w:lineRule="auto"/>
        <w:tabs>
          <w:tab w:leader="none" w:pos="102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3"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3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w:t>
      </w:r>
    </w:p>
    <w:p>
      <w:pPr>
        <w:jc w:val="center"/>
        <w:ind w:right="-139"/>
        <w:spacing w:after="0"/>
        <w:rPr>
          <w:sz w:val="20"/>
          <w:szCs w:val="20"/>
          <w:color w:val="auto"/>
        </w:rPr>
      </w:pPr>
      <w:r>
        <w:rPr>
          <w:rFonts w:ascii="Arial" w:cs="Arial" w:eastAsia="Arial" w:hAnsi="Arial"/>
          <w:sz w:val="20"/>
          <w:szCs w:val="20"/>
          <w:color w:val="auto"/>
        </w:rPr>
        <w:t>[Insert Name of Accredited Investor]</w:t>
      </w:r>
    </w:p>
    <w:p>
      <w:pPr>
        <w:spacing w:after="0" w:line="3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______________________________________</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D-2</w:t>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EXHIBIT 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SUPPLEMENTAL INDENTURE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DELIVERED BY SUBSEQUENT GUARANTORS]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________________, among __________________ (the</w:t>
      </w:r>
    </w:p>
    <w:p>
      <w:pPr>
        <w:spacing w:after="0" w:line="14"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Guaranteeing Subsidiary</w:t>
      </w:r>
      <w:r>
        <w:rPr>
          <w:rFonts w:ascii="Arial" w:cs="Arial" w:eastAsia="Arial" w:hAnsi="Arial"/>
          <w:sz w:val="20"/>
          <w:szCs w:val="20"/>
          <w:color w:val="auto"/>
        </w:rPr>
        <w:t>”), a subsidiary of California Resources Corporation, a Delaware corporation (the “</w:t>
      </w:r>
      <w:r>
        <w:rPr>
          <w:rFonts w:ascii="Arial" w:cs="Arial" w:eastAsia="Arial" w:hAnsi="Arial"/>
          <w:sz w:val="20"/>
          <w:szCs w:val="20"/>
          <w:i w:val="1"/>
          <w:iCs w:val="1"/>
          <w:color w:val="auto"/>
        </w:rPr>
        <w:t>Issuer</w:t>
      </w:r>
      <w:r>
        <w:rPr>
          <w:rFonts w:ascii="Arial" w:cs="Arial" w:eastAsia="Arial" w:hAnsi="Arial"/>
          <w:sz w:val="20"/>
          <w:szCs w:val="20"/>
          <w:color w:val="auto"/>
        </w:rPr>
        <w:t>”), the other Guarantors (as defined in the Indenture referred to herein) and Wilmington Trust, National Association, as trustee under the Indenture referred to below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Issuer has heretofore executed and delivered to the Trustee an indenture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January 20, 2021 providing for the issuance of 7.125% Senior Notes due 2026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color w:val="auto"/>
        </w:rPr>
        <w:t>Guarantee</w:t>
      </w:r>
      <w:r>
        <w:rPr>
          <w:rFonts w:ascii="Arial" w:cs="Arial" w:eastAsia="Arial" w:hAnsi="Arial"/>
          <w:sz w:val="19"/>
          <w:szCs w:val="19"/>
          <w:color w:val="auto"/>
        </w:rPr>
        <w:t>”); and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156" w:lineRule="exact"/>
        <w:rPr>
          <w:sz w:val="20"/>
          <w:szCs w:val="20"/>
          <w:color w:val="auto"/>
        </w:rPr>
      </w:pPr>
    </w:p>
    <w:p>
      <w:pPr>
        <w:ind w:left="1000" w:hanging="344"/>
        <w:spacing w:after="0"/>
        <w:tabs>
          <w:tab w:leader="none" w:pos="10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Capitalized Terms. Capitalized terms used herein without definition shall have the meanings assigned to them in the Indenture.</w:t>
      </w:r>
    </w:p>
    <w:p>
      <w:pPr>
        <w:spacing w:after="0" w:line="211" w:lineRule="exact"/>
        <w:rPr>
          <w:rFonts w:ascii="Arial" w:cs="Arial" w:eastAsia="Arial" w:hAnsi="Arial"/>
          <w:sz w:val="18"/>
          <w:szCs w:val="18"/>
          <w:color w:val="auto"/>
        </w:rPr>
      </w:pPr>
    </w:p>
    <w:p>
      <w:pPr>
        <w:ind w:firstLine="656"/>
        <w:spacing w:after="0" w:line="300" w:lineRule="auto"/>
        <w:tabs>
          <w:tab w:leader="none" w:pos="10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Guarantee.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17" w:lineRule="exact"/>
        <w:rPr>
          <w:rFonts w:ascii="Arial" w:cs="Arial" w:eastAsia="Arial" w:hAnsi="Arial"/>
          <w:sz w:val="18"/>
          <w:szCs w:val="18"/>
          <w:color w:val="auto"/>
        </w:rPr>
      </w:pPr>
    </w:p>
    <w:p>
      <w:pPr>
        <w:jc w:val="both"/>
        <w:ind w:firstLine="656"/>
        <w:spacing w:after="0" w:line="232" w:lineRule="auto"/>
        <w:tabs>
          <w:tab w:leader="none" w:pos="10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7" w:lineRule="exact"/>
        <w:rPr>
          <w:rFonts w:ascii="Arial" w:cs="Arial" w:eastAsia="Arial" w:hAnsi="Arial"/>
          <w:sz w:val="20"/>
          <w:szCs w:val="20"/>
          <w:color w:val="auto"/>
        </w:rPr>
      </w:pPr>
    </w:p>
    <w:p>
      <w:pPr>
        <w:jc w:val="both"/>
        <w:ind w:firstLine="656"/>
        <w:spacing w:after="0" w:line="237" w:lineRule="auto"/>
        <w:tabs>
          <w:tab w:leader="none" w:pos="115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69" w:lineRule="exact"/>
        <w:rPr>
          <w:rFonts w:ascii="Arial" w:cs="Arial" w:eastAsia="Arial" w:hAnsi="Arial"/>
          <w:sz w:val="20"/>
          <w:szCs w:val="20"/>
          <w:color w:val="auto"/>
        </w:rPr>
      </w:pPr>
    </w:p>
    <w:p>
      <w:pPr>
        <w:ind w:right="20" w:firstLine="656"/>
        <w:spacing w:after="0" w:line="246" w:lineRule="auto"/>
        <w:tabs>
          <w:tab w:leader="none" w:pos="101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Counterparts. The parties may sign any number of copies of this Supplemental Indenture. Each signed copy shall be an original, but all of them together represent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240"/>
          </w:cols>
          <w:pgMar w:left="320" w:top="1414" w:right="339" w:bottom="1440" w:gutter="0" w:footer="0" w:header="0"/>
        </w:sectPr>
      </w:pPr>
    </w:p>
    <w:bookmarkStart w:id="148" w:name="page149"/>
    <w:bookmarkEnd w:id="148"/>
    <w:p>
      <w:pPr>
        <w:spacing w:after="0" w:line="182" w:lineRule="exact"/>
        <w:rPr>
          <w:sz w:val="20"/>
          <w:szCs w:val="20"/>
          <w:color w:val="auto"/>
        </w:rPr>
      </w:pPr>
    </w:p>
    <w:p>
      <w:pPr>
        <w:ind w:left="1000" w:hanging="344"/>
        <w:spacing w:after="0"/>
        <w:tabs>
          <w:tab w:leader="none" w:pos="10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 hereof.</w:t>
      </w:r>
    </w:p>
    <w:p>
      <w:pPr>
        <w:spacing w:after="0" w:line="186" w:lineRule="exact"/>
        <w:rPr>
          <w:rFonts w:ascii="Arial" w:cs="Arial" w:eastAsia="Arial" w:hAnsi="Arial"/>
          <w:sz w:val="19"/>
          <w:szCs w:val="19"/>
          <w:color w:val="auto"/>
        </w:rPr>
      </w:pPr>
    </w:p>
    <w:p>
      <w:pPr>
        <w:jc w:val="both"/>
        <w:ind w:firstLine="656"/>
        <w:spacing w:after="0" w:line="237" w:lineRule="auto"/>
        <w:tabs>
          <w:tab w:leader="none" w:pos="99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the other Guarantors and the Issuer.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_______________</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Guaranteeing Subsidiary</w:t>
      </w:r>
      <w:r>
        <w:rPr>
          <w:rFonts w:ascii="Arial" w:cs="Arial" w:eastAsia="Arial" w:hAnsi="Arial"/>
          <w:sz w:val="20"/>
          <w:szCs w:val="20"/>
          <w:color w:val="auto"/>
        </w:rPr>
        <w:t>]</w:t>
      </w: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ind w:left="42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w:t>
      </w:r>
    </w:p>
    <w:p>
      <w:pPr>
        <w:spacing w:after="0" w:line="173" w:lineRule="exact"/>
        <w:rPr>
          <w:sz w:val="20"/>
          <w:szCs w:val="20"/>
          <w:color w:val="auto"/>
        </w:rPr>
      </w:pPr>
    </w:p>
    <w:p>
      <w:pPr>
        <w:jc w:val="center"/>
        <w:ind w:left="360"/>
        <w:spacing w:after="0"/>
        <w:rPr>
          <w:sz w:val="20"/>
          <w:szCs w:val="20"/>
          <w:color w:val="auto"/>
        </w:rPr>
      </w:pPr>
      <w:r>
        <w:rPr>
          <w:rFonts w:ascii="Arial" w:cs="Arial" w:eastAsia="Arial" w:hAnsi="Arial"/>
          <w:sz w:val="20"/>
          <w:szCs w:val="20"/>
          <w:color w:val="auto"/>
        </w:rPr>
        <w:t>CALIFORNIA RESOURCES CORPORATION</w:t>
      </w: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ind w:left="42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WILMINGTON TRUST, NATIONAL ASSOCIATION,</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Trustee</w:t>
      </w: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i w:val="1"/>
          <w:iCs w:val="1"/>
          <w:color w:val="auto"/>
        </w:rPr>
        <w:t>Exhibit 4.2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SUPPLEMENTAL INDENTURE</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FIRST SUPPLEMENTAL INDENTURE (this “</w:t>
      </w:r>
      <w:r>
        <w:rPr>
          <w:rFonts w:ascii="Arial" w:cs="Arial" w:eastAsia="Arial" w:hAnsi="Arial"/>
          <w:sz w:val="19"/>
          <w:szCs w:val="19"/>
          <w:b w:val="1"/>
          <w:bCs w:val="1"/>
          <w:i w:val="1"/>
          <w:iCs w:val="1"/>
          <w:color w:val="auto"/>
        </w:rPr>
        <w:t>Supplemental Indenture</w:t>
      </w:r>
      <w:r>
        <w:rPr>
          <w:rFonts w:ascii="Arial" w:cs="Arial" w:eastAsia="Arial" w:hAnsi="Arial"/>
          <w:sz w:val="19"/>
          <w:szCs w:val="19"/>
          <w:color w:val="auto"/>
        </w:rPr>
        <w:t>”), dated as of January 20, 2021, among Elk Hills Power, LLC, a Delaware limited liability company (“</w:t>
      </w:r>
      <w:r>
        <w:rPr>
          <w:rFonts w:ascii="Arial" w:cs="Arial" w:eastAsia="Arial" w:hAnsi="Arial"/>
          <w:sz w:val="19"/>
          <w:szCs w:val="19"/>
          <w:b w:val="1"/>
          <w:bCs w:val="1"/>
          <w:i w:val="1"/>
          <w:iCs w:val="1"/>
          <w:color w:val="auto"/>
        </w:rPr>
        <w:t>EHP</w:t>
      </w:r>
      <w:r>
        <w:rPr>
          <w:rFonts w:ascii="Arial" w:cs="Arial" w:eastAsia="Arial" w:hAnsi="Arial"/>
          <w:sz w:val="19"/>
          <w:szCs w:val="19"/>
          <w:color w:val="auto"/>
        </w:rPr>
        <w:t>”), EHP Midco Holding Company, LLC, a Delaware limited liability company (“</w:t>
      </w:r>
      <w:r>
        <w:rPr>
          <w:rFonts w:ascii="Arial" w:cs="Arial" w:eastAsia="Arial" w:hAnsi="Arial"/>
          <w:sz w:val="19"/>
          <w:szCs w:val="19"/>
          <w:b w:val="1"/>
          <w:bCs w:val="1"/>
          <w:i w:val="1"/>
          <w:iCs w:val="1"/>
          <w:color w:val="auto"/>
        </w:rPr>
        <w:t>EHP Midco</w:t>
      </w:r>
      <w:r>
        <w:rPr>
          <w:rFonts w:ascii="Arial" w:cs="Arial" w:eastAsia="Arial" w:hAnsi="Arial"/>
          <w:sz w:val="19"/>
          <w:szCs w:val="19"/>
          <w:color w:val="auto"/>
        </w:rPr>
        <w:t>”), EHP Topco Holding Company, LLC, a Delaware limited liability company (“</w:t>
      </w:r>
      <w:r>
        <w:rPr>
          <w:rFonts w:ascii="Arial" w:cs="Arial" w:eastAsia="Arial" w:hAnsi="Arial"/>
          <w:sz w:val="19"/>
          <w:szCs w:val="19"/>
          <w:b w:val="1"/>
          <w:bCs w:val="1"/>
          <w:i w:val="1"/>
          <w:iCs w:val="1"/>
          <w:color w:val="auto"/>
        </w:rPr>
        <w:t>EHP Topco</w:t>
      </w:r>
      <w:r>
        <w:rPr>
          <w:rFonts w:ascii="Arial" w:cs="Arial" w:eastAsia="Arial" w:hAnsi="Arial"/>
          <w:sz w:val="19"/>
          <w:szCs w:val="19"/>
          <w:color w:val="auto"/>
        </w:rPr>
        <w:t>” and together with EHP and EHP Midco, the “</w:t>
      </w:r>
      <w:r>
        <w:rPr>
          <w:rFonts w:ascii="Arial" w:cs="Arial" w:eastAsia="Arial" w:hAnsi="Arial"/>
          <w:sz w:val="19"/>
          <w:szCs w:val="19"/>
          <w:b w:val="1"/>
          <w:bCs w:val="1"/>
          <w:i w:val="1"/>
          <w:iCs w:val="1"/>
          <w:color w:val="auto"/>
        </w:rPr>
        <w:t>Guaranteeing Subsidiaries</w:t>
      </w:r>
      <w:r>
        <w:rPr>
          <w:rFonts w:ascii="Arial" w:cs="Arial" w:eastAsia="Arial" w:hAnsi="Arial"/>
          <w:sz w:val="19"/>
          <w:szCs w:val="19"/>
          <w:color w:val="auto"/>
        </w:rPr>
        <w:t>”), each of which is an indirect subsidiary of California Resources Corporation, a Delaware corporation (the “</w:t>
      </w:r>
      <w:r>
        <w:rPr>
          <w:rFonts w:ascii="Arial" w:cs="Arial" w:eastAsia="Arial" w:hAnsi="Arial"/>
          <w:sz w:val="19"/>
          <w:szCs w:val="19"/>
          <w:b w:val="1"/>
          <w:bCs w:val="1"/>
          <w:i w:val="1"/>
          <w:iCs w:val="1"/>
          <w:color w:val="auto"/>
        </w:rPr>
        <w:t>Issuer</w:t>
      </w:r>
      <w:r>
        <w:rPr>
          <w:rFonts w:ascii="Arial" w:cs="Arial" w:eastAsia="Arial" w:hAnsi="Arial"/>
          <w:sz w:val="19"/>
          <w:szCs w:val="19"/>
          <w:color w:val="auto"/>
        </w:rPr>
        <w:t>”), the other Guarantors (as defined in the Indenture referred to herein), the Issuer and Wilmington Trust, National Association, as trustee under the Indenture referred to below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1"/>
          <w:szCs w:val="21"/>
          <w:color w:val="auto"/>
        </w:rPr>
        <w:t>WHEREAS, the Issuer has heretofore executed and delivered to the Trustee an indenture (the “</w:t>
      </w:r>
      <w:r>
        <w:rPr>
          <w:rFonts w:ascii="Arial" w:cs="Arial" w:eastAsia="Arial" w:hAnsi="Arial"/>
          <w:sz w:val="21"/>
          <w:szCs w:val="21"/>
          <w:b w:val="1"/>
          <w:bCs w:val="1"/>
          <w:i w:val="1"/>
          <w:iCs w:val="1"/>
          <w:color w:val="auto"/>
        </w:rPr>
        <w:t>Indenture</w:t>
      </w:r>
      <w:r>
        <w:rPr>
          <w:rFonts w:ascii="Arial" w:cs="Arial" w:eastAsia="Arial" w:hAnsi="Arial"/>
          <w:sz w:val="21"/>
          <w:szCs w:val="21"/>
          <w:color w:val="auto"/>
        </w:rPr>
        <w:t>”), dated as of January 20, 2021, providing for the issuance of 7.125% Senior Notes due 2026 (collectively, the “</w:t>
      </w:r>
      <w:r>
        <w:rPr>
          <w:rFonts w:ascii="Arial" w:cs="Arial" w:eastAsia="Arial" w:hAnsi="Arial"/>
          <w:sz w:val="21"/>
          <w:szCs w:val="21"/>
          <w:b w:val="1"/>
          <w:bCs w:val="1"/>
          <w:i w:val="1"/>
          <w:iCs w:val="1"/>
          <w:color w:val="auto"/>
        </w:rPr>
        <w:t>Notes</w:t>
      </w:r>
      <w:r>
        <w:rPr>
          <w:rFonts w:ascii="Arial" w:cs="Arial" w:eastAsia="Arial" w:hAnsi="Arial"/>
          <w:sz w:val="21"/>
          <w:szCs w:val="21"/>
          <w:color w:val="auto"/>
        </w:rPr>
        <w:t>”);</w:t>
      </w:r>
    </w:p>
    <w:p>
      <w:pPr>
        <w:spacing w:after="0" w:line="12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(the “</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and</w:t>
      </w:r>
    </w:p>
    <w:p>
      <w:pPr>
        <w:spacing w:after="0" w:line="15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5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Subsidiaries, the other Guarantors, the Issuer and the Trustee mutually covenant and agree for the equal and ratable benefit of the Holders of the Notes as follows:</w:t>
      </w:r>
    </w:p>
    <w:p>
      <w:pPr>
        <w:spacing w:after="0" w:line="147" w:lineRule="exact"/>
        <w:rPr>
          <w:sz w:val="20"/>
          <w:szCs w:val="20"/>
          <w:color w:val="auto"/>
        </w:rPr>
      </w:pPr>
    </w:p>
    <w:p>
      <w:pPr>
        <w:ind w:firstLine="656"/>
        <w:spacing w:after="0" w:line="239" w:lineRule="auto"/>
        <w:tabs>
          <w:tab w:leader="none" w:pos="105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57" w:lineRule="exact"/>
        <w:rPr>
          <w:rFonts w:ascii="Arial" w:cs="Arial" w:eastAsia="Arial" w:hAnsi="Arial"/>
          <w:sz w:val="22"/>
          <w:szCs w:val="22"/>
          <w:color w:val="auto"/>
        </w:rPr>
      </w:pPr>
    </w:p>
    <w:p>
      <w:pPr>
        <w:jc w:val="both"/>
        <w:ind w:firstLine="656"/>
        <w:spacing w:after="0" w:line="231" w:lineRule="auto"/>
        <w:tabs>
          <w:tab w:leader="none" w:pos="116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GUARANTEE. The Guaranteeing Subsidiaries hereby unconditionally Guarantee all of the Issuer’s Obligations under the Notes and the Indenture on the terms and subject to the conditions set forth in the Indenture including, but not limited to, Article 10 thereof.</w:t>
      </w:r>
    </w:p>
    <w:p>
      <w:pPr>
        <w:spacing w:after="0" w:line="160" w:lineRule="exact"/>
        <w:rPr>
          <w:rFonts w:ascii="Arial" w:cs="Arial" w:eastAsia="Arial" w:hAnsi="Arial"/>
          <w:sz w:val="22"/>
          <w:szCs w:val="22"/>
          <w:color w:val="auto"/>
        </w:rPr>
      </w:pPr>
    </w:p>
    <w:p>
      <w:pPr>
        <w:jc w:val="both"/>
        <w:ind w:firstLine="656"/>
        <w:spacing w:after="0" w:line="237" w:lineRule="auto"/>
        <w:tabs>
          <w:tab w:leader="none" w:pos="1033" w:val="left"/>
        </w:tabs>
        <w:numPr>
          <w:ilvl w:val="0"/>
          <w:numId w:val="197"/>
        </w:numPr>
        <w:rPr>
          <w:rFonts w:ascii="Arial" w:cs="Arial" w:eastAsia="Arial" w:hAnsi="Arial"/>
          <w:sz w:val="21"/>
          <w:szCs w:val="21"/>
          <w:color w:val="auto"/>
        </w:rPr>
      </w:pPr>
      <w:r>
        <w:rPr>
          <w:rFonts w:ascii="Arial" w:cs="Arial" w:eastAsia="Arial" w:hAnsi="Arial"/>
          <w:sz w:val="21"/>
          <w:szCs w:val="21"/>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44" w:lineRule="exact"/>
        <w:rPr>
          <w:rFonts w:ascii="Arial" w:cs="Arial" w:eastAsia="Arial" w:hAnsi="Arial"/>
          <w:sz w:val="21"/>
          <w:szCs w:val="21"/>
          <w:color w:val="auto"/>
        </w:rPr>
      </w:pPr>
    </w:p>
    <w:p>
      <w:pPr>
        <w:ind w:firstLine="656"/>
        <w:spacing w:after="0" w:line="239" w:lineRule="auto"/>
        <w:tabs>
          <w:tab w:leader="none" w:pos="105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AND ANY CLAIM, CONTROVERSY OR DISPUTE ARISING UNDER OR RELATED TO THIS</w:t>
      </w:r>
    </w:p>
    <w:p>
      <w:pPr>
        <w:sectPr>
          <w:pgSz w:w="11900" w:h="16838" w:orient="portrait"/>
          <w:cols w:equalWidth="0" w:num="1">
            <w:col w:w="11240"/>
          </w:cols>
          <w:pgMar w:left="320" w:top="1414" w:right="339" w:bottom="1440" w:gutter="0" w:footer="0" w:header="0"/>
        </w:sectPr>
      </w:pPr>
    </w:p>
    <w:bookmarkStart w:id="151" w:name="page152"/>
    <w:bookmarkEnd w:id="151"/>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SUPPLEMENTAL INDENTURE, SHALL BE GOVERNED BY AND CONSTRUED IN ACCORDANCE WITH THE LAWS OF THE STATE OF NEW YORK.</w:t>
      </w:r>
    </w:p>
    <w:p>
      <w:pPr>
        <w:spacing w:after="0" w:line="144" w:lineRule="exact"/>
        <w:rPr>
          <w:sz w:val="20"/>
          <w:szCs w:val="20"/>
          <w:color w:val="auto"/>
        </w:rPr>
      </w:pPr>
    </w:p>
    <w:p>
      <w:pPr>
        <w:ind w:firstLine="656"/>
        <w:spacing w:after="0" w:line="239" w:lineRule="auto"/>
        <w:tabs>
          <w:tab w:leader="none" w:pos="11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57" w:lineRule="exact"/>
        <w:rPr>
          <w:rFonts w:ascii="Arial" w:cs="Arial" w:eastAsia="Arial" w:hAnsi="Arial"/>
          <w:sz w:val="22"/>
          <w:szCs w:val="22"/>
          <w:color w:val="auto"/>
        </w:rPr>
      </w:pPr>
    </w:p>
    <w:p>
      <w:pPr>
        <w:ind w:left="1040" w:hanging="384"/>
        <w:spacing w:after="0"/>
        <w:tabs>
          <w:tab w:leader="none" w:pos="10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61" w:lineRule="exact"/>
        <w:rPr>
          <w:rFonts w:ascii="Arial" w:cs="Arial" w:eastAsia="Arial" w:hAnsi="Arial"/>
          <w:sz w:val="19"/>
          <w:szCs w:val="19"/>
          <w:color w:val="auto"/>
        </w:rPr>
      </w:pPr>
    </w:p>
    <w:p>
      <w:pPr>
        <w:jc w:val="both"/>
        <w:ind w:firstLine="656"/>
        <w:spacing w:after="0" w:line="231" w:lineRule="auto"/>
        <w:tabs>
          <w:tab w:leader="none" w:pos="107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7"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January 20, 2021</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GUARANTEEING SUBSIDIARIES:</w:t>
      </w:r>
    </w:p>
    <w:p>
      <w:pPr>
        <w:spacing w:after="0" w:line="30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Elk Hills Power, LLC</w:t>
      </w:r>
    </w:p>
    <w:p>
      <w:pPr>
        <w:spacing w:after="0" w:line="301" w:lineRule="exact"/>
        <w:rPr>
          <w:sz w:val="20"/>
          <w:szCs w:val="20"/>
          <w:color w:val="auto"/>
        </w:rPr>
      </w:pPr>
    </w:p>
    <w:tbl>
      <w:tblPr>
        <w:tblLayout w:type="fixed"/>
        <w:tblInd w:w="5040" w:type="dxa"/>
        <w:tblCellMar>
          <w:top w:w="0" w:type="dxa"/>
          <w:left w:w="0" w:type="dxa"/>
          <w:bottom w:w="0" w:type="dxa"/>
          <w:right w:w="0" w:type="dxa"/>
        </w:tblCellMar>
      </w:tblPr>
      <w:tr>
        <w:trPr>
          <w:trHeight w:val="276"/>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48"/>
        </w:trPr>
        <w:tc>
          <w:tcPr>
            <w:tcW w:w="5340" w:type="dxa"/>
            <w:vAlign w:val="bottom"/>
            <w:gridSpan w:val="3"/>
          </w:tcPr>
          <w:p>
            <w:pPr>
              <w:spacing w:after="0"/>
              <w:rPr>
                <w:sz w:val="20"/>
                <w:szCs w:val="20"/>
                <w:color w:val="auto"/>
              </w:rPr>
            </w:pPr>
            <w:r>
              <w:rPr>
                <w:rFonts w:ascii="Arial" w:cs="Arial" w:eastAsia="Arial" w:hAnsi="Arial"/>
                <w:sz w:val="22"/>
                <w:szCs w:val="22"/>
                <w:color w:val="auto"/>
              </w:rPr>
              <w:t>EHP Midco Holding Company, LLC</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35"/>
        </w:trPr>
        <w:tc>
          <w:tcPr>
            <w:tcW w:w="5340" w:type="dxa"/>
            <w:vAlign w:val="bottom"/>
            <w:gridSpan w:val="3"/>
          </w:tcPr>
          <w:p>
            <w:pPr>
              <w:spacing w:after="0"/>
              <w:rPr>
                <w:sz w:val="20"/>
                <w:szCs w:val="20"/>
                <w:color w:val="auto"/>
              </w:rPr>
            </w:pPr>
            <w:r>
              <w:rPr>
                <w:rFonts w:ascii="Arial" w:cs="Arial" w:eastAsia="Arial" w:hAnsi="Arial"/>
                <w:sz w:val="22"/>
                <w:szCs w:val="22"/>
                <w:color w:val="auto"/>
              </w:rPr>
              <w:t>EHP Topco Holding Company, LLC</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35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EXISTING GUARANTORS:</w:t>
      </w:r>
    </w:p>
    <w:p>
      <w:pPr>
        <w:spacing w:after="0" w:line="30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California Resources Elk Hills, LLC</w:t>
      </w:r>
    </w:p>
    <w:p>
      <w:pPr>
        <w:ind w:left="5040"/>
        <w:spacing w:after="0" w:line="238" w:lineRule="auto"/>
        <w:rPr>
          <w:sz w:val="20"/>
          <w:szCs w:val="20"/>
          <w:color w:val="auto"/>
        </w:rPr>
      </w:pPr>
      <w:r>
        <w:rPr>
          <w:rFonts w:ascii="Arial" w:cs="Arial" w:eastAsia="Arial" w:hAnsi="Arial"/>
          <w:sz w:val="22"/>
          <w:szCs w:val="22"/>
          <w:color w:val="auto"/>
        </w:rPr>
        <w:t>California Resources Real Estate Ventures, LLC</w:t>
      </w:r>
    </w:p>
    <w:p>
      <w:pPr>
        <w:ind w:left="5040"/>
        <w:spacing w:after="0" w:line="230" w:lineRule="auto"/>
        <w:rPr>
          <w:sz w:val="20"/>
          <w:szCs w:val="20"/>
          <w:color w:val="auto"/>
        </w:rPr>
      </w:pPr>
      <w:r>
        <w:rPr>
          <w:rFonts w:ascii="Arial" w:cs="Arial" w:eastAsia="Arial" w:hAnsi="Arial"/>
          <w:sz w:val="22"/>
          <w:szCs w:val="22"/>
          <w:color w:val="auto"/>
        </w:rPr>
        <w:t>California Resources Royalty Holdings, LLC</w:t>
      </w:r>
    </w:p>
    <w:p>
      <w:pPr>
        <w:ind w:left="5040"/>
        <w:spacing w:after="0" w:line="231" w:lineRule="auto"/>
        <w:rPr>
          <w:sz w:val="20"/>
          <w:szCs w:val="20"/>
          <w:color w:val="auto"/>
        </w:rPr>
      </w:pPr>
      <w:r>
        <w:rPr>
          <w:rFonts w:ascii="Arial" w:cs="Arial" w:eastAsia="Arial" w:hAnsi="Arial"/>
          <w:sz w:val="22"/>
          <w:szCs w:val="22"/>
          <w:color w:val="auto"/>
        </w:rPr>
        <w:t>CRC Construction Services, LLC</w:t>
      </w:r>
    </w:p>
    <w:p>
      <w:pPr>
        <w:ind w:left="5040"/>
        <w:spacing w:after="0" w:line="230" w:lineRule="auto"/>
        <w:rPr>
          <w:sz w:val="20"/>
          <w:szCs w:val="20"/>
          <w:color w:val="auto"/>
        </w:rPr>
      </w:pPr>
      <w:r>
        <w:rPr>
          <w:rFonts w:ascii="Arial" w:cs="Arial" w:eastAsia="Arial" w:hAnsi="Arial"/>
          <w:sz w:val="22"/>
          <w:szCs w:val="22"/>
          <w:color w:val="auto"/>
        </w:rPr>
        <w:t>CRC Services, LLC</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Socal Holding, LLC</w:t>
      </w:r>
    </w:p>
    <w:p>
      <w:pPr>
        <w:spacing w:after="0" w:line="296" w:lineRule="exact"/>
        <w:rPr>
          <w:sz w:val="20"/>
          <w:szCs w:val="20"/>
          <w:color w:val="auto"/>
        </w:rPr>
      </w:pPr>
    </w:p>
    <w:tbl>
      <w:tblPr>
        <w:tblLayout w:type="fixed"/>
        <w:tblInd w:w="5040" w:type="dxa"/>
        <w:tblCellMar>
          <w:top w:w="0" w:type="dxa"/>
          <w:left w:w="0" w:type="dxa"/>
          <w:bottom w:w="0" w:type="dxa"/>
          <w:right w:w="0" w:type="dxa"/>
        </w:tblCellMar>
      </w:tblPr>
      <w:tr>
        <w:trPr>
          <w:trHeight w:val="27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gridSpan w:val="2"/>
          </w:tcPr>
          <w:p>
            <w:pPr>
              <w:ind w:left="20"/>
              <w:spacing w:after="0"/>
              <w:rPr>
                <w:sz w:val="20"/>
                <w:szCs w:val="20"/>
                <w:color w:val="auto"/>
              </w:rPr>
            </w:pPr>
            <w:r>
              <w:rPr>
                <w:rFonts w:ascii="Arial" w:cs="Arial" w:eastAsia="Arial" w:hAnsi="Arial"/>
                <w:sz w:val="22"/>
                <w:szCs w:val="22"/>
                <w:color w:val="auto"/>
                <w:w w:val="93"/>
              </w:rPr>
              <w:t>California Resources Corporation, as sole member</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ectPr>
          <w:pgSz w:w="11900" w:h="16838" w:orient="portrait"/>
          <w:cols w:equalWidth="0" w:num="1">
            <w:col w:w="11020"/>
          </w:cols>
          <w:pgMar w:left="32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6"/>
          <w:szCs w:val="16"/>
          <w:i w:val="1"/>
          <w:iCs w:val="1"/>
          <w:color w:val="auto"/>
        </w:rPr>
        <w:t>Signature Page to First Supplemental Indenture</w:t>
      </w:r>
    </w:p>
    <w:p>
      <w:pPr>
        <w:sectPr>
          <w:pgSz w:w="11900" w:h="16838" w:orient="portrait"/>
          <w:cols w:equalWidth="0" w:num="1">
            <w:col w:w="11020"/>
          </w:cols>
          <w:pgMar w:left="320" w:top="1440" w:right="559" w:bottom="1440" w:gutter="0" w:footer="0" w:header="0"/>
          <w:type w:val="continuous"/>
        </w:sectPr>
      </w:pPr>
    </w:p>
    <w:bookmarkStart w:id="153" w:name="page154"/>
    <w:bookmarkEnd w:id="153"/>
    <w:p>
      <w:pPr>
        <w:spacing w:after="0" w:line="2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California Resources Wilmington, LLC</w:t>
      </w:r>
    </w:p>
    <w:p>
      <w:pPr>
        <w:spacing w:after="0" w:line="314" w:lineRule="exact"/>
        <w:rPr>
          <w:sz w:val="20"/>
          <w:szCs w:val="20"/>
          <w:color w:val="auto"/>
        </w:rPr>
      </w:pPr>
    </w:p>
    <w:tbl>
      <w:tblPr>
        <w:tblLayout w:type="fixed"/>
        <w:tblInd w:w="3920" w:type="dxa"/>
        <w:tblCellMar>
          <w:top w:w="0" w:type="dxa"/>
          <w:left w:w="0" w:type="dxa"/>
          <w:bottom w:w="0" w:type="dxa"/>
          <w:right w:w="0" w:type="dxa"/>
        </w:tblCellMar>
      </w:tblPr>
      <w:tr>
        <w:trPr>
          <w:trHeight w:val="27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gridSpan w:val="2"/>
          </w:tcPr>
          <w:p>
            <w:pPr>
              <w:ind w:left="20"/>
              <w:spacing w:after="0"/>
              <w:rPr>
                <w:sz w:val="20"/>
                <w:szCs w:val="20"/>
                <w:color w:val="auto"/>
              </w:rPr>
            </w:pPr>
            <w:r>
              <w:rPr>
                <w:rFonts w:ascii="Arial" w:cs="Arial" w:eastAsia="Arial" w:hAnsi="Arial"/>
                <w:sz w:val="22"/>
                <w:szCs w:val="22"/>
                <w:color w:val="auto"/>
                <w:w w:val="88"/>
              </w:rPr>
              <w:t>California Resources Tidelands, Inc., as sole member</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48"/>
        </w:trPr>
        <w:tc>
          <w:tcPr>
            <w:tcW w:w="5340" w:type="dxa"/>
            <w:vAlign w:val="bottom"/>
            <w:gridSpan w:val="3"/>
          </w:tcPr>
          <w:p>
            <w:pPr>
              <w:spacing w:after="0"/>
              <w:rPr>
                <w:sz w:val="20"/>
                <w:szCs w:val="20"/>
                <w:color w:val="auto"/>
              </w:rPr>
            </w:pPr>
            <w:r>
              <w:rPr>
                <w:rFonts w:ascii="Arial" w:cs="Arial" w:eastAsia="Arial" w:hAnsi="Arial"/>
                <w:sz w:val="22"/>
                <w:szCs w:val="22"/>
                <w:color w:val="auto"/>
              </w:rPr>
              <w:t>California Heavy Oil, Inc,</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35"/>
        </w:trPr>
        <w:tc>
          <w:tcPr>
            <w:tcW w:w="5340" w:type="dxa"/>
            <w:vAlign w:val="bottom"/>
            <w:gridSpan w:val="3"/>
          </w:tcPr>
          <w:p>
            <w:pPr>
              <w:spacing w:after="0"/>
              <w:rPr>
                <w:sz w:val="20"/>
                <w:szCs w:val="20"/>
                <w:color w:val="auto"/>
              </w:rPr>
            </w:pPr>
            <w:r>
              <w:rPr>
                <w:rFonts w:ascii="Arial" w:cs="Arial" w:eastAsia="Arial" w:hAnsi="Arial"/>
                <w:sz w:val="22"/>
                <w:szCs w:val="22"/>
                <w:color w:val="auto"/>
              </w:rPr>
              <w:t>California Resources Petroleum Corporation</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48"/>
        </w:trPr>
        <w:tc>
          <w:tcPr>
            <w:tcW w:w="5340" w:type="dxa"/>
            <w:vAlign w:val="bottom"/>
            <w:gridSpan w:val="3"/>
          </w:tcPr>
          <w:p>
            <w:pPr>
              <w:spacing w:after="0"/>
              <w:rPr>
                <w:sz w:val="20"/>
                <w:szCs w:val="20"/>
                <w:color w:val="auto"/>
              </w:rPr>
            </w:pPr>
            <w:r>
              <w:rPr>
                <w:rFonts w:ascii="Arial" w:cs="Arial" w:eastAsia="Arial" w:hAnsi="Arial"/>
                <w:sz w:val="22"/>
                <w:szCs w:val="22"/>
                <w:color w:val="auto"/>
              </w:rPr>
              <w:t>California Resources Production Corporation</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First Supplemental Indenture</w:t>
      </w:r>
    </w:p>
    <w:p>
      <w:pPr>
        <w:sectPr>
          <w:pgSz w:w="11900" w:h="16838" w:orient="portrait"/>
          <w:cols w:equalWidth="0" w:num="1">
            <w:col w:w="9260"/>
          </w:cols>
          <w:pgMar w:left="1440" w:top="1440" w:right="1199" w:bottom="1440" w:gutter="0" w:footer="0" w:header="0"/>
        </w:sectPr>
      </w:pPr>
    </w:p>
    <w:bookmarkStart w:id="154" w:name="page155"/>
    <w:bookmarkEnd w:id="154"/>
    <w:p>
      <w:pPr>
        <w:spacing w:after="0" w:line="2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CRC Marketing, Inc.</w:t>
      </w:r>
    </w:p>
    <w:p>
      <w:pPr>
        <w:spacing w:after="0" w:line="301" w:lineRule="exact"/>
        <w:rPr>
          <w:sz w:val="20"/>
          <w:szCs w:val="20"/>
          <w:color w:val="auto"/>
        </w:rPr>
      </w:pPr>
    </w:p>
    <w:tbl>
      <w:tblPr>
        <w:tblLayout w:type="fixed"/>
        <w:tblInd w:w="3920" w:type="dxa"/>
        <w:tblCellMar>
          <w:top w:w="0" w:type="dxa"/>
          <w:left w:w="0" w:type="dxa"/>
          <w:bottom w:w="0" w:type="dxa"/>
          <w:right w:w="0" w:type="dxa"/>
        </w:tblCellMar>
      </w:tblPr>
      <w:tr>
        <w:trPr>
          <w:trHeight w:val="276"/>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48"/>
        </w:trPr>
        <w:tc>
          <w:tcPr>
            <w:tcW w:w="5340" w:type="dxa"/>
            <w:vAlign w:val="bottom"/>
            <w:gridSpan w:val="3"/>
          </w:tcPr>
          <w:p>
            <w:pPr>
              <w:spacing w:after="0"/>
              <w:rPr>
                <w:sz w:val="20"/>
                <w:szCs w:val="20"/>
                <w:color w:val="auto"/>
              </w:rPr>
            </w:pPr>
            <w:r>
              <w:rPr>
                <w:rFonts w:ascii="Arial" w:cs="Arial" w:eastAsia="Arial" w:hAnsi="Arial"/>
                <w:sz w:val="22"/>
                <w:szCs w:val="22"/>
                <w:color w:val="auto"/>
              </w:rPr>
              <w:t>Southern San Joaquin Production, Inc.</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34"/>
        </w:trPr>
        <w:tc>
          <w:tcPr>
            <w:tcW w:w="5340" w:type="dxa"/>
            <w:vAlign w:val="bottom"/>
            <w:gridSpan w:val="3"/>
          </w:tcPr>
          <w:p>
            <w:pPr>
              <w:spacing w:after="0"/>
              <w:rPr>
                <w:sz w:val="20"/>
                <w:szCs w:val="20"/>
                <w:color w:val="auto"/>
              </w:rPr>
            </w:pPr>
            <w:r>
              <w:rPr>
                <w:rFonts w:ascii="Arial" w:cs="Arial" w:eastAsia="Arial" w:hAnsi="Arial"/>
                <w:sz w:val="22"/>
                <w:szCs w:val="22"/>
                <w:color w:val="auto"/>
              </w:rPr>
              <w:t>California Resources Coles Levee, LLC</w:t>
            </w:r>
          </w:p>
        </w:tc>
      </w:tr>
      <w:tr>
        <w:trPr>
          <w:trHeight w:val="567"/>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gridSpan w:val="2"/>
          </w:tcPr>
          <w:p>
            <w:pPr>
              <w:ind w:left="20"/>
              <w:spacing w:after="0"/>
              <w:rPr>
                <w:sz w:val="20"/>
                <w:szCs w:val="20"/>
                <w:color w:val="auto"/>
              </w:rPr>
            </w:pPr>
            <w:r>
              <w:rPr>
                <w:rFonts w:ascii="Arial" w:cs="Arial" w:eastAsia="Arial" w:hAnsi="Arial"/>
                <w:sz w:val="22"/>
                <w:szCs w:val="22"/>
                <w:color w:val="auto"/>
                <w:w w:val="91"/>
              </w:rPr>
              <w:t>California Resources Elk Hills, LLC, as sole member</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r>
        <w:trPr>
          <w:trHeight w:val="648"/>
        </w:trPr>
        <w:tc>
          <w:tcPr>
            <w:tcW w:w="5340" w:type="dxa"/>
            <w:vAlign w:val="bottom"/>
            <w:gridSpan w:val="3"/>
          </w:tcPr>
          <w:p>
            <w:pPr>
              <w:spacing w:after="0"/>
              <w:rPr>
                <w:sz w:val="20"/>
                <w:szCs w:val="20"/>
                <w:color w:val="auto"/>
              </w:rPr>
            </w:pPr>
            <w:r>
              <w:rPr>
                <w:rFonts w:ascii="Arial" w:cs="Arial" w:eastAsia="Arial" w:hAnsi="Arial"/>
                <w:sz w:val="22"/>
                <w:szCs w:val="22"/>
                <w:color w:val="auto"/>
              </w:rPr>
              <w:t>California Resources Tidelands, Inc.</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First Supplemental Indenture</w:t>
      </w:r>
    </w:p>
    <w:p>
      <w:pPr>
        <w:sectPr>
          <w:pgSz w:w="11900" w:h="16838" w:orient="portrait"/>
          <w:cols w:equalWidth="0" w:num="1">
            <w:col w:w="9260"/>
          </w:cols>
          <w:pgMar w:left="1440" w:top="1440" w:right="1199" w:bottom="1440" w:gutter="0" w:footer="0" w:header="0"/>
        </w:sectPr>
      </w:pPr>
    </w:p>
    <w:bookmarkStart w:id="155" w:name="page156"/>
    <w:bookmarkEnd w:id="155"/>
    <w:p>
      <w:pPr>
        <w:spacing w:after="0" w:line="2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California Resources Coles Levee, L.P.</w:t>
      </w:r>
    </w:p>
    <w:p>
      <w:pPr>
        <w:spacing w:after="0" w:line="314" w:lineRule="exact"/>
        <w:rPr>
          <w:sz w:val="20"/>
          <w:szCs w:val="20"/>
          <w:color w:val="auto"/>
        </w:rPr>
      </w:pPr>
    </w:p>
    <w:tbl>
      <w:tblPr>
        <w:tblLayout w:type="fixed"/>
        <w:tblInd w:w="3920" w:type="dxa"/>
        <w:tblCellMar>
          <w:top w:w="0" w:type="dxa"/>
          <w:left w:w="0" w:type="dxa"/>
          <w:bottom w:w="0" w:type="dxa"/>
          <w:right w:w="0" w:type="dxa"/>
        </w:tblCellMar>
      </w:tblPr>
      <w:tr>
        <w:trPr>
          <w:trHeight w:val="27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gridSpan w:val="3"/>
          </w:tcPr>
          <w:p>
            <w:pPr>
              <w:ind w:left="20"/>
              <w:spacing w:after="0"/>
              <w:rPr>
                <w:sz w:val="20"/>
                <w:szCs w:val="20"/>
                <w:color w:val="auto"/>
              </w:rPr>
            </w:pPr>
            <w:r>
              <w:rPr>
                <w:rFonts w:ascii="Arial" w:cs="Arial" w:eastAsia="Arial" w:hAnsi="Arial"/>
                <w:sz w:val="22"/>
                <w:szCs w:val="22"/>
                <w:color w:val="auto"/>
                <w:w w:val="88"/>
              </w:rPr>
              <w:t>California Resources Coles Levee, LLC, as general partner</w:t>
            </w:r>
          </w:p>
        </w:tc>
      </w:tr>
      <w:tr>
        <w:trPr>
          <w:trHeight w:val="55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gridSpan w:val="3"/>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22"/>
                <w:szCs w:val="22"/>
                <w:color w:val="auto"/>
              </w:rPr>
              <w:t>Francisco J. Leon</w:t>
            </w:r>
          </w:p>
        </w:tc>
        <w:tc>
          <w:tcPr>
            <w:tcW w:w="440" w:type="dxa"/>
            <w:vAlign w:val="bottom"/>
          </w:tcPr>
          <w:p>
            <w:pPr>
              <w:spacing w:after="0"/>
              <w:rPr>
                <w:sz w:val="22"/>
                <w:szCs w:val="22"/>
                <w:color w:val="auto"/>
              </w:rPr>
            </w:pP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4320" w:type="dxa"/>
            <w:vAlign w:val="bottom"/>
            <w:gridSpan w:val="2"/>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320" w:type="dxa"/>
            <w:vAlign w:val="bottom"/>
            <w:gridSpan w:val="2"/>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35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ISSUER:</w:t>
      </w:r>
    </w:p>
    <w:p>
      <w:pPr>
        <w:spacing w:after="0" w:line="30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California Resources Corporation</w:t>
      </w:r>
    </w:p>
    <w:p>
      <w:pPr>
        <w:spacing w:after="0" w:line="301" w:lineRule="exact"/>
        <w:rPr>
          <w:sz w:val="20"/>
          <w:szCs w:val="20"/>
          <w:color w:val="auto"/>
        </w:rPr>
      </w:pPr>
    </w:p>
    <w:tbl>
      <w:tblPr>
        <w:tblLayout w:type="fixed"/>
        <w:tblInd w:w="3920" w:type="dxa"/>
        <w:tblCellMar>
          <w:top w:w="0" w:type="dxa"/>
          <w:left w:w="0" w:type="dxa"/>
          <w:bottom w:w="0" w:type="dxa"/>
          <w:right w:w="0" w:type="dxa"/>
        </w:tblCellMar>
      </w:tblPr>
      <w:tr>
        <w:trPr>
          <w:trHeight w:val="276"/>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Francisco J. Leon</w:t>
            </w:r>
          </w:p>
        </w:tc>
      </w:tr>
      <w:tr>
        <w:trPr>
          <w:trHeight w:val="257"/>
        </w:trPr>
        <w:tc>
          <w:tcPr>
            <w:tcW w:w="6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3880" w:type="dxa"/>
            <w:vAlign w:val="bottom"/>
          </w:tcPr>
          <w:p>
            <w:pPr>
              <w:ind w:left="200"/>
              <w:spacing w:after="0"/>
              <w:rPr>
                <w:sz w:val="20"/>
                <w:szCs w:val="20"/>
                <w:color w:val="auto"/>
              </w:rPr>
            </w:pPr>
            <w:r>
              <w:rPr>
                <w:rFonts w:ascii="Arial" w:cs="Arial" w:eastAsia="Arial" w:hAnsi="Arial"/>
                <w:sz w:val="22"/>
                <w:szCs w:val="22"/>
                <w:color w:val="auto"/>
              </w:rPr>
              <w:t>Francisco J. Leon</w:t>
            </w:r>
          </w:p>
        </w:tc>
      </w:tr>
      <w:tr>
        <w:trPr>
          <w:trHeight w:val="216"/>
        </w:trPr>
        <w:tc>
          <w:tcPr>
            <w:tcW w:w="660" w:type="dxa"/>
            <w:vAlign w:val="bottom"/>
          </w:tcPr>
          <w:p>
            <w:pPr>
              <w:spacing w:after="0"/>
              <w:rPr>
                <w:sz w:val="18"/>
                <w:szCs w:val="18"/>
                <w:color w:val="auto"/>
              </w:rPr>
            </w:pPr>
          </w:p>
        </w:tc>
        <w:tc>
          <w:tcPr>
            <w:tcW w:w="800" w:type="dxa"/>
            <w:vAlign w:val="bottom"/>
          </w:tcPr>
          <w:p>
            <w:pPr>
              <w:ind w:left="20"/>
              <w:spacing w:after="0" w:line="216" w:lineRule="exact"/>
              <w:rPr>
                <w:sz w:val="20"/>
                <w:szCs w:val="20"/>
                <w:color w:val="auto"/>
              </w:rPr>
            </w:pPr>
            <w:r>
              <w:rPr>
                <w:rFonts w:ascii="Arial" w:cs="Arial" w:eastAsia="Arial" w:hAnsi="Arial"/>
                <w:sz w:val="22"/>
                <w:szCs w:val="22"/>
                <w:color w:val="auto"/>
              </w:rPr>
              <w:t>Title:</w:t>
            </w:r>
          </w:p>
        </w:tc>
        <w:tc>
          <w:tcPr>
            <w:tcW w:w="3880" w:type="dxa"/>
            <w:vAlign w:val="bottom"/>
          </w:tcPr>
          <w:p>
            <w:pPr>
              <w:ind w:left="200"/>
              <w:spacing w:after="0" w:line="216" w:lineRule="exact"/>
              <w:rPr>
                <w:sz w:val="20"/>
                <w:szCs w:val="20"/>
                <w:color w:val="auto"/>
              </w:rPr>
            </w:pPr>
            <w:r>
              <w:rPr>
                <w:rFonts w:ascii="Arial" w:cs="Arial" w:eastAsia="Arial" w:hAnsi="Arial"/>
                <w:sz w:val="22"/>
                <w:szCs w:val="22"/>
                <w:color w:val="auto"/>
              </w:rPr>
              <w:t>Executive Vice President and Chief</w:t>
            </w:r>
          </w:p>
        </w:tc>
      </w:tr>
      <w:tr>
        <w:trPr>
          <w:trHeight w:val="274"/>
        </w:trPr>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80" w:type="dxa"/>
            <w:vAlign w:val="bottom"/>
          </w:tcPr>
          <w:p>
            <w:pPr>
              <w:ind w:left="200"/>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0"/>
        <w:spacing w:after="0"/>
        <w:rPr>
          <w:sz w:val="20"/>
          <w:szCs w:val="20"/>
          <w:color w:val="auto"/>
        </w:rPr>
      </w:pPr>
      <w:r>
        <w:rPr>
          <w:rFonts w:ascii="Arial" w:cs="Arial" w:eastAsia="Arial" w:hAnsi="Arial"/>
          <w:sz w:val="20"/>
          <w:szCs w:val="20"/>
          <w:i w:val="1"/>
          <w:iCs w:val="1"/>
          <w:color w:val="auto"/>
        </w:rPr>
        <w:t>Signature Page to First Supplemental Indenture</w:t>
      </w:r>
    </w:p>
    <w:p>
      <w:pPr>
        <w:sectPr>
          <w:pgSz w:w="11900" w:h="16838" w:orient="portrait"/>
          <w:cols w:equalWidth="0" w:num="1">
            <w:col w:w="9700"/>
          </w:cols>
          <w:pgMar w:left="1440" w:top="1440" w:right="759" w:bottom="1440" w:gutter="0" w:footer="0" w:header="0"/>
        </w:sectPr>
      </w:pPr>
    </w:p>
    <w:bookmarkStart w:id="156" w:name="page157"/>
    <w:bookmarkEnd w:id="156"/>
    <w:p>
      <w:pPr>
        <w:spacing w:after="0" w:line="9"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TRUSTEE:</w:t>
      </w:r>
    </w:p>
    <w:p>
      <w:pPr>
        <w:spacing w:after="0" w:line="30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Wilmington Trust, National Association</w:t>
      </w:r>
    </w:p>
    <w:p>
      <w:pPr>
        <w:spacing w:after="0" w:line="301" w:lineRule="exact"/>
        <w:rPr>
          <w:sz w:val="20"/>
          <w:szCs w:val="20"/>
          <w:color w:val="auto"/>
        </w:rPr>
      </w:pPr>
    </w:p>
    <w:tbl>
      <w:tblPr>
        <w:tblLayout w:type="fixed"/>
        <w:tblInd w:w="3940" w:type="dxa"/>
        <w:tblCellMar>
          <w:top w:w="0" w:type="dxa"/>
          <w:left w:w="0" w:type="dxa"/>
          <w:bottom w:w="0" w:type="dxa"/>
          <w:right w:w="0" w:type="dxa"/>
        </w:tblCellMar>
      </w:tblPr>
      <w:tr>
        <w:trPr>
          <w:trHeight w:val="274"/>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Hallie E. Field</w:t>
            </w:r>
          </w:p>
        </w:tc>
      </w:tr>
      <w:tr>
        <w:trPr>
          <w:trHeight w:val="259"/>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200" w:type="dxa"/>
            <w:vAlign w:val="bottom"/>
          </w:tcPr>
          <w:p>
            <w:pPr>
              <w:ind w:left="20"/>
              <w:spacing w:after="0"/>
              <w:rPr>
                <w:sz w:val="20"/>
                <w:szCs w:val="20"/>
                <w:color w:val="auto"/>
              </w:rPr>
            </w:pPr>
            <w:r>
              <w:rPr>
                <w:rFonts w:ascii="Arial" w:cs="Arial" w:eastAsia="Arial" w:hAnsi="Arial"/>
                <w:sz w:val="22"/>
                <w:szCs w:val="22"/>
                <w:color w:val="auto"/>
              </w:rPr>
              <w:t>Hallie E. Field</w:t>
            </w: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2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First Supplemental Indenture</w:t>
      </w:r>
    </w:p>
    <w:p>
      <w:pPr>
        <w:sectPr>
          <w:pgSz w:w="11900" w:h="16838" w:orient="portrait"/>
          <w:cols w:equalWidth="0" w:num="1">
            <w:col w:w="9260"/>
          </w:cols>
          <w:pgMar w:left="1440" w:top="1440" w:right="119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13970</wp:posOffset>
            </wp:positionV>
            <wp:extent cx="162877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740" w:val="left"/>
        </w:tabs>
        <w:rPr>
          <w:sz w:val="20"/>
          <w:szCs w:val="20"/>
          <w:color w:val="auto"/>
        </w:rPr>
      </w:pPr>
      <w:r>
        <w:rPr>
          <w:rFonts w:ascii="Arial" w:cs="Arial" w:eastAsia="Arial" w:hAnsi="Arial"/>
          <w:sz w:val="32"/>
          <w:szCs w:val="32"/>
          <w:b w:val="1"/>
          <w:bCs w:val="1"/>
          <w:color w:val="auto"/>
        </w:rPr>
        <w:t>NEWS RELEASE</w:t>
      </w:r>
      <w:r>
        <w:rPr>
          <w:sz w:val="20"/>
          <w:szCs w:val="20"/>
          <w:color w:val="auto"/>
        </w:rPr>
        <w:tab/>
      </w:r>
      <w:r>
        <w:rPr>
          <w:rFonts w:ascii="Arial" w:cs="Arial" w:eastAsia="Arial" w:hAnsi="Arial"/>
          <w:sz w:val="21"/>
          <w:szCs w:val="21"/>
          <w:b w:val="1"/>
          <w:bCs w:val="1"/>
          <w:color w:val="auto"/>
        </w:rPr>
        <w:t>For immediate release</w:t>
      </w:r>
    </w:p>
    <w:p>
      <w:pPr>
        <w:spacing w:after="0" w:line="182" w:lineRule="exact"/>
        <w:rPr>
          <w:sz w:val="20"/>
          <w:szCs w:val="20"/>
          <w:color w:val="auto"/>
        </w:rPr>
      </w:pPr>
    </w:p>
    <w:p>
      <w:pPr>
        <w:jc w:val="center"/>
        <w:spacing w:after="0" w:line="258" w:lineRule="auto"/>
        <w:rPr>
          <w:sz w:val="20"/>
          <w:szCs w:val="20"/>
          <w:color w:val="auto"/>
        </w:rPr>
      </w:pPr>
      <w:r>
        <w:rPr>
          <w:rFonts w:ascii="Arial" w:cs="Arial" w:eastAsia="Arial" w:hAnsi="Arial"/>
          <w:sz w:val="29"/>
          <w:szCs w:val="29"/>
          <w:b w:val="1"/>
          <w:bCs w:val="1"/>
          <w:color w:val="auto"/>
        </w:rPr>
        <w:t>California Resources Corporation Announces Functional Realignment and Streamlining of Leadership Team</w:t>
      </w:r>
    </w:p>
    <w:p>
      <w:pPr>
        <w:spacing w:after="0" w:line="73"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color w:val="auto"/>
        </w:rPr>
        <w:t xml:space="preserve">Santa Clarita, California, January 21, 2021 – </w:t>
      </w:r>
      <w:r>
        <w:rPr>
          <w:rFonts w:ascii="Arial" w:cs="Arial" w:eastAsia="Arial" w:hAnsi="Arial"/>
          <w:sz w:val="21"/>
          <w:szCs w:val="21"/>
          <w:color w:val="auto"/>
        </w:rPr>
        <w:t>California Resources Corporation (NYSE: CRC) (the “Company”)</w:t>
      </w:r>
      <w:r>
        <w:rPr>
          <w:rFonts w:ascii="Arial" w:cs="Arial" w:eastAsia="Arial" w:hAnsi="Arial"/>
          <w:sz w:val="20"/>
          <w:szCs w:val="20"/>
          <w:color w:val="auto"/>
        </w:rPr>
        <w:t xml:space="preserve"> </w:t>
      </w:r>
      <w:r>
        <w:rPr>
          <w:rFonts w:ascii="Arial" w:cs="Arial" w:eastAsia="Arial" w:hAnsi="Arial"/>
          <w:sz w:val="21"/>
          <w:szCs w:val="21"/>
          <w:color w:val="auto"/>
        </w:rPr>
        <w:t>announced today that it is reducing the size of its leadership team and realigning several functions as it focuses on efficiency and cost reductions. The Company is eliminating leadership positions in the areas of public affairs, exploration and development, investor relations and finance, and implementing the following functional realignment:</w:t>
      </w:r>
    </w:p>
    <w:p>
      <w:pPr>
        <w:spacing w:after="0" w:line="1" w:lineRule="exact"/>
        <w:rPr>
          <w:sz w:val="20"/>
          <w:szCs w:val="20"/>
          <w:color w:val="auto"/>
        </w:rPr>
      </w:pPr>
    </w:p>
    <w:p>
      <w:pPr>
        <w:ind w:right="140" w:firstLine="8"/>
        <w:spacing w:after="0" w:line="248" w:lineRule="auto"/>
        <w:tabs>
          <w:tab w:leader="none" w:pos="32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reporting to Mac McFarland (interim CEO) will be Francisco Leon (Chief Financial Officer), Mike Preston (Chief Administrative Officer and General Counsel), Shawn Kerns (Executive Vice President, Operations and Engineering), and Carlos Contreras (Senior Vice President, Commercial); (2) Mr. Leon’s functional responsibilities will include finance and planning, reserves, business development, investor relations and supply chain; (3) Mr. Preston will have responsibility for legal, IT, human resources and government and external affairs; (4) Mr. Kerns will have responsibility for all aspects of operations and development; and (5) Mr. Contreras will lead the marketing function. These organizational changes, when fully implemented, are expected to reduce the Company’s run rate costs by approximately $8 million per year (representing a 22% reduction in senior leadership team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result in one-time charges of approximately $5 million.</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22"/>
          <w:szCs w:val="22"/>
          <w:color w:val="auto"/>
        </w:rPr>
        <w:t>Mr. McFarland said “This streamlined leadership team is the first step in better positioning the Company to focus on implementing additional cost reductions, maintaining our capital discipline and asset rationalization through our full-scale Business Review. We will continue to maintain our focus on safe and environmentally responsible operations as we implement changes to the Company’s organization and strategic direction.”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Presentation Available</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Company today posted an updated investor presentation to the Investor Relations page of its website at www.crc.com.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 Disclosure</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color w:val="auto"/>
        </w:rPr>
        <w:t>All statements, except for statements of historical fact, made in this release regarding activities, events or developments the Company expects, believes or anticipates will or may occur in the future, are forward-looking statements within the meaning of Section 27A of the Securities Act and Section 21E of the Securities Exchange Act of 1934, as amended.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45" w:lineRule="exact"/>
        <w:rPr>
          <w:sz w:val="20"/>
          <w:szCs w:val="20"/>
          <w:color w:val="auto"/>
        </w:rPr>
      </w:pPr>
    </w:p>
    <w:p>
      <w:pPr>
        <w:ind w:firstLine="8"/>
        <w:spacing w:after="0" w:line="184" w:lineRule="auto"/>
        <w:tabs>
          <w:tab w:leader="none" w:pos="331" w:val="left"/>
        </w:tabs>
        <w:numPr>
          <w:ilvl w:val="0"/>
          <w:numId w:val="200"/>
        </w:numPr>
        <w:rPr>
          <w:rFonts w:ascii="Arial" w:cs="Arial" w:eastAsia="Arial" w:hAnsi="Arial"/>
          <w:sz w:val="28"/>
          <w:szCs w:val="28"/>
          <w:color w:val="auto"/>
          <w:vertAlign w:val="superscript"/>
        </w:rPr>
      </w:pPr>
      <w:r>
        <w:rPr>
          <w:rFonts w:ascii="Arial" w:cs="Arial" w:eastAsia="Arial" w:hAnsi="Arial"/>
          <w:sz w:val="18"/>
          <w:szCs w:val="18"/>
          <w:color w:val="auto"/>
        </w:rPr>
        <w:t>Calculations based on 2020 run rate at target. “Senior leadership team” consists of Vice Presidents and more senior positions, including the CEO position.</w:t>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62877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7"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22"/>
          <w:szCs w:val="22"/>
          <w:color w:val="333333"/>
        </w:rPr>
        <w:t>California Resources Corporation is the largest oil and natural gas exploration and production company in California. The Company operates exclusively within the State of California, applying complementary and integrated infrastructure to gather, process and market its production. Using advanced technology, the Company focuses on safely and responsibly supplying affordable energy for California by Californians</w:t>
      </w:r>
      <w:r>
        <w:rPr>
          <w:rFonts w:ascii="Arial" w:cs="Arial" w:eastAsia="Arial" w:hAnsi="Arial"/>
          <w:sz w:val="22"/>
          <w:szCs w:val="22"/>
          <w:color w:val="000000"/>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CRC Contacts:</w:t>
            </w:r>
          </w:p>
        </w:tc>
        <w:tc>
          <w:tcPr>
            <w:tcW w:w="322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581"/>
        </w:trPr>
        <w:tc>
          <w:tcPr>
            <w:tcW w:w="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22"/>
                <w:szCs w:val="22"/>
                <w:color w:val="auto"/>
              </w:rPr>
              <w:t>Joanna Park (Investor Relations)</w:t>
            </w:r>
          </w:p>
        </w:tc>
        <w:tc>
          <w:tcPr>
            <w:tcW w:w="3540" w:type="dxa"/>
            <w:vAlign w:val="bottom"/>
            <w:gridSpan w:val="2"/>
          </w:tcPr>
          <w:p>
            <w:pPr>
              <w:ind w:left="760"/>
              <w:spacing w:after="0"/>
              <w:rPr>
                <w:sz w:val="20"/>
                <w:szCs w:val="20"/>
                <w:color w:val="auto"/>
              </w:rPr>
            </w:pPr>
            <w:r>
              <w:rPr>
                <w:rFonts w:ascii="Arial" w:cs="Arial" w:eastAsia="Arial" w:hAnsi="Arial"/>
                <w:sz w:val="22"/>
                <w:szCs w:val="22"/>
                <w:color w:val="auto"/>
              </w:rPr>
              <w:t>Margita Thompson (Media)</w:t>
            </w:r>
          </w:p>
        </w:tc>
      </w:tr>
      <w:tr>
        <w:trPr>
          <w:trHeight w:val="257"/>
        </w:trPr>
        <w:tc>
          <w:tcPr>
            <w:tcW w:w="1540" w:type="dxa"/>
            <w:vAlign w:val="bottom"/>
            <w:gridSpan w:val="2"/>
          </w:tcPr>
          <w:p>
            <w:pPr>
              <w:ind w:left="20"/>
              <w:spacing w:after="0"/>
              <w:rPr>
                <w:sz w:val="20"/>
                <w:szCs w:val="20"/>
                <w:color w:val="auto"/>
              </w:rPr>
            </w:pPr>
            <w:r>
              <w:rPr>
                <w:rFonts w:ascii="Arial" w:cs="Arial" w:eastAsia="Arial" w:hAnsi="Arial"/>
                <w:sz w:val="22"/>
                <w:szCs w:val="22"/>
                <w:color w:val="auto"/>
                <w:w w:val="99"/>
              </w:rPr>
              <w:t>(818) 661-3731</w:t>
            </w:r>
          </w:p>
        </w:tc>
        <w:tc>
          <w:tcPr>
            <w:tcW w:w="6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540" w:type="dxa"/>
            <w:vAlign w:val="bottom"/>
            <w:gridSpan w:val="2"/>
          </w:tcPr>
          <w:p>
            <w:pPr>
              <w:ind w:left="760"/>
              <w:spacing w:after="0"/>
              <w:rPr>
                <w:sz w:val="20"/>
                <w:szCs w:val="20"/>
                <w:color w:val="auto"/>
              </w:rPr>
            </w:pPr>
            <w:r>
              <w:rPr>
                <w:rFonts w:ascii="Arial" w:cs="Arial" w:eastAsia="Arial" w:hAnsi="Arial"/>
                <w:sz w:val="22"/>
                <w:szCs w:val="22"/>
                <w:color w:val="auto"/>
              </w:rPr>
              <w:t>(818) 661-6015</w:t>
            </w:r>
          </w:p>
        </w:tc>
      </w:tr>
      <w:tr>
        <w:trPr>
          <w:trHeight w:val="209"/>
        </w:trPr>
        <w:tc>
          <w:tcPr>
            <w:tcW w:w="20" w:type="dxa"/>
            <w:vAlign w:val="bottom"/>
          </w:tcPr>
          <w:p>
            <w:pPr>
              <w:spacing w:after="0"/>
              <w:rPr>
                <w:sz w:val="18"/>
                <w:szCs w:val="18"/>
                <w:color w:val="auto"/>
              </w:rPr>
            </w:pPr>
          </w:p>
        </w:tc>
        <w:tc>
          <w:tcPr>
            <w:tcW w:w="2200" w:type="dxa"/>
            <w:vAlign w:val="bottom"/>
            <w:tcBorders>
              <w:bottom w:val="single" w:sz="8" w:color="0000FF"/>
            </w:tcBorders>
            <w:gridSpan w:val="2"/>
          </w:tcPr>
          <w:p>
            <w:pPr>
              <w:spacing w:after="0" w:line="209" w:lineRule="exact"/>
              <w:rPr>
                <w:sz w:val="20"/>
                <w:szCs w:val="20"/>
                <w:color w:val="auto"/>
              </w:rPr>
            </w:pPr>
            <w:r>
              <w:rPr>
                <w:rFonts w:ascii="Arial" w:cs="Arial" w:eastAsia="Arial" w:hAnsi="Arial"/>
                <w:sz w:val="22"/>
                <w:szCs w:val="22"/>
                <w:color w:val="0000FF"/>
                <w:w w:val="97"/>
              </w:rPr>
              <w:t>Joanna.Park@crc.com</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tcBorders>
              <w:bottom w:val="single" w:sz="8" w:color="0000FF"/>
            </w:tcBorders>
          </w:tcPr>
          <w:p>
            <w:pPr>
              <w:spacing w:after="0" w:line="209" w:lineRule="exact"/>
              <w:rPr>
                <w:sz w:val="20"/>
                <w:szCs w:val="20"/>
                <w:color w:val="auto"/>
              </w:rPr>
            </w:pPr>
            <w:r>
              <w:rPr>
                <w:rFonts w:ascii="Arial" w:cs="Arial" w:eastAsia="Arial" w:hAnsi="Arial"/>
                <w:sz w:val="22"/>
                <w:szCs w:val="22"/>
                <w:color w:val="0000FF"/>
                <w:w w:val="97"/>
              </w:rPr>
              <w:t>Margita.Thompson@crc.com</w:t>
            </w:r>
          </w:p>
        </w:tc>
      </w:tr>
      <w:tr>
        <w:trPr>
          <w:trHeight w:val="665"/>
        </w:trPr>
        <w:tc>
          <w:tcPr>
            <w:tcW w:w="4760" w:type="dxa"/>
            <w:vAlign w:val="bottom"/>
            <w:gridSpan w:val="4"/>
          </w:tcPr>
          <w:p>
            <w:pPr>
              <w:spacing w:after="0"/>
              <w:rPr>
                <w:sz w:val="20"/>
                <w:szCs w:val="20"/>
                <w:color w:val="auto"/>
              </w:rPr>
            </w:pPr>
            <w:r>
              <w:rPr>
                <w:rFonts w:ascii="Arial" w:cs="Arial" w:eastAsia="Arial" w:hAnsi="Arial"/>
                <w:sz w:val="22"/>
                <w:szCs w:val="22"/>
                <w:color w:val="auto"/>
              </w:rPr>
              <w:t>Source: California Resources Corporation</w:t>
            </w:r>
          </w:p>
        </w:tc>
        <w:tc>
          <w:tcPr>
            <w:tcW w:w="76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172200" cy="3463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765"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63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1)"/>
      <w:numFmt w:val="decimal"/>
      <w:start w:val="1"/>
    </w:lvl>
  </w:abstractNum>
  <w:abstractNum w:abstractNumId="2">
    <w:nsid w:val="73A1821B"/>
    <w:multiLevelType w:val="hybridMultilevel"/>
    <w:lvl w:ilvl="0">
      <w:lvlJc w:val="left"/>
      <w:lvlText w:val="(%1)"/>
      <w:numFmt w:val="decimal"/>
      <w:start w:val="1"/>
    </w:lvl>
  </w:abstractNum>
  <w:abstractNum w:abstractNumId="3">
    <w:nsid w:val="7DE67713"/>
    <w:multiLevelType w:val="hybridMultilevel"/>
    <w:lvl w:ilvl="0">
      <w:lvlJc w:val="left"/>
      <w:lvlText w:val="(%1)"/>
      <w:numFmt w:val="lowerRoman"/>
      <w:start w:val="1"/>
    </w:lvl>
    <w:lvl w:ilvl="1">
      <w:lvlJc w:val="left"/>
      <w:lvlText w:val="(%2)"/>
      <w:numFmt w:val="upperLetter"/>
      <w:start w:val="1"/>
    </w:lvl>
  </w:abstractNum>
  <w:abstractNum w:abstractNumId="4">
    <w:nsid w:val="555C55B5"/>
    <w:multiLevelType w:val="hybridMultilevel"/>
    <w:lvl w:ilvl="0">
      <w:lvlJc w:val="left"/>
      <w:lvlText w:val="(%1)"/>
      <w:numFmt w:val="upperLetter"/>
      <w:start w:val="3"/>
    </w:lvl>
  </w:abstractNum>
  <w:abstractNum w:abstractNumId="5">
    <w:nsid w:val="3FA62ACA"/>
    <w:multiLevelType w:val="hybridMultilevel"/>
    <w:lvl w:ilvl="0">
      <w:lvlJc w:val="left"/>
      <w:lvlText w:val="(%1)"/>
      <w:numFmt w:val="lowerRoman"/>
      <w:start w:val="2"/>
    </w:lvl>
  </w:abstractNum>
  <w:abstractNum w:abstractNumId="6">
    <w:nsid w:val="14FCE74E"/>
    <w:multiLevelType w:val="hybridMultilevel"/>
    <w:lvl w:ilvl="0">
      <w:lvlJc w:val="left"/>
      <w:lvlText w:val="(%1)"/>
      <w:numFmt w:val="lowerRoman"/>
      <w:start w:val="3"/>
    </w:lvl>
    <w:lvl w:ilvl="1">
      <w:lvlJc w:val="left"/>
      <w:lvlText w:val="(%2)"/>
      <w:numFmt w:val="upperLetter"/>
      <w:start w:val="1"/>
    </w:lvl>
  </w:abstractNum>
  <w:abstractNum w:abstractNumId="7">
    <w:nsid w:val="6A3DD3E8"/>
    <w:multiLevelType w:val="hybridMultilevel"/>
    <w:lvl w:ilvl="0">
      <w:lvlJc w:val="left"/>
      <w:lvlText w:val="(%1)"/>
      <w:numFmt w:val="lowerLetter"/>
      <w:start w:val="2"/>
    </w:lvl>
    <w:lvl w:ilvl="1">
      <w:lvlJc w:val="left"/>
      <w:lvlText w:val="(%2)"/>
      <w:numFmt w:val="lowerRoman"/>
      <w:start w:val="1"/>
    </w:lvl>
  </w:abstractNum>
  <w:abstractNum w:abstractNumId="8">
    <w:nsid w:val="71C91298"/>
    <w:multiLevelType w:val="hybridMultilevel"/>
    <w:lvl w:ilvl="0">
      <w:lvlJc w:val="left"/>
      <w:lvlText w:val="(%1)"/>
      <w:numFmt w:val="decimal"/>
      <w:start w:val="1"/>
    </w:lvl>
    <w:lvl w:ilvl="1">
      <w:lvlJc w:val="left"/>
      <w:lvlText w:val="(%2)"/>
      <w:numFmt w:val="lowerLetter"/>
      <w:start w:val="1"/>
    </w:lvl>
  </w:abstractNum>
  <w:abstractNum w:abstractNumId="9">
    <w:nsid w:val="9DAF632"/>
    <w:multiLevelType w:val="hybridMultilevel"/>
    <w:lvl w:ilvl="0">
      <w:lvlJc w:val="left"/>
      <w:lvlText w:val="(%1)"/>
      <w:numFmt w:val="decimal"/>
      <w:start w:val="1"/>
    </w:lvl>
  </w:abstractNum>
  <w:abstractNum w:abstractNumId="10">
    <w:nsid w:val="53299938"/>
    <w:multiLevelType w:val="hybridMultilevel"/>
    <w:lvl w:ilvl="0">
      <w:lvlJc w:val="left"/>
      <w:lvlText w:val="(%1)"/>
      <w:numFmt w:val="decimal"/>
      <w:start w:val="1"/>
    </w:lvl>
  </w:abstractNum>
  <w:abstractNum w:abstractNumId="11">
    <w:nsid w:val="1FBFE8E0"/>
    <w:multiLevelType w:val="hybridMultilevel"/>
    <w:lvl w:ilvl="0">
      <w:lvlJc w:val="left"/>
      <w:lvlText w:val="(%1)"/>
      <w:numFmt w:val="decimal"/>
      <w:start w:val="15"/>
    </w:lvl>
  </w:abstractNum>
  <w:abstractNum w:abstractNumId="12">
    <w:nsid w:val="5092CA79"/>
    <w:multiLevelType w:val="hybridMultilevel"/>
    <w:lvl w:ilvl="0">
      <w:lvlJc w:val="left"/>
      <w:lvlText w:val="(%1)"/>
      <w:numFmt w:val="decimal"/>
      <w:start w:val="1"/>
    </w:lvl>
  </w:abstractNum>
  <w:abstractNum w:abstractNumId="13">
    <w:nsid w:val="1D545C4D"/>
    <w:multiLevelType w:val="hybridMultilevel"/>
    <w:lvl w:ilvl="0">
      <w:lvlJc w:val="left"/>
      <w:lvlText w:val="(%1)"/>
      <w:numFmt w:val="decimal"/>
      <w:start w:val="1"/>
    </w:lvl>
  </w:abstractNum>
  <w:abstractNum w:abstractNumId="14">
    <w:nsid w:val="59ADEA3D"/>
    <w:multiLevelType w:val="hybridMultilevel"/>
    <w:lvl w:ilvl="0">
      <w:lvlJc w:val="left"/>
      <w:lvlText w:val="(%1)"/>
      <w:numFmt w:val="decimal"/>
      <w:start w:val="1"/>
    </w:lvl>
  </w:abstractNum>
  <w:abstractNum w:abstractNumId="15">
    <w:nsid w:val="288F1A34"/>
    <w:multiLevelType w:val="hybridMultilevel"/>
    <w:lvl w:ilvl="0">
      <w:lvlJc w:val="left"/>
      <w:lvlText w:val="%1"/>
      <w:numFmt w:val="decimal"/>
      <w:start w:val="1"/>
    </w:lvl>
    <w:lvl w:ilvl="1">
      <w:lvlJc w:val="left"/>
      <w:lvlText w:val="(%2)"/>
      <w:numFmt w:val="decimal"/>
      <w:start w:val="5"/>
    </w:lvl>
  </w:abstractNum>
  <w:abstractNum w:abstractNumId="16">
    <w:nsid w:val="2A155DBC"/>
    <w:multiLevelType w:val="hybridMultilevel"/>
    <w:lvl w:ilvl="0">
      <w:lvlJc w:val="left"/>
      <w:lvlText w:val="(%1)"/>
      <w:numFmt w:val="decimal"/>
      <w:start w:val="1"/>
    </w:lvl>
    <w:lvl w:ilvl="1">
      <w:lvlJc w:val="left"/>
      <w:lvlText w:val="(%2)"/>
      <w:numFmt w:val="decimal"/>
      <w:start w:val="8"/>
    </w:lvl>
  </w:abstractNum>
  <w:abstractNum w:abstractNumId="17">
    <w:nsid w:val="1D9F6E5F"/>
    <w:multiLevelType w:val="hybridMultilevel"/>
    <w:lvl w:ilvl="0">
      <w:lvlJc w:val="left"/>
      <w:lvlText w:val="(%1)"/>
      <w:numFmt w:val="decimal"/>
      <w:start w:val="1"/>
    </w:lvl>
  </w:abstractNum>
  <w:abstractNum w:abstractNumId="18">
    <w:nsid w:val="97E1B4E"/>
    <w:multiLevelType w:val="hybridMultilevel"/>
    <w:lvl w:ilvl="0">
      <w:lvlJc w:val="left"/>
      <w:lvlText w:val="(%1)"/>
      <w:numFmt w:val="decimal"/>
      <w:start w:val="1"/>
    </w:lvl>
  </w:abstractNum>
  <w:abstractNum w:abstractNumId="19">
    <w:nsid w:val="51088277"/>
    <w:multiLevelType w:val="hybridMultilevel"/>
    <w:lvl w:ilvl="0">
      <w:lvlJc w:val="left"/>
      <w:lvlText w:val="(%1)"/>
      <w:numFmt w:val="decimal"/>
      <w:start w:val="1"/>
    </w:lvl>
  </w:abstractNum>
  <w:abstractNum w:abstractNumId="20">
    <w:nsid w:val="1CA0C5FA"/>
    <w:multiLevelType w:val="hybridMultilevel"/>
    <w:lvl w:ilvl="0">
      <w:lvlJc w:val="left"/>
      <w:lvlText w:val="(%1)"/>
      <w:numFmt w:val="decimal"/>
      <w:start w:val="1"/>
    </w:lvl>
  </w:abstractNum>
  <w:abstractNum w:abstractNumId="21">
    <w:nsid w:val="53584BCB"/>
    <w:multiLevelType w:val="hybridMultilevel"/>
    <w:lvl w:ilvl="0">
      <w:lvlJc w:val="left"/>
      <w:lvlText w:val="(%1)"/>
      <w:numFmt w:val="decimal"/>
      <w:start w:val="7"/>
    </w:lvl>
  </w:abstractNum>
  <w:abstractNum w:abstractNumId="22">
    <w:nsid w:val="415E286C"/>
    <w:multiLevelType w:val="hybridMultilevel"/>
    <w:lvl w:ilvl="0">
      <w:lvlJc w:val="left"/>
      <w:lvlText w:val="(%1)"/>
      <w:numFmt w:val="decimal"/>
      <w:start w:val="1"/>
    </w:lvl>
  </w:abstractNum>
  <w:abstractNum w:abstractNumId="23">
    <w:nsid w:val="7C58FD05"/>
    <w:multiLevelType w:val="hybridMultilevel"/>
    <w:lvl w:ilvl="0">
      <w:lvlJc w:val="left"/>
      <w:lvlText w:val="(%1)"/>
      <w:numFmt w:val="decimal"/>
      <w:start w:val="1"/>
    </w:lvl>
  </w:abstractNum>
  <w:abstractNum w:abstractNumId="24">
    <w:nsid w:val="23D86AAC"/>
    <w:multiLevelType w:val="hybridMultilevel"/>
    <w:lvl w:ilvl="0">
      <w:lvlJc w:val="left"/>
      <w:lvlText w:val="(%1)"/>
      <w:numFmt w:val="decimal"/>
      <w:start w:val="1"/>
    </w:lvl>
    <w:lvl w:ilvl="1">
      <w:lvlJc w:val="left"/>
      <w:lvlText w:val="(%2)"/>
      <w:numFmt w:val="lowerLetter"/>
      <w:start w:val="1"/>
    </w:lvl>
  </w:abstractNum>
  <w:abstractNum w:abstractNumId="25">
    <w:nsid w:val="45E6D486"/>
    <w:multiLevelType w:val="hybridMultilevel"/>
    <w:lvl w:ilvl="0">
      <w:lvlJc w:val="left"/>
      <w:lvlText w:val="(%1)"/>
      <w:numFmt w:val="decimal"/>
      <w:start w:val="1"/>
    </w:lvl>
  </w:abstractNum>
  <w:abstractNum w:abstractNumId="26">
    <w:nsid w:val="5C10FE21"/>
    <w:multiLevelType w:val="hybridMultilevel"/>
    <w:lvl w:ilvl="0">
      <w:lvlJc w:val="left"/>
      <w:lvlText w:val="(%1)"/>
      <w:numFmt w:val="lowerRoman"/>
      <w:start w:val="2"/>
    </w:lvl>
  </w:abstractNum>
  <w:abstractNum w:abstractNumId="27">
    <w:nsid w:val="E7FFA2B"/>
    <w:multiLevelType w:val="hybridMultilevel"/>
    <w:lvl w:ilvl="0">
      <w:lvlJc w:val="left"/>
      <w:lvlText w:val="(%1)"/>
      <w:numFmt w:val="decimal"/>
      <w:start w:val="1"/>
    </w:lvl>
  </w:abstractNum>
  <w:abstractNum w:abstractNumId="28">
    <w:nsid w:val="3C5991AA"/>
    <w:multiLevelType w:val="hybridMultilevel"/>
    <w:lvl w:ilvl="0">
      <w:lvlJc w:val="left"/>
      <w:lvlText w:val="(%1)"/>
      <w:numFmt w:val="decimal"/>
      <w:start w:val="1"/>
    </w:lvl>
  </w:abstractNum>
  <w:abstractNum w:abstractNumId="29">
    <w:nsid w:val="4BD8591A"/>
    <w:multiLevelType w:val="hybridMultilevel"/>
    <w:lvl w:ilvl="0">
      <w:lvlJc w:val="left"/>
      <w:lvlText w:val="(%1)"/>
      <w:numFmt w:val="lowerRoman"/>
      <w:start w:val="4"/>
    </w:lvl>
  </w:abstractNum>
  <w:abstractNum w:abstractNumId="30">
    <w:nsid w:val="78DF6A55"/>
    <w:multiLevelType w:val="hybridMultilevel"/>
    <w:lvl w:ilvl="0">
      <w:lvlJc w:val="left"/>
      <w:lvlText w:val="(%1)"/>
      <w:numFmt w:val="decimal"/>
      <w:start w:val="1"/>
    </w:lvl>
    <w:lvl w:ilvl="1">
      <w:lvlJc w:val="left"/>
      <w:lvlText w:val="(%2)"/>
      <w:numFmt w:val="lowerLetter"/>
      <w:start w:val="1"/>
    </w:lvl>
  </w:abstractNum>
  <w:abstractNum w:abstractNumId="31">
    <w:nsid w:val="39B7AAA2"/>
    <w:multiLevelType w:val="hybridMultilevel"/>
    <w:lvl w:ilvl="0">
      <w:lvlJc w:val="left"/>
      <w:lvlText w:val="(%1)"/>
      <w:numFmt w:val="decimal"/>
      <w:start w:val="4"/>
    </w:lvl>
  </w:abstractNum>
  <w:abstractNum w:abstractNumId="32">
    <w:nsid w:val="2B0D8DBE"/>
    <w:multiLevelType w:val="hybridMultilevel"/>
    <w:lvl w:ilvl="0">
      <w:lvlJc w:val="left"/>
      <w:lvlText w:val="(%1)"/>
      <w:numFmt w:val="decimal"/>
      <w:start w:val="15"/>
    </w:lvl>
  </w:abstractNum>
  <w:abstractNum w:abstractNumId="33">
    <w:nsid w:val="6C80EC70"/>
    <w:multiLevelType w:val="hybridMultilevel"/>
    <w:lvl w:ilvl="0">
      <w:lvlJc w:val="left"/>
      <w:lvlText w:val="(%1)"/>
      <w:numFmt w:val="decimal"/>
      <w:start w:val="1"/>
    </w:lvl>
  </w:abstractNum>
  <w:abstractNum w:abstractNumId="34">
    <w:nsid w:val="379E21B5"/>
    <w:multiLevelType w:val="hybridMultilevel"/>
    <w:lvl w:ilvl="0">
      <w:lvlJc w:val="left"/>
      <w:lvlText w:val="(%1)"/>
      <w:numFmt w:val="decimal"/>
      <w:start w:val="5"/>
    </w:lvl>
  </w:abstractNum>
  <w:abstractNum w:abstractNumId="35">
    <w:nsid w:val="69E373"/>
    <w:multiLevelType w:val="hybridMultilevel"/>
    <w:lvl w:ilvl="0">
      <w:lvlJc w:val="left"/>
      <w:lvlText w:val="(%1)"/>
      <w:numFmt w:val="decimal"/>
      <w:start w:val="12"/>
    </w:lvl>
    <w:lvl w:ilvl="1">
      <w:lvlJc w:val="left"/>
      <w:lvlText w:val="(%2)"/>
      <w:numFmt w:val="lowerLetter"/>
      <w:start w:val="1"/>
    </w:lvl>
  </w:abstractNum>
  <w:abstractNum w:abstractNumId="36">
    <w:nsid w:val="2C27173B"/>
    <w:multiLevelType w:val="hybridMultilevel"/>
    <w:lvl w:ilvl="0">
      <w:lvlJc w:val="left"/>
      <w:lvlText w:val="(%1)"/>
      <w:numFmt w:val="decimal"/>
      <w:start w:val="20"/>
    </w:lvl>
    <w:lvl w:ilvl="1">
      <w:lvlJc w:val="left"/>
      <w:lvlText w:val="(%2)"/>
      <w:numFmt w:val="lowerLetter"/>
      <w:start w:val="1"/>
    </w:lvl>
  </w:abstractNum>
  <w:abstractNum w:abstractNumId="37">
    <w:nsid w:val="4C9B0904"/>
    <w:multiLevelType w:val="hybridMultilevel"/>
    <w:lvl w:ilvl="0">
      <w:lvlJc w:val="left"/>
      <w:lvlText w:val="%1"/>
      <w:numFmt w:val="decimal"/>
      <w:start w:val="1"/>
    </w:lvl>
    <w:lvl w:ilvl="1">
      <w:lvlJc w:val="left"/>
      <w:lvlText w:val="(%2)"/>
      <w:numFmt w:val="lowerLetter"/>
      <w:start w:val="5"/>
    </w:lvl>
  </w:abstractNum>
  <w:abstractNum w:abstractNumId="38">
    <w:nsid w:val="6AA7B75C"/>
    <w:multiLevelType w:val="hybridMultilevel"/>
    <w:lvl w:ilvl="0">
      <w:lvlJc w:val="left"/>
      <w:lvlText w:val="(%1)"/>
      <w:numFmt w:val="decimal"/>
      <w:start w:val="25"/>
    </w:lvl>
    <w:lvl w:ilvl="1">
      <w:lvlJc w:val="left"/>
      <w:lvlText w:val="%2"/>
      <w:numFmt w:val="lowerLetter"/>
      <w:start w:val="1"/>
    </w:lvl>
  </w:abstractNum>
  <w:abstractNum w:abstractNumId="39">
    <w:nsid w:val="1DF029D3"/>
    <w:multiLevelType w:val="hybridMultilevel"/>
    <w:lvl w:ilvl="0">
      <w:lvlJc w:val="left"/>
      <w:lvlText w:val="(%1)"/>
      <w:numFmt w:val="decimal"/>
      <w:start w:val="1"/>
    </w:lvl>
  </w:abstractNum>
  <w:abstractNum w:abstractNumId="40">
    <w:nsid w:val="5675FF36"/>
    <w:multiLevelType w:val="hybridMultilevel"/>
    <w:lvl w:ilvl="0">
      <w:lvlJc w:val="left"/>
      <w:lvlText w:val="(%1)"/>
      <w:numFmt w:val="decimal"/>
      <w:start w:val="1"/>
    </w:lvl>
  </w:abstractNum>
  <w:abstractNum w:abstractNumId="41">
    <w:nsid w:val="3DD15094"/>
    <w:multiLevelType w:val="hybridMultilevel"/>
    <w:lvl w:ilvl="0">
      <w:lvlJc w:val="left"/>
      <w:lvlText w:val="(%1)"/>
      <w:numFmt w:val="decimal"/>
      <w:start w:val="3"/>
    </w:lvl>
  </w:abstractNum>
  <w:abstractNum w:abstractNumId="42">
    <w:nsid w:val="3DB012B3"/>
    <w:multiLevelType w:val="hybridMultilevel"/>
    <w:lvl w:ilvl="0">
      <w:lvlJc w:val="left"/>
      <w:lvlText w:val="(%1)"/>
      <w:numFmt w:val="decimal"/>
      <w:start w:val="1"/>
    </w:lvl>
  </w:abstractNum>
  <w:abstractNum w:abstractNumId="43">
    <w:nsid w:val="2708C9AF"/>
    <w:multiLevelType w:val="hybridMultilevel"/>
    <w:lvl w:ilvl="0">
      <w:lvlJc w:val="left"/>
      <w:lvlText w:val="(%1)"/>
      <w:numFmt w:val="decimal"/>
      <w:start w:val="1"/>
    </w:lvl>
  </w:abstractNum>
  <w:abstractNum w:abstractNumId="44">
    <w:nsid w:val="5B25ACE2"/>
    <w:multiLevelType w:val="hybridMultilevel"/>
    <w:lvl w:ilvl="0">
      <w:lvlJc w:val="left"/>
      <w:lvlText w:val="(%1)"/>
      <w:numFmt w:val="decimal"/>
      <w:start w:val="1"/>
    </w:lvl>
  </w:abstractNum>
  <w:abstractNum w:abstractNumId="45">
    <w:nsid w:val="175DFCF0"/>
    <w:multiLevelType w:val="hybridMultilevel"/>
    <w:lvl w:ilvl="0">
      <w:lvlJc w:val="left"/>
      <w:lvlText w:val="(%1)"/>
      <w:numFmt w:val="decimal"/>
      <w:start w:val="1"/>
    </w:lvl>
  </w:abstractNum>
  <w:abstractNum w:abstractNumId="46">
    <w:nsid w:val="4F97E3E4"/>
    <w:multiLevelType w:val="hybridMultilevel"/>
    <w:lvl w:ilvl="0">
      <w:lvlJc w:val="left"/>
      <w:lvlText w:val="(%1)"/>
      <w:numFmt w:val="decimal"/>
      <w:start w:val="1"/>
    </w:lvl>
  </w:abstractNum>
  <w:abstractNum w:abstractNumId="47">
    <w:nsid w:val="53B0A9E"/>
    <w:multiLevelType w:val="hybridMultilevel"/>
    <w:lvl w:ilvl="0">
      <w:lvlJc w:val="left"/>
      <w:lvlText w:val="(%1)"/>
      <w:numFmt w:val="decimal"/>
      <w:start w:val="1"/>
    </w:lvl>
  </w:abstractNum>
  <w:abstractNum w:abstractNumId="48">
    <w:nsid w:val="34FD6B4F"/>
    <w:multiLevelType w:val="hybridMultilevel"/>
    <w:lvl w:ilvl="0">
      <w:lvlJc w:val="left"/>
      <w:lvlText w:val="(%1)"/>
      <w:numFmt w:val="lowerLetter"/>
      <w:start w:val="1"/>
    </w:lvl>
  </w:abstractNum>
  <w:abstractNum w:abstractNumId="49">
    <w:nsid w:val="5915FF32"/>
    <w:multiLevelType w:val="hybridMultilevel"/>
    <w:lvl w:ilvl="0">
      <w:lvlJc w:val="left"/>
      <w:lvlText w:val="(%1)"/>
      <w:numFmt w:val="lowerLetter"/>
      <w:start w:val="1"/>
    </w:lvl>
  </w:abstractNum>
  <w:abstractNum w:abstractNumId="50">
    <w:nsid w:val="56438D15"/>
    <w:multiLevelType w:val="hybridMultilevel"/>
    <w:lvl w:ilvl="0">
      <w:lvlJc w:val="left"/>
      <w:lvlText w:val="(%1)"/>
      <w:numFmt w:val="lowerLetter"/>
      <w:start w:val="2"/>
    </w:lvl>
  </w:abstractNum>
  <w:abstractNum w:abstractNumId="51">
    <w:nsid w:val="519E3149"/>
    <w:multiLevelType w:val="hybridMultilevel"/>
    <w:lvl w:ilvl="0">
      <w:lvlJc w:val="left"/>
      <w:lvlText w:val="(%1)"/>
      <w:numFmt w:val="lowerLetter"/>
      <w:start w:val="1"/>
    </w:lvl>
  </w:abstractNum>
  <w:abstractNum w:abstractNumId="52">
    <w:nsid w:val="2C6E4AFD"/>
    <w:multiLevelType w:val="hybridMultilevel"/>
    <w:lvl w:ilvl="0">
      <w:lvlJc w:val="left"/>
      <w:lvlText w:val="(%1)"/>
      <w:numFmt w:val="decimal"/>
      <w:start w:val="1"/>
    </w:lvl>
  </w:abstractNum>
  <w:abstractNum w:abstractNumId="53">
    <w:nsid w:val="17A1B582"/>
    <w:multiLevelType w:val="hybridMultilevel"/>
    <w:lvl w:ilvl="0">
      <w:lvlJc w:val="left"/>
      <w:lvlText w:val="(%1)"/>
      <w:numFmt w:val="lowerLetter"/>
      <w:start w:val="2"/>
    </w:lvl>
    <w:lvl w:ilvl="1">
      <w:lvlJc w:val="left"/>
      <w:lvlText w:val="(%2)"/>
      <w:numFmt w:val="decimal"/>
      <w:start w:val="1"/>
    </w:lvl>
  </w:abstractNum>
  <w:abstractNum w:abstractNumId="54">
    <w:nsid w:val="4DF72E4E"/>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5">
    <w:nsid w:val="5046B5A9"/>
    <w:multiLevelType w:val="hybridMultilevel"/>
    <w:lvl w:ilvl="0">
      <w:lvlJc w:val="left"/>
      <w:lvlText w:val="(%1)"/>
      <w:numFmt w:val="decimal"/>
      <w:start w:val="3"/>
    </w:lvl>
    <w:lvl w:ilvl="1">
      <w:lvlJc w:val="left"/>
      <w:lvlText w:val="(%2)"/>
      <w:numFmt w:val="upperLetter"/>
      <w:start w:val="1"/>
    </w:lvl>
  </w:abstractNum>
  <w:abstractNum w:abstractNumId="56">
    <w:nsid w:val="5D888A08"/>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57">
    <w:nsid w:val="2A082C70"/>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58">
    <w:nsid w:val="5EC6AFD4"/>
    <w:multiLevelType w:val="hybridMultilevel"/>
    <w:lvl w:ilvl="0">
      <w:lvlJc w:val="left"/>
      <w:lvlText w:val="(%1)"/>
      <w:numFmt w:val="lowerLetter"/>
      <w:start w:val="3"/>
    </w:lvl>
    <w:lvl w:ilvl="1">
      <w:lvlJc w:val="left"/>
      <w:lvlText w:val="(%2)"/>
      <w:numFmt w:val="decimal"/>
      <w:start w:val="1"/>
    </w:lvl>
  </w:abstractNum>
  <w:abstractNum w:abstractNumId="59">
    <w:nsid w:val="19E21BB2"/>
    <w:multiLevelType w:val="hybridMultilevel"/>
    <w:lvl w:ilvl="0">
      <w:lvlJc w:val="left"/>
      <w:lvlText w:val="(%1)"/>
      <w:numFmt w:val="upperLetter"/>
      <w:start w:val="1"/>
    </w:lvl>
  </w:abstractNum>
  <w:abstractNum w:abstractNumId="60">
    <w:nsid w:val="75E0858A"/>
    <w:multiLevelType w:val="hybridMultilevel"/>
    <w:lvl w:ilvl="0">
      <w:lvlJc w:val="left"/>
      <w:lvlText w:val="(%1)"/>
      <w:numFmt w:val="decimal"/>
      <w:start w:val="2"/>
    </w:lvl>
  </w:abstractNum>
  <w:abstractNum w:abstractNumId="61">
    <w:nsid w:val="57A61A29"/>
    <w:multiLevelType w:val="hybridMultilevel"/>
    <w:lvl w:ilvl="0">
      <w:lvlJc w:val="left"/>
      <w:lvlText w:val="(%1)"/>
      <w:numFmt w:val="upperLetter"/>
      <w:start w:val="1"/>
    </w:lvl>
    <w:lvl w:ilvl="1">
      <w:lvlJc w:val="left"/>
      <w:lvlText w:val="(%2)"/>
      <w:numFmt w:val="lowerRoman"/>
      <w:start w:val="1"/>
    </w:lvl>
  </w:abstractNum>
  <w:abstractNum w:abstractNumId="62">
    <w:nsid w:val="5399C6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3">
    <w:nsid w:val="20EE1348"/>
    <w:multiLevelType w:val="hybridMultilevel"/>
    <w:lvl w:ilvl="0">
      <w:lvlJc w:val="left"/>
      <w:lvlText w:val="(%1)"/>
      <w:numFmt w:val="decimal"/>
      <w:start w:val="3"/>
    </w:lvl>
    <w:lvl w:ilvl="1">
      <w:lvlJc w:val="left"/>
      <w:lvlText w:val="(%2)"/>
      <w:numFmt w:val="lowerLetter"/>
      <w:start w:val="4"/>
    </w:lvl>
    <w:lvl w:ilvl="2">
      <w:lvlJc w:val="left"/>
      <w:lvlText w:val="(%3)"/>
      <w:numFmt w:val="decimal"/>
      <w:start w:val="1"/>
    </w:lvl>
  </w:abstractNum>
  <w:abstractNum w:abstractNumId="64">
    <w:nsid w:val="4427069A"/>
    <w:multiLevelType w:val="hybridMultilevel"/>
    <w:lvl w:ilvl="0">
      <w:lvlJc w:val="left"/>
      <w:lvlText w:val="%1"/>
      <w:numFmt w:val="upperLetter"/>
      <w:start w:val="1"/>
    </w:lvl>
    <w:lvl w:ilvl="1">
      <w:lvlJc w:val="left"/>
      <w:lvlText w:val="(%2)"/>
      <w:numFmt w:val="upperLetter"/>
      <w:start w:val="1"/>
    </w:lvl>
  </w:abstractNum>
  <w:abstractNum w:abstractNumId="65">
    <w:nsid w:val="B37E80A"/>
    <w:multiLevelType w:val="hybridMultilevel"/>
    <w:lvl w:ilvl="0">
      <w:lvlJc w:val="left"/>
      <w:lvlText w:val="(%1)"/>
      <w:numFmt w:val="upperLetter"/>
      <w:start w:val="4"/>
    </w:lvl>
    <w:lvl w:ilvl="1">
      <w:lvlJc w:val="left"/>
      <w:lvlText w:val="(%2)"/>
      <w:numFmt w:val="upperLetter"/>
      <w:start w:val="6"/>
    </w:lvl>
  </w:abstractNum>
  <w:abstractNum w:abstractNumId="66">
    <w:nsid w:val="2157F6BC"/>
    <w:multiLevelType w:val="hybridMultilevel"/>
    <w:lvl w:ilvl="0">
      <w:lvlJc w:val="left"/>
      <w:lvlText w:val="(%1)"/>
      <w:numFmt w:val="decimal"/>
      <w:start w:val="2"/>
    </w:lvl>
    <w:lvl w:ilvl="1">
      <w:lvlJc w:val="left"/>
      <w:lvlText w:val="(%2)"/>
      <w:numFmt w:val="upperLetter"/>
      <w:start w:val="1"/>
    </w:lvl>
  </w:abstractNum>
  <w:abstractNum w:abstractNumId="67">
    <w:nsid w:val="704E1DD5"/>
    <w:multiLevelType w:val="hybridMultilevel"/>
    <w:lvl w:ilvl="0">
      <w:lvlJc w:val="left"/>
      <w:lvlText w:val="(%1)"/>
      <w:numFmt w:val="upperLetter"/>
      <w:start w:val="4"/>
    </w:lvl>
    <w:lvl w:ilvl="1">
      <w:lvlJc w:val="left"/>
      <w:lvlText w:val="(%2)"/>
      <w:numFmt w:val="lowerRoman"/>
      <w:start w:val="1"/>
    </w:lvl>
  </w:abstractNum>
  <w:abstractNum w:abstractNumId="68">
    <w:nsid w:val="57D2F10E"/>
    <w:multiLevelType w:val="hybridMultilevel"/>
    <w:lvl w:ilvl="0">
      <w:lvlJc w:val="left"/>
      <w:lvlText w:val="%1"/>
      <w:numFmt w:val="lowerLetter"/>
      <w:start w:val="1"/>
    </w:lvl>
    <w:lvl w:ilvl="1">
      <w:lvlJc w:val="left"/>
      <w:lvlText w:val="(%2)"/>
      <w:numFmt w:val="decimal"/>
      <w:start w:val="3"/>
    </w:lvl>
  </w:abstractNum>
  <w:abstractNum w:abstractNumId="69">
    <w:nsid w:val="BFFAE18"/>
    <w:multiLevelType w:val="hybridMultilevel"/>
    <w:lvl w:ilvl="0">
      <w:lvlJc w:val="left"/>
      <w:lvlText w:val="(%1)"/>
      <w:numFmt w:val="lowerLetter"/>
      <w:start w:val="5"/>
    </w:lvl>
    <w:lvl w:ilvl="1">
      <w:lvlJc w:val="left"/>
      <w:lvlText w:val="(%2)"/>
      <w:numFmt w:val="decimal"/>
      <w:start w:val="1"/>
    </w:lvl>
  </w:abstractNum>
  <w:abstractNum w:abstractNumId="70">
    <w:nsid w:val="E3E47A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1">
    <w:nsid w:val="2E48F04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2">
    <w:nsid w:val="49D0FEAC"/>
    <w:multiLevelType w:val="hybridMultilevel"/>
    <w:lvl w:ilvl="0">
      <w:lvlJc w:val="left"/>
      <w:lvlText w:val="%1"/>
      <w:numFmt w:val="lowerLetter"/>
      <w:start w:val="1"/>
    </w:lvl>
    <w:lvl w:ilvl="1">
      <w:lvlJc w:val="left"/>
      <w:lvlText w:val="(%2)"/>
      <w:numFmt w:val="decimal"/>
      <w:start w:val="3"/>
    </w:lvl>
  </w:abstractNum>
  <w:abstractNum w:abstractNumId="73">
    <w:nsid w:val="4BEE5A5B"/>
    <w:multiLevelType w:val="hybridMultilevel"/>
    <w:lvl w:ilvl="0">
      <w:lvlJc w:val="left"/>
      <w:lvlText w:val="(%1)"/>
      <w:numFmt w:val="lowerLetter"/>
      <w:start w:val="6"/>
    </w:lvl>
    <w:lvl w:ilvl="1">
      <w:lvlJc w:val="left"/>
      <w:lvlText w:val="%2"/>
      <w:numFmt w:val="decimal"/>
      <w:start w:val="1"/>
    </w:lvl>
  </w:abstractNum>
  <w:abstractNum w:abstractNumId="74">
    <w:nsid w:val="5551B9F3"/>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75">
    <w:nsid w:val="24F6AB8E"/>
    <w:multiLevelType w:val="hybridMultilevel"/>
    <w:lvl w:ilvl="0">
      <w:lvlJc w:val="left"/>
      <w:lvlText w:val="(%1)"/>
      <w:numFmt w:val="upperLetter"/>
      <w:start w:val="2"/>
    </w:lvl>
  </w:abstractNum>
  <w:abstractNum w:abstractNumId="76">
    <w:nsid w:val="634C574C"/>
    <w:multiLevelType w:val="hybridMultilevel"/>
    <w:lvl w:ilvl="0">
      <w:lvlJc w:val="left"/>
      <w:lvlText w:val="(%1)"/>
      <w:numFmt w:val="upperLetter"/>
      <w:start w:val="2"/>
    </w:lvl>
    <w:lvl w:ilvl="1">
      <w:lvlJc w:val="left"/>
      <w:lvlText w:val="(%2)"/>
      <w:numFmt w:val="decimal"/>
      <w:start w:val="2"/>
    </w:lvl>
  </w:abstractNum>
  <w:abstractNum w:abstractNumId="77">
    <w:nsid w:val="24E99DD7"/>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78">
    <w:nsid w:val="2A31B62D"/>
    <w:multiLevelType w:val="hybridMultilevel"/>
    <w:lvl w:ilvl="0">
      <w:lvlJc w:val="left"/>
      <w:lvlText w:val="(%1)"/>
      <w:numFmt w:val="decimal"/>
      <w:start w:val="6"/>
    </w:lvl>
  </w:abstractNum>
  <w:abstractNum w:abstractNumId="79">
    <w:nsid w:val="1849C29B"/>
    <w:multiLevelType w:val="hybridMultilevel"/>
    <w:lvl w:ilvl="0">
      <w:lvlJc w:val="left"/>
      <w:lvlText w:val="(%1)"/>
      <w:numFmt w:val="lowerLetter"/>
      <w:start w:val="1"/>
    </w:lvl>
    <w:lvl w:ilvl="1">
      <w:lvlJc w:val="left"/>
      <w:lvlText w:val="(%2)"/>
      <w:numFmt w:val="decimal"/>
      <w:start w:val="1"/>
    </w:lvl>
  </w:abstractNum>
  <w:abstractNum w:abstractNumId="80">
    <w:nsid w:val="7DFF9D09"/>
    <w:multiLevelType w:val="hybridMultilevel"/>
    <w:lvl w:ilvl="0">
      <w:lvlJc w:val="left"/>
      <w:lvlText w:val="(%1)"/>
      <w:numFmt w:val="lowerLetter"/>
      <w:start w:val="1"/>
    </w:lvl>
  </w:abstractNum>
  <w:abstractNum w:abstractNumId="81">
    <w:nsid w:val="754342"/>
    <w:multiLevelType w:val="hybridMultilevel"/>
    <w:lvl w:ilvl="0">
      <w:lvlJc w:val="left"/>
      <w:lvlText w:val="(%1)"/>
      <w:numFmt w:val="lowerLetter"/>
      <w:start w:val="2"/>
    </w:lvl>
  </w:abstractNum>
  <w:abstractNum w:abstractNumId="82">
    <w:nsid w:val="69E7F3E5"/>
    <w:multiLevelType w:val="hybridMultilevel"/>
    <w:lvl w:ilvl="0">
      <w:lvlJc w:val="left"/>
      <w:lvlText w:val="%1"/>
      <w:numFmt w:val="decimal"/>
      <w:start w:val="1"/>
    </w:lvl>
    <w:lvl w:ilvl="1">
      <w:lvlJc w:val="left"/>
      <w:lvlText w:val="(%2)"/>
      <w:numFmt w:val="lowerLetter"/>
      <w:start w:val="1"/>
    </w:lvl>
  </w:abstractNum>
  <w:abstractNum w:abstractNumId="83">
    <w:nsid w:val="2A6DE806"/>
    <w:multiLevelType w:val="hybridMultilevel"/>
    <w:lvl w:ilvl="0">
      <w:lvlJc w:val="left"/>
      <w:lvlText w:val="(%1)"/>
      <w:numFmt w:val="decimal"/>
      <w:start w:val="1"/>
    </w:lvl>
    <w:lvl w:ilvl="1">
      <w:lvlJc w:val="left"/>
      <w:lvlText w:val="(%2)"/>
      <w:numFmt w:val="lowerLetter"/>
      <w:start w:val="2"/>
    </w:lvl>
  </w:abstractNum>
  <w:abstractNum w:abstractNumId="84">
    <w:nsid w:val="1816F8C4"/>
    <w:multiLevelType w:val="hybridMultilevel"/>
    <w:lvl w:ilvl="0">
      <w:lvlJc w:val="left"/>
      <w:lvlText w:val="(%1)"/>
      <w:numFmt w:val="lowerLetter"/>
      <w:start w:val="6"/>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Letter"/>
      <w:start w:val="3"/>
    </w:lvl>
  </w:abstractNum>
  <w:abstractNum w:abstractNumId="87">
    <w:nsid w:val="759F82CD"/>
    <w:multiLevelType w:val="hybridMultilevel"/>
    <w:lvl w:ilvl="0">
      <w:lvlJc w:val="left"/>
      <w:lvlText w:val="(%1)"/>
      <w:numFmt w:val="lowerLetter"/>
      <w:start w:val="1"/>
    </w:lvl>
    <w:lvl w:ilvl="1">
      <w:lvlJc w:val="left"/>
      <w:lvlText w:val="(%2)"/>
      <w:numFmt w:val="decimal"/>
      <w:start w:val="1"/>
    </w:lvl>
  </w:abstractNum>
  <w:abstractNum w:abstractNumId="88">
    <w:nsid w:val="61E74EA3"/>
    <w:multiLevelType w:val="hybridMultilevel"/>
    <w:lvl w:ilvl="0">
      <w:lvlJc w:val="left"/>
      <w:lvlText w:val="(%1)"/>
      <w:numFmt w:val="lowerLetter"/>
      <w:start w:val="2"/>
    </w:lvl>
  </w:abstractNum>
  <w:abstractNum w:abstractNumId="89">
    <w:nsid w:val="597B4D84"/>
    <w:multiLevelType w:val="hybridMultilevel"/>
    <w:lvl w:ilvl="0">
      <w:lvlJc w:val="left"/>
      <w:lvlText w:val="(%1)"/>
      <w:numFmt w:val="lowerLetter"/>
      <w:start w:val="6"/>
    </w:lvl>
  </w:abstractNum>
  <w:abstractNum w:abstractNumId="90">
    <w:nsid w:val="F819E7F"/>
    <w:multiLevelType w:val="hybridMultilevel"/>
    <w:lvl w:ilvl="0">
      <w:lvlJc w:val="left"/>
      <w:lvlText w:val="(%1)"/>
      <w:numFmt w:val="lowerLetter"/>
      <w:start w:val="1"/>
    </w:lvl>
  </w:abstractNum>
  <w:abstractNum w:abstractNumId="91">
    <w:nsid w:val="57C7D42D"/>
    <w:multiLevelType w:val="hybridMultilevel"/>
    <w:lvl w:ilvl="0">
      <w:lvlJc w:val="left"/>
      <w:lvlText w:val="(%1)"/>
      <w:numFmt w:val="lowerLetter"/>
      <w:start w:val="1"/>
    </w:lvl>
    <w:lvl w:ilvl="1">
      <w:lvlJc w:val="left"/>
      <w:lvlText w:val="(%2)"/>
      <w:numFmt w:val="decimal"/>
      <w:start w:val="1"/>
    </w:lvl>
  </w:abstractNum>
  <w:abstractNum w:abstractNumId="92">
    <w:nsid w:val="312167AD"/>
    <w:multiLevelType w:val="hybridMultilevel"/>
    <w:lvl w:ilvl="0">
      <w:lvlJc w:val="left"/>
      <w:lvlText w:val="(%1)"/>
      <w:numFmt w:val="upperLetter"/>
      <w:start w:val="1"/>
    </w:lvl>
  </w:abstractNum>
  <w:abstractNum w:abstractNumId="93">
    <w:nsid w:val="631B64D4"/>
    <w:multiLevelType w:val="hybridMultilevel"/>
    <w:lvl w:ilvl="0">
      <w:lvlJc w:val="left"/>
      <w:lvlText w:val="(%1)"/>
      <w:numFmt w:val="lowerRoman"/>
      <w:start w:val="1"/>
    </w:lvl>
  </w:abstractNum>
  <w:abstractNum w:abstractNumId="94">
    <w:nsid w:val="78B5E7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abstractNum>
  <w:abstractNum w:abstractNumId="95">
    <w:nsid w:val="75486E4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6">
    <w:nsid w:val="6E534CDE"/>
    <w:multiLevelType w:val="hybridMultilevel"/>
    <w:lvl w:ilvl="0">
      <w:lvlJc w:val="left"/>
      <w:lvlText w:val="(%1)"/>
      <w:numFmt w:val="decimal"/>
      <w:start w:val="5"/>
    </w:lvl>
  </w:abstractNum>
  <w:abstractNum w:abstractNumId="97">
    <w:nsid w:val="1A0DDE32"/>
    <w:multiLevelType w:val="hybridMultilevel"/>
    <w:lvl w:ilvl="0">
      <w:lvlJc w:val="left"/>
      <w:lvlText w:val="(%1)"/>
      <w:numFmt w:val="decimal"/>
      <w:start w:val="12"/>
    </w:lvl>
  </w:abstractNum>
  <w:abstractNum w:abstractNumId="98">
    <w:nsid w:val="65968C1C"/>
    <w:multiLevelType w:val="hybridMultilevel"/>
    <w:lvl w:ilvl="0">
      <w:lvlJc w:val="left"/>
      <w:lvlText w:val="(%1)"/>
      <w:numFmt w:val="lowerLetter"/>
      <w:start w:val="1"/>
    </w:lvl>
    <w:lvl w:ilvl="1">
      <w:lvlJc w:val="left"/>
      <w:lvlText w:val="(%2)"/>
      <w:numFmt w:val="decimal"/>
      <w:start w:val="1"/>
    </w:lvl>
  </w:abstractNum>
  <w:abstractNum w:abstractNumId="99">
    <w:nsid w:val="46263DEC"/>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00">
    <w:nsid w:val="260D8C4A"/>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01">
    <w:nsid w:val="73D4D3C4"/>
    <w:multiLevelType w:val="hybridMultilevel"/>
    <w:lvl w:ilvl="0">
      <w:lvlJc w:val="left"/>
      <w:lvlText w:val="(%1)"/>
      <w:numFmt w:val="decimal"/>
      <w:start w:val="8"/>
    </w:lvl>
  </w:abstractNum>
  <w:abstractNum w:abstractNumId="102">
    <w:nsid w:val="746F2E30"/>
    <w:multiLevelType w:val="hybridMultilevel"/>
    <w:lvl w:ilvl="0">
      <w:lvlJc w:val="left"/>
      <w:lvlText w:val="(%1)"/>
      <w:numFmt w:val="decimal"/>
      <w:start w:val="18"/>
    </w:lvl>
  </w:abstractNum>
  <w:abstractNum w:abstractNumId="103">
    <w:nsid w:val="6FDE8AF6"/>
    <w:multiLevelType w:val="hybridMultilevel"/>
    <w:lvl w:ilvl="0">
      <w:lvlJc w:val="left"/>
      <w:lvlText w:val="(%1)"/>
      <w:numFmt w:val="lowerLetter"/>
      <w:start w:val="1"/>
    </w:lvl>
    <w:lvl w:ilvl="1">
      <w:lvlJc w:val="left"/>
      <w:lvlText w:val="(%2)"/>
      <w:numFmt w:val="decimal"/>
      <w:start w:val="1"/>
    </w:lvl>
  </w:abstractNum>
  <w:abstractNum w:abstractNumId="104">
    <w:nsid w:val="3FC32E20"/>
    <w:multiLevelType w:val="hybridMultilevel"/>
    <w:lvl w:ilvl="0">
      <w:lvlJc w:val="left"/>
      <w:lvlText w:val="(%1)"/>
      <w:numFmt w:val="lowerLetter"/>
      <w:start w:val="25"/>
    </w:lvl>
    <w:lvl w:ilvl="1">
      <w:lvlJc w:val="left"/>
      <w:lvlText w:val="(%2)"/>
      <w:numFmt w:val="decimal"/>
      <w:start w:val="5"/>
    </w:lvl>
    <w:lvl w:ilvl="2">
      <w:lvlJc w:val="left"/>
      <w:lvlText w:val="(%3)"/>
      <w:numFmt w:val="upperLetter"/>
      <w:start w:val="1"/>
    </w:lvl>
  </w:abstractNum>
  <w:abstractNum w:abstractNumId="105">
    <w:nsid w:val="49C0E823"/>
    <w:multiLevelType w:val="hybridMultilevel"/>
    <w:lvl w:ilvl="0">
      <w:lvlJc w:val="left"/>
      <w:lvlText w:val="(%1)"/>
      <w:numFmt w:val="decimal"/>
      <w:start w:val="7"/>
    </w:lvl>
    <w:lvl w:ilvl="1">
      <w:lvlJc w:val="left"/>
      <w:lvlText w:val="(%2)"/>
      <w:numFmt w:val="upperLetter"/>
      <w:start w:val="1"/>
    </w:lvl>
  </w:abstractNum>
  <w:abstractNum w:abstractNumId="106">
    <w:nsid w:val="14D53685"/>
    <w:multiLevelType w:val="hybridMultilevel"/>
    <w:lvl w:ilvl="0">
      <w:lvlJc w:val="left"/>
      <w:lvlText w:val="(%1)"/>
      <w:numFmt w:val="decimal"/>
      <w:start w:val="8"/>
    </w:lvl>
  </w:abstractNum>
  <w:abstractNum w:abstractNumId="107">
    <w:nsid w:val="230F856C"/>
    <w:multiLevelType w:val="hybridMultilevel"/>
    <w:lvl w:ilvl="0">
      <w:lvlJc w:val="left"/>
      <w:lvlText w:val="(%1)"/>
      <w:numFmt w:val="decimal"/>
      <w:start w:val="9"/>
    </w:lvl>
  </w:abstractNum>
  <w:abstractNum w:abstractNumId="108">
    <w:nsid w:val="6EAA85FB"/>
    <w:multiLevelType w:val="hybridMultilevel"/>
    <w:lvl w:ilvl="0">
      <w:lvlJc w:val="left"/>
      <w:lvlText w:val="(%1)"/>
      <w:numFmt w:val="upperLetter"/>
      <w:start w:val="1"/>
    </w:lvl>
    <w:lvl w:ilvl="1">
      <w:lvlJc w:val="left"/>
      <w:lvlText w:val="(%2)"/>
      <w:numFmt w:val="lowerRoman"/>
      <w:start w:val="1"/>
    </w:lvl>
  </w:abstractNum>
  <w:abstractNum w:abstractNumId="109">
    <w:nsid w:val="3F06ECB2"/>
    <w:multiLevelType w:val="hybridMultilevel"/>
    <w:lvl w:ilvl="0">
      <w:lvlJc w:val="left"/>
      <w:lvlText w:val="(%1)"/>
      <w:numFmt w:val="lowerLetter"/>
      <w:start w:val="1"/>
    </w:lvl>
  </w:abstractNum>
  <w:abstractNum w:abstractNumId="110">
    <w:nsid w:val="3B594807"/>
    <w:multiLevelType w:val="hybridMultilevel"/>
    <w:lvl w:ilvl="0">
      <w:lvlJc w:val="left"/>
      <w:lvlText w:val="(%1)"/>
      <w:numFmt w:val="lowerLetter"/>
      <w:start w:val="2"/>
    </w:lvl>
  </w:abstractNum>
  <w:abstractNum w:abstractNumId="111">
    <w:nsid w:val="6CAA2304"/>
    <w:multiLevelType w:val="hybridMultilevel"/>
    <w:lvl w:ilvl="0">
      <w:lvlJc w:val="left"/>
      <w:lvlText w:val="%1"/>
      <w:numFmt w:val="lowerLetter"/>
      <w:start w:val="1"/>
    </w:lvl>
    <w:lvl w:ilvl="1">
      <w:lvlJc w:val="left"/>
      <w:lvlText w:val="(%2)"/>
      <w:numFmt w:val="decimal"/>
      <w:start w:val="1"/>
    </w:lvl>
  </w:abstractNum>
  <w:abstractNum w:abstractNumId="112">
    <w:nsid w:val="3F7C2FF4"/>
    <w:multiLevelType w:val="hybridMultilevel"/>
    <w:lvl w:ilvl="0">
      <w:lvlJc w:val="left"/>
      <w:lvlText w:val="(%1)"/>
      <w:numFmt w:val="lowerLetter"/>
      <w:start w:val="3"/>
    </w:lvl>
    <w:lvl w:ilvl="1">
      <w:lvlJc w:val="left"/>
      <w:lvlText w:val="(%2)"/>
      <w:numFmt w:val="decimal"/>
      <w:start w:val="1"/>
    </w:lvl>
  </w:abstractNum>
  <w:abstractNum w:abstractNumId="113">
    <w:nsid w:val="25413BEC"/>
    <w:multiLevelType w:val="hybridMultilevel"/>
    <w:lvl w:ilvl="0">
      <w:lvlJc w:val="left"/>
      <w:lvlText w:val="(%1)"/>
      <w:numFmt w:val="lowerLetter"/>
      <w:start w:val="5"/>
    </w:lvl>
  </w:abstractNum>
  <w:abstractNum w:abstractNumId="114">
    <w:nsid w:val="17180B0B"/>
    <w:multiLevelType w:val="hybridMultilevel"/>
    <w:lvl w:ilvl="0">
      <w:lvlJc w:val="left"/>
      <w:lvlText w:val="(%1)"/>
      <w:numFmt w:val="lowerLetter"/>
      <w:start w:val="1"/>
    </w:lvl>
  </w:abstractNum>
  <w:abstractNum w:abstractNumId="115">
    <w:nsid w:val="579328B9"/>
    <w:multiLevelType w:val="hybridMultilevel"/>
    <w:lvl w:ilvl="0">
      <w:lvlJc w:val="left"/>
      <w:lvlText w:val="%1"/>
      <w:numFmt w:val="lowerLetter"/>
      <w:start w:val="1"/>
    </w:lvl>
    <w:lvl w:ilvl="1">
      <w:lvlJc w:val="left"/>
      <w:lvlText w:val="(%2)"/>
      <w:numFmt w:val="decimal"/>
      <w:start w:val="1"/>
    </w:lvl>
  </w:abstractNum>
  <w:abstractNum w:abstractNumId="116">
    <w:nsid w:val="5D205E20"/>
    <w:multiLevelType w:val="hybridMultilevel"/>
    <w:lvl w:ilvl="0">
      <w:lvlJc w:val="left"/>
      <w:lvlText w:val="(%1)"/>
      <w:numFmt w:val="lowerLetter"/>
      <w:start w:val="2"/>
    </w:lvl>
    <w:lvl w:ilvl="1">
      <w:lvlJc w:val="left"/>
      <w:lvlText w:val="(%2)"/>
      <w:numFmt w:val="decimal"/>
      <w:start w:val="1"/>
    </w:lvl>
  </w:abstractNum>
  <w:abstractNum w:abstractNumId="117">
    <w:nsid w:val="11CCA8BA"/>
    <w:multiLevelType w:val="hybridMultilevel"/>
    <w:lvl w:ilvl="0">
      <w:lvlJc w:val="left"/>
      <w:lvlText w:val="%1"/>
      <w:numFmt w:val="lowerLetter"/>
      <w:start w:val="1"/>
    </w:lvl>
    <w:lvl w:ilvl="1">
      <w:lvlJc w:val="left"/>
      <w:lvlText w:val="(%2)"/>
      <w:numFmt w:val="decimal"/>
      <w:start w:val="9"/>
    </w:lvl>
  </w:abstractNum>
  <w:abstractNum w:abstractNumId="118">
    <w:nsid w:val="4D32AB86"/>
    <w:multiLevelType w:val="hybridMultilevel"/>
    <w:lvl w:ilvl="0">
      <w:lvlJc w:val="left"/>
      <w:lvlText w:val="(%1)"/>
      <w:numFmt w:val="lowerLetter"/>
      <w:start w:val="2"/>
    </w:lvl>
    <w:lvl w:ilvl="1">
      <w:lvlJc w:val="left"/>
      <w:lvlText w:val="(%2)"/>
      <w:numFmt w:val="decimal"/>
      <w:start w:val="12"/>
    </w:lvl>
  </w:abstractNum>
  <w:abstractNum w:abstractNumId="119">
    <w:nsid w:val="3F07ACC3"/>
    <w:multiLevelType w:val="hybridMultilevel"/>
    <w:lvl w:ilvl="0">
      <w:lvlJc w:val="left"/>
      <w:lvlText w:val="(%1)"/>
      <w:numFmt w:val="lowerLetter"/>
      <w:start w:val="1"/>
    </w:lvl>
  </w:abstractNum>
  <w:abstractNum w:abstractNumId="120">
    <w:nsid w:val="6B47F63E"/>
    <w:multiLevelType w:val="hybridMultilevel"/>
    <w:lvl w:ilvl="0">
      <w:lvlJc w:val="left"/>
      <w:lvlText w:val="(%1)"/>
      <w:numFmt w:val="lowerLetter"/>
      <w:start w:val="2"/>
    </w:lvl>
    <w:lvl w:ilvl="1">
      <w:lvlJc w:val="left"/>
      <w:lvlText w:val="(%2)"/>
      <w:numFmt w:val="decimal"/>
      <w:start w:val="1"/>
    </w:lvl>
  </w:abstractNum>
  <w:abstractNum w:abstractNumId="121">
    <w:nsid w:val="5CB44A05"/>
    <w:multiLevelType w:val="hybridMultilevel"/>
    <w:lvl w:ilvl="0">
      <w:lvlJc w:val="left"/>
      <w:lvlText w:val="(%1)"/>
      <w:numFmt w:val="lowerLetter"/>
      <w:start w:val="3"/>
    </w:lvl>
  </w:abstractNum>
  <w:abstractNum w:abstractNumId="122">
    <w:nsid w:val="16CF80F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3">
    <w:nsid w:val="1C695D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4">
    <w:nsid w:val="3FCFAED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25">
    <w:nsid w:val="F856867"/>
    <w:multiLevelType w:val="hybridMultilevel"/>
    <w:lvl w:ilvl="0">
      <w:lvlJc w:val="left"/>
      <w:lvlText w:val="(%1)"/>
      <w:numFmt w:val="lowerLetter"/>
      <w:start w:val="5"/>
    </w:lvl>
  </w:abstractNum>
  <w:abstractNum w:abstractNumId="126">
    <w:nsid w:val="11B1CC33"/>
    <w:multiLevelType w:val="hybridMultilevel"/>
    <w:lvl w:ilvl="0">
      <w:lvlJc w:val="left"/>
      <w:lvlText w:val="(%1)"/>
      <w:numFmt w:val="lowerLetter"/>
      <w:start w:val="1"/>
    </w:lvl>
  </w:abstractNum>
  <w:abstractNum w:abstractNumId="127">
    <w:nsid w:val="2E22FBB7"/>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8">
    <w:nsid w:val="29934699"/>
    <w:multiLevelType w:val="hybridMultilevel"/>
    <w:lvl w:ilvl="0">
      <w:lvlJc w:val="left"/>
      <w:lvlText w:val="(%1)"/>
      <w:numFmt w:val="decimal"/>
      <w:start w:val="2"/>
    </w:lvl>
    <w:lvl w:ilvl="1">
      <w:lvlJc w:val="left"/>
      <w:lvlText w:val="(%2)"/>
      <w:numFmt w:val="lowerLetter"/>
      <w:start w:val="4"/>
    </w:lvl>
    <w:lvl w:ilvl="2">
      <w:lvlJc w:val="left"/>
      <w:lvlText w:val="%3"/>
      <w:numFmt w:val="decimal"/>
      <w:start w:val="1"/>
    </w:lvl>
  </w:abstractNum>
  <w:abstractNum w:abstractNumId="129">
    <w:nsid w:val="77485850"/>
    <w:multiLevelType w:val="hybridMultilevel"/>
    <w:lvl w:ilvl="0">
      <w:lvlJc w:val="left"/>
      <w:lvlText w:val="(%1)"/>
      <w:numFmt w:val="decimal"/>
      <w:start w:val="2"/>
    </w:lvl>
    <w:lvl w:ilvl="1">
      <w:lvlJc w:val="left"/>
      <w:lvlText w:val="(%2)"/>
      <w:numFmt w:val="lowerLetter"/>
      <w:start w:val="7"/>
    </w:lvl>
    <w:lvl w:ilvl="2">
      <w:lvlJc w:val="left"/>
      <w:lvlText w:val="(%3)"/>
      <w:numFmt w:val="decimal"/>
      <w:start w:val="1"/>
    </w:lvl>
  </w:abstractNum>
  <w:abstractNum w:abstractNumId="130">
    <w:nsid w:val="744939A3"/>
    <w:multiLevelType w:val="hybridMultilevel"/>
    <w:lvl w:ilvl="0">
      <w:lvlJc w:val="left"/>
      <w:lvlText w:val="(%1)"/>
      <w:numFmt w:val="lowerLetter"/>
      <w:start w:val="8"/>
    </w:lvl>
    <w:lvl w:ilvl="1">
      <w:lvlJc w:val="left"/>
      <w:lvlText w:val="(%2)"/>
      <w:numFmt w:val="decimal"/>
      <w:start w:val="1"/>
    </w:lvl>
  </w:abstractNum>
  <w:abstractNum w:abstractNumId="131">
    <w:nsid w:val="4FA0D2E3"/>
    <w:multiLevelType w:val="hybridMultilevel"/>
    <w:lvl w:ilvl="0">
      <w:lvlJc w:val="left"/>
      <w:lvlText w:val="%1"/>
      <w:numFmt w:val="lowerLetter"/>
      <w:start w:val="1"/>
    </w:lvl>
    <w:lvl w:ilvl="1">
      <w:lvlJc w:val="left"/>
      <w:lvlText w:val="(%2)"/>
      <w:numFmt w:val="decimal"/>
      <w:start w:val="3"/>
    </w:lvl>
  </w:abstractNum>
  <w:abstractNum w:abstractNumId="132">
    <w:nsid w:val="6B1D2C14"/>
    <w:multiLevelType w:val="hybridMultilevel"/>
    <w:lvl w:ilvl="0">
      <w:lvlJc w:val="left"/>
      <w:lvlText w:val="(%1)"/>
      <w:numFmt w:val="lowerLetter"/>
      <w:start w:val="10"/>
    </w:lvl>
    <w:lvl w:ilvl="1">
      <w:lvlJc w:val="left"/>
      <w:lvlText w:val="(%2)"/>
      <w:numFmt w:val="decimal"/>
      <w:start w:val="1"/>
    </w:lvl>
  </w:abstractNum>
  <w:abstractNum w:abstractNumId="133">
    <w:nsid w:val="68B867D3"/>
    <w:multiLevelType w:val="hybridMultilevel"/>
    <w:lvl w:ilvl="0">
      <w:lvlJc w:val="left"/>
      <w:lvlText w:val="(%1)"/>
      <w:numFmt w:val="lowerLetter"/>
      <w:start w:val="11"/>
    </w:lvl>
  </w:abstractNum>
  <w:abstractNum w:abstractNumId="134">
    <w:nsid w:val="3F7F5DD9"/>
    <w:multiLevelType w:val="hybridMultilevel"/>
    <w:lvl w:ilvl="0">
      <w:lvlJc w:val="left"/>
      <w:lvlText w:val="(%1)"/>
      <w:numFmt w:val="lowerLetter"/>
      <w:start w:val="1"/>
    </w:lvl>
  </w:abstractNum>
  <w:abstractNum w:abstractNumId="135">
    <w:nsid w:val="2AE05A34"/>
    <w:multiLevelType w:val="hybridMultilevel"/>
    <w:lvl w:ilvl="0">
      <w:lvlJc w:val="left"/>
      <w:lvlText w:val="(%1)"/>
      <w:numFmt w:val="lowerLetter"/>
      <w:start w:val="5"/>
    </w:lvl>
  </w:abstractNum>
  <w:abstractNum w:abstractNumId="136">
    <w:nsid w:val="32794FF7"/>
    <w:multiLevelType w:val="hybridMultilevel"/>
    <w:lvl w:ilvl="0">
      <w:lvlJc w:val="left"/>
      <w:lvlText w:val="(%1)"/>
      <w:numFmt w:val="lowerLetter"/>
      <w:start w:val="1"/>
    </w:lvl>
    <w:lvl w:ilvl="1">
      <w:lvlJc w:val="left"/>
      <w:lvlText w:val="(%2)"/>
      <w:numFmt w:val="decimal"/>
      <w:start w:val="1"/>
    </w:lvl>
  </w:abstractNum>
  <w:abstractNum w:abstractNumId="137">
    <w:nsid w:val="5454945E"/>
    <w:multiLevelType w:val="hybridMultilevel"/>
    <w:lvl w:ilvl="0">
      <w:lvlJc w:val="left"/>
      <w:lvlText w:val="%1"/>
      <w:numFmt w:val="lowerLetter"/>
      <w:start w:val="1"/>
    </w:lvl>
    <w:lvl w:ilvl="1">
      <w:lvlJc w:val="left"/>
      <w:lvlText w:val="(%2)"/>
      <w:numFmt w:val="decimal"/>
      <w:start w:val="1"/>
    </w:lvl>
  </w:abstractNum>
  <w:abstractNum w:abstractNumId="138">
    <w:nsid w:val="4DEFDFA0"/>
    <w:multiLevelType w:val="hybridMultilevel"/>
    <w:lvl w:ilvl="0">
      <w:lvlJc w:val="left"/>
      <w:lvlText w:val="(%1)"/>
      <w:numFmt w:val="lowerLetter"/>
      <w:start w:val="4"/>
    </w:lvl>
    <w:lvl w:ilvl="1">
      <w:lvlJc w:val="left"/>
      <w:lvlText w:val="%2"/>
      <w:numFmt w:val="decimal"/>
      <w:start w:val="1"/>
    </w:lvl>
  </w:abstractNum>
  <w:abstractNum w:abstractNumId="139">
    <w:nsid w:val="2123D5F2"/>
    <w:multiLevelType w:val="hybridMultilevel"/>
    <w:lvl w:ilvl="0">
      <w:lvlJc w:val="left"/>
      <w:lvlText w:val="(%1)"/>
      <w:numFmt w:val="lowerLetter"/>
      <w:start w:val="1"/>
    </w:lvl>
  </w:abstractNum>
  <w:abstractNum w:abstractNumId="140">
    <w:nsid w:val="135B8110"/>
    <w:multiLevelType w:val="hybridMultilevel"/>
    <w:lvl w:ilvl="0">
      <w:lvlJc w:val="left"/>
      <w:lvlText w:val="(%1)"/>
      <w:numFmt w:val="lowerLetter"/>
      <w:start w:val="7"/>
    </w:lvl>
  </w:abstractNum>
  <w:abstractNum w:abstractNumId="141">
    <w:nsid w:val="94927A8"/>
    <w:multiLevelType w:val="hybridMultilevel"/>
    <w:lvl w:ilvl="0">
      <w:lvlJc w:val="left"/>
      <w:lvlText w:val="(%1)"/>
      <w:numFmt w:val="lowerLetter"/>
      <w:start w:val="1"/>
    </w:lvl>
  </w:abstractNum>
  <w:abstractNum w:abstractNumId="142">
    <w:nsid w:val="DCDF8F6"/>
    <w:multiLevelType w:val="hybridMultilevel"/>
    <w:lvl w:ilvl="0">
      <w:lvlJc w:val="left"/>
      <w:lvlText w:val="(%1)"/>
      <w:numFmt w:val="lowerLetter"/>
      <w:start w:val="4"/>
    </w:lvl>
  </w:abstractNum>
  <w:abstractNum w:abstractNumId="143">
    <w:nsid w:val="52D7B105"/>
    <w:multiLevelType w:val="hybridMultilevel"/>
    <w:lvl w:ilvl="0">
      <w:lvlJc w:val="left"/>
      <w:lvlText w:val="(%1)"/>
      <w:numFmt w:val="lowerLetter"/>
      <w:start w:val="1"/>
    </w:lvl>
    <w:lvl w:ilvl="1">
      <w:lvlJc w:val="left"/>
      <w:lvlText w:val="(%2)"/>
      <w:numFmt w:val="decimal"/>
      <w:start w:val="1"/>
    </w:lvl>
  </w:abstractNum>
  <w:abstractNum w:abstractNumId="144">
    <w:nsid w:val="2E8A6394"/>
    <w:multiLevelType w:val="hybridMultilevel"/>
    <w:lvl w:ilvl="0">
      <w:lvlJc w:val="left"/>
      <w:lvlText w:val="(%1)"/>
      <w:numFmt w:val="lowerLetter"/>
      <w:start w:val="1"/>
    </w:lvl>
  </w:abstractNum>
  <w:abstractNum w:abstractNumId="145">
    <w:nsid w:val="24E60401"/>
    <w:multiLevelType w:val="hybridMultilevel"/>
    <w:lvl w:ilvl="0">
      <w:lvlJc w:val="left"/>
      <w:lvlText w:val="(%1)"/>
      <w:numFmt w:val="lowerLetter"/>
      <w:start w:val="1"/>
    </w:lvl>
  </w:abstractNum>
  <w:abstractNum w:abstractNumId="146">
    <w:nsid w:val="2A6AD9BE"/>
    <w:multiLevelType w:val="hybridMultilevel"/>
    <w:lvl w:ilvl="0">
      <w:lvlJc w:val="left"/>
      <w:lvlText w:val="(%1)"/>
      <w:numFmt w:val="lowerLetter"/>
      <w:start w:val="2"/>
    </w:lvl>
    <w:lvl w:ilvl="1">
      <w:lvlJc w:val="left"/>
      <w:lvlText w:val="(%2)"/>
      <w:numFmt w:val="decimal"/>
      <w:start w:val="1"/>
    </w:lvl>
  </w:abstractNum>
  <w:abstractNum w:abstractNumId="147">
    <w:nsid w:val="BAAC1B4"/>
    <w:multiLevelType w:val="hybridMultilevel"/>
    <w:lvl w:ilvl="0">
      <w:lvlJc w:val="left"/>
      <w:lvlText w:val="(%1)"/>
      <w:numFmt w:val="lowerLetter"/>
      <w:start w:val="1"/>
    </w:lvl>
  </w:abstractNum>
  <w:abstractNum w:abstractNumId="148">
    <w:nsid w:val="36B2ACBC"/>
    <w:multiLevelType w:val="hybridMultilevel"/>
    <w:lvl w:ilvl="0">
      <w:lvlJc w:val="left"/>
      <w:lvlText w:val="(%1)"/>
      <w:numFmt w:val="lowerLetter"/>
      <w:start w:val="3"/>
    </w:lvl>
  </w:abstractNum>
  <w:abstractNum w:abstractNumId="149">
    <w:nsid w:val="779D8544"/>
    <w:multiLevelType w:val="hybridMultilevel"/>
    <w:lvl w:ilvl="0">
      <w:lvlJc w:val="left"/>
      <w:lvlText w:val="(%1)"/>
      <w:numFmt w:val="lowerLetter"/>
      <w:start w:val="1"/>
    </w:lvl>
  </w:abstractNum>
  <w:abstractNum w:abstractNumId="150">
    <w:nsid w:val="4AB26E78"/>
    <w:multiLevelType w:val="hybridMultilevel"/>
    <w:lvl w:ilvl="0">
      <w:lvlJc w:val="left"/>
      <w:lvlText w:val="%1"/>
      <w:numFmt w:val="lowerLetter"/>
      <w:start w:val="1"/>
    </w:lvl>
    <w:lvl w:ilvl="1">
      <w:lvlJc w:val="left"/>
      <w:lvlText w:val="(%2)"/>
      <w:numFmt w:val="lowerLetter"/>
      <w:start w:val="2"/>
    </w:lvl>
  </w:abstractNum>
  <w:abstractNum w:abstractNumId="151">
    <w:nsid w:val="21FAA2FA"/>
    <w:multiLevelType w:val="hybridMultilevel"/>
    <w:lvl w:ilvl="0">
      <w:lvlJc w:val="left"/>
      <w:lvlText w:val="(%1)"/>
      <w:numFmt w:val="lowerLetter"/>
      <w:start w:val="9"/>
    </w:lvl>
    <w:lvl w:ilvl="1">
      <w:lvlJc w:val="left"/>
      <w:lvlText w:val="(%2)"/>
      <w:numFmt w:val="lowerLetter"/>
      <w:start w:val="5"/>
    </w:lvl>
  </w:abstractNum>
  <w:abstractNum w:abstractNumId="152">
    <w:nsid w:val="5451CF49"/>
    <w:multiLevelType w:val="hybridMultilevel"/>
    <w:lvl w:ilvl="0">
      <w:lvlJc w:val="left"/>
      <w:lvlText w:val="(%1)"/>
      <w:numFmt w:val="lowerLetter"/>
      <w:start w:val="1"/>
    </w:lvl>
    <w:lvl w:ilvl="1">
      <w:lvlJc w:val="left"/>
      <w:lvlText w:val="(%2)"/>
      <w:numFmt w:val="decimal"/>
      <w:start w:val="1"/>
    </w:lvl>
  </w:abstractNum>
  <w:abstractNum w:abstractNumId="153">
    <w:nsid w:val="6181EF69"/>
    <w:multiLevelType w:val="hybridMultilevel"/>
    <w:lvl w:ilvl="0">
      <w:lvlJc w:val="left"/>
      <w:lvlText w:val="(%1)"/>
      <w:numFmt w:val="lowerLetter"/>
      <w:start w:val="2"/>
    </w:lvl>
  </w:abstractNum>
  <w:abstractNum w:abstractNumId="154">
    <w:nsid w:val="3E6400E6"/>
    <w:multiLevelType w:val="hybridMultilevel"/>
    <w:lvl w:ilvl="0">
      <w:lvlJc w:val="left"/>
      <w:lvlText w:val="(%1)"/>
      <w:numFmt w:val="lowerLetter"/>
      <w:start w:val="1"/>
    </w:lvl>
  </w:abstractNum>
  <w:abstractNum w:abstractNumId="155">
    <w:nsid w:val="14217E23"/>
    <w:multiLevelType w:val="hybridMultilevel"/>
    <w:lvl w:ilvl="0">
      <w:lvlJc w:val="left"/>
      <w:lvlText w:val="(%1)"/>
      <w:numFmt w:val="lowerLetter"/>
      <w:start w:val="1"/>
    </w:lvl>
    <w:lvl w:ilvl="1">
      <w:lvlJc w:val="left"/>
      <w:lvlText w:val="(%2)"/>
      <w:numFmt w:val="decimal"/>
      <w:start w:val="1"/>
    </w:lvl>
  </w:abstractNum>
  <w:abstractNum w:abstractNumId="156">
    <w:nsid w:val="710757D0"/>
    <w:multiLevelType w:val="hybridMultilevel"/>
    <w:lvl w:ilvl="0">
      <w:lvlJc w:val="left"/>
      <w:lvlText w:val="(%1)"/>
      <w:numFmt w:val="lowerLetter"/>
      <w:start w:val="1"/>
    </w:lvl>
  </w:abstractNum>
  <w:abstractNum w:abstractNumId="157">
    <w:nsid w:val="5015CD1A"/>
    <w:multiLevelType w:val="hybridMultilevel"/>
    <w:lvl w:ilvl="0">
      <w:lvlJc w:val="left"/>
      <w:lvlText w:val="(%1)"/>
      <w:numFmt w:val="lowerLetter"/>
      <w:start w:val="1"/>
    </w:lvl>
  </w:abstractNum>
  <w:abstractNum w:abstractNumId="158">
    <w:nsid w:val="424479DA"/>
    <w:multiLevelType w:val="hybridMultilevel"/>
    <w:lvl w:ilvl="0">
      <w:lvlJc w:val="left"/>
      <w:lvlText w:val="(%1)"/>
      <w:numFmt w:val="lowerLetter"/>
      <w:start w:val="1"/>
    </w:lvl>
  </w:abstractNum>
  <w:abstractNum w:abstractNumId="159">
    <w:nsid w:val="1A9A9E69"/>
    <w:multiLevelType w:val="hybridMultilevel"/>
    <w:lvl w:ilvl="0">
      <w:lvlJc w:val="left"/>
      <w:lvlText w:val="(%1)"/>
      <w:numFmt w:val="lowerLetter"/>
      <w:start w:val="35"/>
    </w:lvl>
    <w:lvl w:ilvl="1">
      <w:lvlJc w:val="left"/>
      <w:lvlText w:val="(%2)"/>
      <w:numFmt w:val="lowerLetter"/>
      <w:start w:val="2"/>
    </w:lvl>
  </w:abstractNum>
  <w:abstractNum w:abstractNumId="160">
    <w:nsid w:val="475E256A"/>
    <w:multiLevelType w:val="hybridMultilevel"/>
    <w:lvl w:ilvl="0">
      <w:lvlJc w:val="left"/>
      <w:lvlText w:val="(%1)"/>
      <w:numFmt w:val="lowerLetter"/>
      <w:start w:val="5"/>
    </w:lvl>
  </w:abstractNum>
  <w:abstractNum w:abstractNumId="161">
    <w:nsid w:val="368DB37E"/>
    <w:multiLevelType w:val="hybridMultilevel"/>
    <w:lvl w:ilvl="0">
      <w:lvlJc w:val="left"/>
      <w:lvlText w:val="[%1]"/>
      <w:numFmt w:val="decimal"/>
      <w:start w:val="1"/>
    </w:lvl>
  </w:abstractNum>
  <w:abstractNum w:abstractNumId="162">
    <w:nsid w:val="6A3B714C"/>
    <w:multiLevelType w:val="hybridMultilevel"/>
    <w:lvl w:ilvl="0">
      <w:lvlJc w:val="left"/>
      <w:lvlText w:val="(%1)"/>
      <w:numFmt w:val="decimal"/>
      <w:start w:val="1"/>
    </w:lvl>
  </w:abstractNum>
  <w:abstractNum w:abstractNumId="163">
    <w:nsid w:val="327B517E"/>
    <w:multiLevelType w:val="hybridMultilevel"/>
    <w:lvl w:ilvl="0">
      <w:lvlJc w:val="left"/>
      <w:lvlText w:val="(%1)"/>
      <w:numFmt w:val="decimal"/>
      <w:start w:val="2"/>
    </w:lvl>
  </w:abstractNum>
  <w:abstractNum w:abstractNumId="164">
    <w:nsid w:val="1F461B51"/>
    <w:multiLevelType w:val="hybridMultilevel"/>
    <w:lvl w:ilvl="0">
      <w:lvlJc w:val="left"/>
      <w:lvlText w:val="(%1)"/>
      <w:numFmt w:val="decimal"/>
      <w:start w:val="5"/>
    </w:lvl>
    <w:lvl w:ilvl="1">
      <w:lvlJc w:val="left"/>
      <w:lvlText w:val="(%2)"/>
      <w:numFmt w:val="lowerLetter"/>
      <w:start w:val="1"/>
    </w:lvl>
  </w:abstractNum>
  <w:abstractNum w:abstractNumId="165">
    <w:nsid w:val="29BACF25"/>
    <w:multiLevelType w:val="hybridMultilevel"/>
    <w:lvl w:ilvl="0">
      <w:lvlJc w:val="left"/>
      <w:lvlText w:val="(%1)"/>
      <w:numFmt w:val="decimal"/>
      <w:start w:val="6"/>
    </w:lvl>
    <w:lvl w:ilvl="1">
      <w:lvlJc w:val="left"/>
      <w:lvlText w:val="(%2)"/>
      <w:numFmt w:val="lowerLetter"/>
      <w:start w:val="1"/>
    </w:lvl>
  </w:abstractNum>
  <w:abstractNum w:abstractNumId="166">
    <w:nsid w:val="5D5BABB3"/>
    <w:multiLevelType w:val="hybridMultilevel"/>
    <w:lvl w:ilvl="0">
      <w:lvlJc w:val="left"/>
      <w:lvlText w:val="%1"/>
      <w:numFmt w:val="decimal"/>
      <w:start w:val="1"/>
    </w:lvl>
    <w:lvl w:ilvl="1">
      <w:lvlJc w:val="left"/>
      <w:lvlText w:val="(%2)"/>
      <w:numFmt w:val="lowerLetter"/>
      <w:start w:val="2"/>
    </w:lvl>
  </w:abstractNum>
  <w:abstractNum w:abstractNumId="167">
    <w:nsid w:val="51BF6B48"/>
    <w:multiLevelType w:val="hybridMultilevel"/>
    <w:lvl w:ilvl="0">
      <w:lvlJc w:val="left"/>
      <w:lvlText w:val="(%1)"/>
      <w:numFmt w:val="decimal"/>
      <w:start w:val="8"/>
    </w:lvl>
    <w:lvl w:ilvl="1">
      <w:lvlJc w:val="left"/>
      <w:lvlText w:val="%2"/>
      <w:numFmt w:val="lowerLetter"/>
      <w:start w:val="1"/>
    </w:lvl>
  </w:abstractNum>
  <w:abstractNum w:abstractNumId="168">
    <w:nsid w:val="7E0F6384"/>
    <w:multiLevelType w:val="hybridMultilevel"/>
    <w:lvl w:ilvl="0">
      <w:lvlJc w:val="left"/>
      <w:lvlText w:val="(%1)"/>
      <w:numFmt w:val="decimal"/>
      <w:start w:val="13"/>
    </w:lvl>
  </w:abstractNum>
  <w:abstractNum w:abstractNumId="169">
    <w:nsid w:val="2B4B8B53"/>
    <w:multiLevelType w:val="hybridMultilevel"/>
    <w:lvl w:ilvl="0">
      <w:lvlJc w:val="left"/>
      <w:lvlText w:val="(%1)"/>
      <w:numFmt w:val="upperLetter"/>
      <w:start w:val="9"/>
    </w:lvl>
  </w:abstractNum>
  <w:abstractNum w:abstractNumId="170">
    <w:nsid w:val="72E3413A"/>
    <w:multiLevelType w:val="hybridMultilevel"/>
    <w:lvl w:ilvl="0">
      <w:lvlJc w:val="left"/>
      <w:lvlText w:val="*"/>
      <w:numFmt w:val="bullet"/>
      <w:start w:val="1"/>
    </w:lvl>
  </w:abstractNum>
  <w:abstractNum w:abstractNumId="171">
    <w:nsid w:val="116AE494"/>
    <w:multiLevelType w:val="hybridMultilevel"/>
    <w:lvl w:ilvl="0">
      <w:lvlJc w:val="left"/>
      <w:lvlText w:val="☐"/>
      <w:numFmt w:val="bullet"/>
      <w:start w:val="1"/>
    </w:lvl>
  </w:abstractNum>
  <w:abstractNum w:abstractNumId="172">
    <w:nsid w:val="3494B2FB"/>
    <w:multiLevelType w:val="hybridMultilevel"/>
    <w:lvl w:ilvl="0">
      <w:lvlJc w:val="left"/>
      <w:lvlText w:val="*"/>
      <w:numFmt w:val="bullet"/>
      <w:start w:val="1"/>
    </w:lvl>
  </w:abstractNum>
  <w:abstractNum w:abstractNumId="173">
    <w:nsid w:val="B13A31"/>
    <w:multiLevelType w:val="hybridMultilevel"/>
    <w:lvl w:ilvl="0">
      <w:lvlJc w:val="left"/>
      <w:lvlText w:val="*"/>
      <w:numFmt w:val="bullet"/>
      <w:start w:val="1"/>
    </w:lvl>
  </w:abstractNum>
  <w:abstractNum w:abstractNumId="174">
    <w:nsid w:val="64429599"/>
    <w:multiLevelType w:val="hybridMultilevel"/>
    <w:lvl w:ilvl="0">
      <w:lvlJc w:val="left"/>
      <w:lvlText w:val="%1."/>
      <w:numFmt w:val="decimal"/>
      <w:start w:val="1"/>
    </w:lvl>
  </w:abstractNum>
  <w:abstractNum w:abstractNumId="175">
    <w:nsid w:val="631F1690"/>
    <w:multiLevelType w:val="hybridMultilevel"/>
    <w:lvl w:ilvl="0">
      <w:lvlJc w:val="left"/>
      <w:lvlText w:val="%1."/>
      <w:numFmt w:val="decimal"/>
      <w:start w:val="3"/>
    </w:lvl>
    <w:lvl w:ilvl="1">
      <w:lvlJc w:val="left"/>
      <w:lvlText w:val="(%2)"/>
      <w:numFmt w:val="lowerLetter"/>
      <w:start w:val="1"/>
    </w:lvl>
  </w:abstractNum>
  <w:abstractNum w:abstractNumId="176">
    <w:nsid w:val="25973E32"/>
    <w:multiLevelType w:val="hybridMultilevel"/>
    <w:lvl w:ilvl="0">
      <w:lvlJc w:val="left"/>
      <w:lvlText w:val="(%1)"/>
      <w:numFmt w:val="lowerLetter"/>
      <w:start w:val="2"/>
    </w:lvl>
  </w:abstractNum>
  <w:abstractNum w:abstractNumId="177">
    <w:nsid w:val="EAD6F57"/>
    <w:multiLevelType w:val="hybridMultilevel"/>
    <w:lvl w:ilvl="0">
      <w:lvlJc w:val="left"/>
      <w:lvlText w:val="(%1)"/>
      <w:numFmt w:val="lowerLetter"/>
      <w:start w:val="4"/>
    </w:lvl>
  </w:abstractNum>
  <w:abstractNum w:abstractNumId="178">
    <w:nsid w:val="6EC9D844"/>
    <w:multiLevelType w:val="hybridMultilevel"/>
    <w:lvl w:ilvl="0">
      <w:lvlJc w:val="left"/>
      <w:lvlText w:val="%1."/>
      <w:numFmt w:val="decimal"/>
      <w:start w:val="4"/>
    </w:lvl>
  </w:abstractNum>
  <w:abstractNum w:abstractNumId="179">
    <w:nsid w:val="5C49EAEE"/>
    <w:multiLevelType w:val="hybridMultilevel"/>
    <w:lvl w:ilvl="0">
      <w:lvlJc w:val="left"/>
      <w:lvlText w:val="(%1)"/>
      <w:numFmt w:val="lowerLetter"/>
      <w:start w:val="1"/>
    </w:lvl>
  </w:abstractNum>
  <w:abstractNum w:abstractNumId="180">
    <w:nsid w:val="64AF49B"/>
    <w:multiLevelType w:val="hybridMultilevel"/>
    <w:lvl w:ilvl="0">
      <w:lvlJc w:val="left"/>
      <w:lvlText w:val="(%1)"/>
      <w:numFmt w:val="lowerLetter"/>
      <w:start w:val="3"/>
    </w:lvl>
  </w:abstractNum>
  <w:abstractNum w:abstractNumId="181">
    <w:nsid w:val="397C46BC"/>
    <w:multiLevelType w:val="hybridMultilevel"/>
    <w:lvl w:ilvl="0">
      <w:lvlJc w:val="left"/>
      <w:lvlText w:val="*"/>
      <w:numFmt w:val="bullet"/>
      <w:start w:val="1"/>
    </w:lvl>
  </w:abstractNum>
  <w:abstractNum w:abstractNumId="182">
    <w:nsid w:val="7E448DE9"/>
    <w:multiLevelType w:val="hybridMultilevel"/>
    <w:lvl w:ilvl="0">
      <w:lvlJc w:val="left"/>
      <w:lvlText w:val="%1."/>
      <w:numFmt w:val="decimal"/>
      <w:start w:val="1"/>
    </w:lvl>
  </w:abstractNum>
  <w:abstractNum w:abstractNumId="183">
    <w:nsid w:val="5A9CC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1AFE36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5">
    <w:nsid w:val="3CA88ECF"/>
    <w:multiLevelType w:val="hybridMultilevel"/>
    <w:lvl w:ilvl="0">
      <w:lvlJc w:val="left"/>
      <w:lvlText w:val="(%1)"/>
      <w:numFmt w:val="lowerLetter"/>
      <w:start w:val="1"/>
    </w:lvl>
    <w:lvl w:ilvl="1">
      <w:lvlJc w:val="left"/>
      <w:lvlText w:val="(%2)"/>
      <w:numFmt w:val="lowerRoman"/>
      <w:start w:val="1"/>
    </w:lvl>
  </w:abstractNum>
  <w:abstractNum w:abstractNumId="186">
    <w:nsid w:val="6EBE4208"/>
    <w:multiLevelType w:val="hybridMultilevel"/>
    <w:lvl w:ilvl="0">
      <w:lvlJc w:val="left"/>
      <w:lvlText w:val="%1."/>
      <w:numFmt w:val="decimal"/>
      <w:start w:val="1"/>
    </w:lvl>
  </w:abstractNum>
  <w:abstractNum w:abstractNumId="187">
    <w:nsid w:val="C058DF5"/>
    <w:multiLevelType w:val="hybridMultilevel"/>
    <w:lvl w:ilvl="0">
      <w:lvlJc w:val="left"/>
      <w:lvlText w:val="(%1)"/>
      <w:numFmt w:val="lowerLetter"/>
      <w:start w:val="1"/>
    </w:lvl>
  </w:abstractNum>
  <w:abstractNum w:abstractNumId="188">
    <w:nsid w:val="CBE5BE9"/>
    <w:multiLevelType w:val="hybridMultilevel"/>
    <w:lvl w:ilvl="0">
      <w:lvlJc w:val="left"/>
      <w:lvlText w:val="(%1)"/>
      <w:numFmt w:val="lowerLetter"/>
      <w:start w:val="3"/>
    </w:lvl>
  </w:abstractNum>
  <w:abstractNum w:abstractNumId="189">
    <w:nsid w:val="3102BBE2"/>
    <w:multiLevelType w:val="hybridMultilevel"/>
    <w:lvl w:ilvl="0">
      <w:lvlJc w:val="left"/>
      <w:lvlText w:val="%1."/>
      <w:numFmt w:val="decimal"/>
      <w:start w:val="2"/>
    </w:lvl>
  </w:abstractNum>
  <w:abstractNum w:abstractNumId="190">
    <w:nsid w:val="26A02C5E"/>
    <w:multiLevelType w:val="hybridMultilevel"/>
    <w:lvl w:ilvl="0">
      <w:lvlJc w:val="left"/>
      <w:lvlText w:val="(%1)"/>
      <w:numFmt w:val="lowerLetter"/>
      <w:start w:val="1"/>
    </w:lvl>
  </w:abstractNum>
  <w:abstractNum w:abstractNumId="191">
    <w:nsid w:val="541C8153"/>
    <w:multiLevelType w:val="hybridMultilevel"/>
    <w:lvl w:ilvl="0">
      <w:lvlJc w:val="left"/>
      <w:lvlText w:val="(%1)"/>
      <w:numFmt w:val="lowerLetter"/>
      <w:start w:val="1"/>
    </w:lvl>
  </w:abstractNum>
  <w:abstractNum w:abstractNumId="192">
    <w:nsid w:val="67906F60"/>
    <w:multiLevelType w:val="hybridMultilevel"/>
    <w:lvl w:ilvl="0">
      <w:lvlJc w:val="left"/>
      <w:lvlText w:val="%1."/>
      <w:numFmt w:val="decimal"/>
      <w:start w:val="1"/>
    </w:lvl>
  </w:abstractNum>
  <w:abstractNum w:abstractNumId="193">
    <w:nsid w:val="10DB9DAA"/>
    <w:multiLevelType w:val="hybridMultilevel"/>
    <w:lvl w:ilvl="0">
      <w:lvlJc w:val="left"/>
      <w:lvlText w:val="%1."/>
      <w:numFmt w:val="decimal"/>
      <w:start w:val="4"/>
    </w:lvl>
  </w:abstractNum>
  <w:abstractNum w:abstractNumId="194">
    <w:nsid w:val="697D2D2"/>
    <w:multiLevelType w:val="hybridMultilevel"/>
    <w:lvl w:ilvl="0">
      <w:lvlJc w:val="left"/>
      <w:lvlText w:val="%1."/>
      <w:numFmt w:val="decimal"/>
      <w:start w:val="1"/>
    </w:lvl>
  </w:abstractNum>
  <w:abstractNum w:abstractNumId="195">
    <w:nsid w:val="6D68AB2"/>
    <w:multiLevelType w:val="hybridMultilevel"/>
    <w:lvl w:ilvl="0">
      <w:lvlJc w:val="left"/>
      <w:lvlText w:val="%1."/>
      <w:numFmt w:val="decimal"/>
      <w:start w:val="6"/>
    </w:lvl>
  </w:abstractNum>
  <w:abstractNum w:abstractNumId="196">
    <w:nsid w:val="3A966CD0"/>
    <w:multiLevelType w:val="hybridMultilevel"/>
    <w:lvl w:ilvl="0">
      <w:lvlJc w:val="left"/>
      <w:lvlText w:val="%1."/>
      <w:numFmt w:val="decimal"/>
      <w:start w:val="1"/>
    </w:lvl>
  </w:abstractNum>
  <w:abstractNum w:abstractNumId="197">
    <w:nsid w:val="63F37E85"/>
    <w:multiLevelType w:val="hybridMultilevel"/>
    <w:lvl w:ilvl="0">
      <w:lvlJc w:val="left"/>
      <w:lvlText w:val="%1."/>
      <w:numFmt w:val="decimal"/>
      <w:start w:val="5"/>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2021-01-21T15:38:21Z</dcterms:created>
  <dcterms:modified xsi:type="dcterms:W3CDTF">2021-01-21T15:38:21Z</dcterms:modified>
</cp:coreProperties>
</file>