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2,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 2026, California Resources Corporation (the “Company”) issued a press release announcing its financial condition and results of operations for the three and nine months ended September 30, 2026.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06"/>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720" w:type="dxa"/>
            <w:vAlign w:val="bottom"/>
          </w:tcPr>
          <w:p>
            <w:pPr>
              <w:spacing w:after="0"/>
              <w:rPr>
                <w:sz w:val="24"/>
                <w:szCs w:val="24"/>
                <w:color w:val="auto"/>
              </w:rPr>
            </w:pPr>
          </w:p>
        </w:tc>
        <w:tc>
          <w:tcPr>
            <w:tcW w:w="302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November2, 2026.</w:t>
            </w:r>
          </w:p>
        </w:tc>
        <w:tc>
          <w:tcPr>
            <w:tcW w:w="3020" w:type="dxa"/>
            <w:vAlign w:val="bottom"/>
          </w:tcPr>
          <w:p>
            <w:pPr>
              <w:spacing w:after="0"/>
              <w:rPr>
                <w:sz w:val="19"/>
                <w:szCs w:val="19"/>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ectPr>
          <w:pgSz w:w="11900" w:h="16838" w:orient="portrait"/>
          <w:cols w:equalWidth="0" w:num="1">
            <w:col w:w="11240"/>
          </w:cols>
          <w:pgMar w:left="320" w:top="139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4354195</wp:posOffset>
            </wp:positionH>
            <wp:positionV relativeFrom="page">
              <wp:posOffset>723900</wp:posOffset>
            </wp:positionV>
            <wp:extent cx="1785620" cy="321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85620" cy="32131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Corporation Reports Third Quarter 2026 Financial and Operating Results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Raised Quarterly Dividend by 4% and Delivered 2% Quarter-over-Quarter Net Production Growth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Sharpened Focus on California through Uinta Basin Sale and Closing of Crimson Midstream Acquisition</w:t>
      </w:r>
    </w:p>
    <w:p>
      <w:pPr>
        <w:spacing w:after="0" w:line="248" w:lineRule="exact"/>
        <w:rPr>
          <w:sz w:val="20"/>
          <w:szCs w:val="20"/>
          <w:color w:val="auto"/>
        </w:rPr>
      </w:pPr>
    </w:p>
    <w:p>
      <w:pPr>
        <w:jc w:val="both"/>
        <w:spacing w:after="0" w:line="278" w:lineRule="auto"/>
        <w:rPr>
          <w:sz w:val="20"/>
          <w:szCs w:val="20"/>
          <w:color w:val="auto"/>
        </w:rPr>
      </w:pPr>
      <w:r>
        <w:rPr>
          <w:rFonts w:ascii="Arial" w:cs="Arial" w:eastAsia="Arial" w:hAnsi="Arial"/>
          <w:sz w:val="21"/>
          <w:szCs w:val="21"/>
          <w:b w:val="1"/>
          <w:bCs w:val="1"/>
          <w:color w:val="auto"/>
        </w:rPr>
        <w:t xml:space="preserve">LONG BEACH, Calif., Nov. 2, 2026 </w:t>
      </w:r>
      <w:r>
        <w:rPr>
          <w:rFonts w:ascii="Arial" w:cs="Arial" w:eastAsia="Arial" w:hAnsi="Arial"/>
          <w:sz w:val="21"/>
          <w:szCs w:val="21"/>
          <w:color w:val="auto"/>
        </w:rPr>
        <w:t>- California Resources Corporation (NYSE: CRC) today reported its financial and</w:t>
      </w:r>
      <w:r>
        <w:rPr>
          <w:rFonts w:ascii="Arial" w:cs="Arial" w:eastAsia="Arial" w:hAnsi="Arial"/>
          <w:sz w:val="21"/>
          <w:szCs w:val="21"/>
          <w:b w:val="1"/>
          <w:bCs w:val="1"/>
          <w:color w:val="auto"/>
        </w:rPr>
        <w:t xml:space="preserve"> </w:t>
      </w:r>
      <w:r>
        <w:rPr>
          <w:rFonts w:ascii="Arial" w:cs="Arial" w:eastAsia="Arial" w:hAnsi="Arial"/>
          <w:sz w:val="21"/>
          <w:szCs w:val="21"/>
          <w:color w:val="auto"/>
        </w:rPr>
        <w:t>operating results for the third quarter of 2026. The Company plans to host a conference call and webcast at 1 p.m. ET (10 a.m. PT) on Tuesday, November 3, 2026. Conference call details can be found within this release.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Third Quarter Highlights</w:t>
      </w:r>
    </w:p>
    <w:p>
      <w:pPr>
        <w:spacing w:after="0" w:line="280" w:lineRule="exact"/>
        <w:rPr>
          <w:sz w:val="20"/>
          <w:szCs w:val="20"/>
          <w:color w:val="auto"/>
        </w:rPr>
      </w:pPr>
    </w:p>
    <w:p>
      <w:pPr>
        <w:ind w:left="640" w:hanging="314"/>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Delivered average net production of 152 thousand barrels of oil equivalent per day (MBoe/d) (80% oil)</w:t>
      </w:r>
    </w:p>
    <w:p>
      <w:pPr>
        <w:spacing w:after="0" w:line="39" w:lineRule="exact"/>
        <w:rPr>
          <w:rFonts w:ascii="Arial" w:cs="Arial" w:eastAsia="Arial" w:hAnsi="Arial"/>
          <w:sz w:val="21"/>
          <w:szCs w:val="21"/>
          <w:color w:val="auto"/>
        </w:rPr>
      </w:pPr>
    </w:p>
    <w:p>
      <w:pPr>
        <w:jc w:val="both"/>
        <w:ind w:left="640" w:hanging="314"/>
        <w:spacing w:after="0" w:line="235"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Reported a net loss of $315 million which includes the non-cash loss of $540 million from changes in the fair value of outstanding commodity derivatives,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$104 million and $341 million of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which exceeded quarterly guidance</w:t>
      </w:r>
    </w:p>
    <w:p>
      <w:pPr>
        <w:ind w:left="640" w:hanging="314"/>
        <w:spacing w:after="0" w:line="24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$305 million, deployed $158 million of total capital and delivered $147 million of free cash flow</w:t>
      </w:r>
      <w:r>
        <w:rPr>
          <w:rFonts w:ascii="Arial" w:cs="Arial" w:eastAsia="Arial" w:hAnsi="Arial"/>
          <w:sz w:val="27"/>
          <w:szCs w:val="27"/>
          <w:color w:val="auto"/>
          <w:vertAlign w:val="superscript"/>
        </w:rPr>
        <w:t>1</w:t>
      </w:r>
    </w:p>
    <w:p>
      <w:pPr>
        <w:ind w:left="640" w:hanging="314"/>
        <w:spacing w:after="0" w:line="206"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Returned $66 million to shareholders, including $36 million in dividends and $30 million in share repurchases</w:t>
      </w:r>
      <w:r>
        <w:rPr>
          <w:rFonts w:ascii="Arial" w:cs="Arial" w:eastAsia="Arial" w:hAnsi="Arial"/>
          <w:sz w:val="27"/>
          <w:szCs w:val="27"/>
          <w:color w:val="auto"/>
          <w:vertAlign w:val="superscript"/>
        </w:rPr>
        <w:t>2</w:t>
      </w:r>
    </w:p>
    <w:p>
      <w:pPr>
        <w:ind w:left="640" w:hanging="314"/>
        <w:spacing w:after="0" w:line="24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Increased quarterly dividend by 4%, reinforcing commitment to sustainable shareholder returns; declared quarterly dividend of $0.42/share to be paid in the fourth quarter of 2026</w:t>
      </w:r>
      <w:r>
        <w:rPr>
          <w:rFonts w:ascii="Arial" w:cs="Arial" w:eastAsia="Arial" w:hAnsi="Arial"/>
          <w:sz w:val="27"/>
          <w:szCs w:val="27"/>
          <w:color w:val="auto"/>
          <w:vertAlign w:val="superscript"/>
        </w:rPr>
        <w:t>2</w:t>
      </w:r>
    </w:p>
    <w:p>
      <w:pPr>
        <w:ind w:left="640" w:hanging="314"/>
        <w:spacing w:after="0" w:line="296"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Ended the quarter with $1,280 million in borrowing capacity and $35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representing $1,315 million of liquidity</w:t>
      </w:r>
      <w:r>
        <w:rPr>
          <w:rFonts w:ascii="Arial" w:cs="Arial" w:eastAsia="Arial" w:hAnsi="Arial"/>
          <w:sz w:val="27"/>
          <w:szCs w:val="27"/>
          <w:color w:val="auto"/>
          <w:vertAlign w:val="superscript"/>
        </w:rPr>
        <w:t>1, 3</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Other Highlights</w:t>
      </w:r>
    </w:p>
    <w:p>
      <w:pPr>
        <w:spacing w:after="0" w:line="267" w:lineRule="exact"/>
        <w:rPr>
          <w:sz w:val="20"/>
          <w:szCs w:val="20"/>
          <w:color w:val="auto"/>
        </w:rPr>
      </w:pPr>
    </w:p>
    <w:p>
      <w:pPr>
        <w:jc w:val="both"/>
        <w:ind w:left="640" w:hanging="314"/>
        <w:spacing w:after="0" w:line="259"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Announced a memorandum of understanding</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(MOU) with Bloom Energy to jointly evaluate and target the potential development of 1 gigawatt (GW) or more of solid-oxide fuel cell power generation paired with carbon capture and storage. See </w:t>
      </w:r>
      <w:r>
        <w:rPr>
          <w:rFonts w:ascii="Arial" w:cs="Arial" w:eastAsia="Arial" w:hAnsi="Arial"/>
          <w:sz w:val="21"/>
          <w:szCs w:val="21"/>
          <w:i w:val="1"/>
          <w:iCs w:val="1"/>
          <w:color w:val="auto"/>
        </w:rPr>
        <w:t>California Resources Corporation Announces Strategic Collaboration with Bloom</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Energy to Advance Decarbonized Power Across California </w:t>
      </w:r>
      <w:r>
        <w:rPr>
          <w:rFonts w:ascii="Arial" w:cs="Arial" w:eastAsia="Arial" w:hAnsi="Arial"/>
          <w:sz w:val="21"/>
          <w:szCs w:val="21"/>
          <w:color w:val="auto"/>
        </w:rPr>
        <w:t>for additional information</w:t>
      </w:r>
    </w:p>
    <w:p>
      <w:pPr>
        <w:spacing w:after="0" w:line="3" w:lineRule="exact"/>
        <w:rPr>
          <w:rFonts w:ascii="Arial" w:cs="Arial" w:eastAsia="Arial" w:hAnsi="Arial"/>
          <w:sz w:val="21"/>
          <w:szCs w:val="21"/>
          <w:color w:val="auto"/>
        </w:rPr>
      </w:pPr>
    </w:p>
    <w:p>
      <w:pPr>
        <w:jc w:val="both"/>
        <w:ind w:left="640" w:hanging="314"/>
        <w:spacing w:after="0" w:line="286"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Signed agreement to divest its Uinta Basin (Utah) assets for total cash consideration of approximately $90 million, subject to customary purchase price adjustments. The transaction is expected to close by year-end, subject to certain third-party consents and other customary closing conditions. See </w:t>
      </w:r>
      <w:r>
        <w:rPr>
          <w:rFonts w:ascii="Arial" w:cs="Arial" w:eastAsia="Arial" w:hAnsi="Arial"/>
          <w:sz w:val="21"/>
          <w:szCs w:val="21"/>
          <w:i w:val="1"/>
          <w:iCs w:val="1"/>
          <w:color w:val="auto"/>
        </w:rPr>
        <w:t>California Resources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Corporation Announces Divestiture of Uinta Basin Assets </w:t>
      </w:r>
      <w:r>
        <w:rPr>
          <w:rFonts w:ascii="Arial" w:cs="Arial" w:eastAsia="Arial" w:hAnsi="Arial"/>
          <w:sz w:val="21"/>
          <w:szCs w:val="21"/>
          <w:color w:val="auto"/>
        </w:rPr>
        <w:t>for additional information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jc w:val="both"/>
        <w:ind w:left="640" w:hanging="314"/>
        <w:spacing w:after="0" w:line="277" w:lineRule="exact"/>
        <w:tabs>
          <w:tab w:leader="none" w:pos="635" w:val="left"/>
        </w:tabs>
        <w:numPr>
          <w:ilvl w:val="0"/>
          <w:numId w:val="4"/>
        </w:numPr>
        <w:rPr>
          <w:rFonts w:ascii="Arial" w:cs="Arial" w:eastAsia="Arial" w:hAnsi="Arial"/>
          <w:sz w:val="21"/>
          <w:szCs w:val="21"/>
          <w:i w:val="1"/>
          <w:iCs w:val="1"/>
          <w:color w:val="auto"/>
        </w:rPr>
      </w:pPr>
      <w:r>
        <w:rPr>
          <w:rFonts w:ascii="Arial" w:cs="Arial" w:eastAsia="Arial" w:hAnsi="Arial"/>
          <w:sz w:val="21"/>
          <w:szCs w:val="21"/>
          <w:color w:val="auto"/>
        </w:rPr>
        <w:t>Closed its all-cash acquisition of Crimson Midstream Holdings, LLC (“Crimson”), strengthening CRC’s Leading Energy Infrastructure Platform and expanding options for potential longer-term development of CO</w:t>
      </w:r>
      <w:r>
        <w:rPr>
          <w:rFonts w:ascii="MS PGothic" w:cs="MS PGothic" w:eastAsia="MS PGothic" w:hAnsi="MS PGothic"/>
          <w:sz w:val="21"/>
          <w:szCs w:val="21"/>
          <w:color w:val="auto"/>
        </w:rPr>
        <w:t>₂</w:t>
      </w:r>
      <w:r>
        <w:rPr>
          <w:rFonts w:ascii="Arial" w:cs="Arial" w:eastAsia="Arial" w:hAnsi="Arial"/>
          <w:sz w:val="21"/>
          <w:szCs w:val="21"/>
          <w:color w:val="auto"/>
        </w:rPr>
        <w:t xml:space="preserve"> transportation across California. See </w:t>
      </w:r>
      <w:r>
        <w:rPr>
          <w:rFonts w:ascii="Arial" w:cs="Arial" w:eastAsia="Arial" w:hAnsi="Arial"/>
          <w:sz w:val="21"/>
          <w:szCs w:val="21"/>
          <w:i w:val="1"/>
          <w:iCs w:val="1"/>
          <w:color w:val="auto"/>
        </w:rPr>
        <w:t>California Resources Corporation Completes Acquisition of Crimson</w:t>
      </w:r>
      <w:r>
        <w:rPr>
          <w:rFonts w:ascii="Arial" w:cs="Arial" w:eastAsia="Arial" w:hAnsi="Arial"/>
          <w:sz w:val="21"/>
          <w:szCs w:val="21"/>
          <w:color w:val="auto"/>
        </w:rPr>
        <w:t xml:space="preserve"> for additional information</w:t>
      </w:r>
    </w:p>
    <w:p>
      <w:pPr>
        <w:ind w:left="640" w:hanging="314"/>
        <w:spacing w:after="0"/>
        <w:tabs>
          <w:tab w:leader="none" w:pos="640" w:val="left"/>
        </w:tabs>
        <w:numPr>
          <w:ilvl w:val="0"/>
          <w:numId w:val="4"/>
        </w:numPr>
        <w:rPr>
          <w:rFonts w:ascii="Arial" w:cs="Arial" w:eastAsia="Arial" w:hAnsi="Arial"/>
          <w:sz w:val="21"/>
          <w:szCs w:val="21"/>
          <w:i w:val="1"/>
          <w:iCs w:val="1"/>
          <w:color w:val="auto"/>
        </w:rPr>
      </w:pPr>
      <w:r>
        <w:rPr>
          <w:rFonts w:ascii="Arial" w:cs="Arial" w:eastAsia="Arial" w:hAnsi="Arial"/>
          <w:sz w:val="21"/>
          <w:szCs w:val="21"/>
          <w:color w:val="auto"/>
        </w:rPr>
        <w:t>Published the 2025 Sustainability Update providing an overview of CRC's sustainability efforts and performance</w:t>
      </w:r>
    </w:p>
    <w:p>
      <w:pPr>
        <w:spacing w:after="0" w:line="264"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"Our team continues to execute exceptionally well through strong operational performance, synergy realization from our strategic initiatives and impressive free cash flow”, said Francisco Leon, CRC’s President and Chief Executive Officer. “Through continued capital discipline and the ongoing focus on sustainable efficiency gains, we are improving free cash flow and our liquidity profile. In addition, we remain committed to our shareholder capital return program with share repurchases and dividends, the latter demonstrated by the 4% dividend per share increase we announced today. We have also made significant progress on strategic priorities, including the Crimson pipeline acquisition, along with the Uinta Basin asset sale and Bloom Energy partnership. These initiatives broaden and strengthen our commitment to the Golden State while continuing to deliver value to all CRC constituents including our shareholders and California communities.”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Third Quarter 2026 Results</w:t>
      </w:r>
    </w:p>
    <w:p>
      <w:pPr>
        <w:spacing w:after="0" w:line="254" w:lineRule="exact"/>
        <w:rPr>
          <w:sz w:val="20"/>
          <w:szCs w:val="20"/>
          <w:color w:val="auto"/>
        </w:rPr>
      </w:pPr>
    </w:p>
    <w:p>
      <w:pPr>
        <w:jc w:val="both"/>
        <w:ind w:left="640" w:hanging="314"/>
        <w:spacing w:after="0" w:line="27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Net NGL and natural gas production exceeded guidance by approximately 1 MBoe/d, supported by the new Belridge-Elk Hills connection and California’s first carbon capture and storage (CCS) project at CRC’s Elk Hills Cryogenic Gas Plant, which led to increased gas processing and NGL recovery</w:t>
      </w:r>
    </w:p>
    <w:p>
      <w:pPr>
        <w:spacing w:after="0" w:line="1" w:lineRule="exact"/>
        <w:rPr>
          <w:rFonts w:ascii="Arial" w:cs="Arial" w:eastAsia="Arial" w:hAnsi="Arial"/>
          <w:sz w:val="21"/>
          <w:szCs w:val="21"/>
          <w:color w:val="auto"/>
        </w:rPr>
      </w:pPr>
    </w:p>
    <w:p>
      <w:pPr>
        <w:jc w:val="both"/>
        <w:ind w:left="640" w:hanging="314"/>
        <w:spacing w:after="0" w:line="273"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Electricity revenue net of electricity generation expenses exceeded guidance primarily due to higher prices for resource adequacy revenue and sales from electricity delivered to the wholesale market as Elk Hills power plant ran at a higher operational capacity</w:t>
      </w:r>
    </w:p>
    <w:p>
      <w:pPr>
        <w:spacing w:after="0" w:line="2" w:lineRule="exact"/>
        <w:rPr>
          <w:rFonts w:ascii="Arial" w:cs="Arial" w:eastAsia="Arial" w:hAnsi="Arial"/>
          <w:sz w:val="21"/>
          <w:szCs w:val="21"/>
          <w:color w:val="auto"/>
        </w:rPr>
      </w:pPr>
    </w:p>
    <w:p>
      <w:pPr>
        <w:ind w:left="640" w:right="20" w:hanging="314"/>
        <w:spacing w:after="0" w:line="316"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Operating expenses were higher than anticipated and increased over the prior period, primarily due to higher prices for natural gas purchased and used in steamflood operations, and higher workover activity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 Production, Price and Financial Results and Non-GAAP Measures</w:t>
            </w:r>
          </w:p>
        </w:tc>
        <w:tc>
          <w:tcPr>
            <w:tcW w:w="5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2nd Quarter</w:t>
            </w:r>
          </w:p>
        </w:tc>
      </w:tr>
      <w:tr>
        <w:trPr>
          <w:trHeight w:val="201"/>
        </w:trPr>
        <w:tc>
          <w:tcPr>
            <w:tcW w:w="83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in millions except production and prices)</w:t>
            </w: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69"/>
              <w:spacing w:after="0"/>
              <w:rPr>
                <w:sz w:val="20"/>
                <w:szCs w:val="20"/>
                <w:color w:val="auto"/>
              </w:rPr>
            </w:pPr>
            <w:r>
              <w:rPr>
                <w:rFonts w:ascii="Arial" w:cs="Arial" w:eastAsia="Arial" w:hAnsi="Arial"/>
                <w:sz w:val="14"/>
                <w:szCs w:val="14"/>
                <w:color w:val="auto"/>
              </w:rPr>
              <w:t>2026</w:t>
            </w:r>
          </w:p>
        </w:tc>
      </w:tr>
      <w:tr>
        <w:trPr>
          <w:trHeight w:val="193"/>
        </w:trPr>
        <w:tc>
          <w:tcPr>
            <w:tcW w:w="8300" w:type="dxa"/>
            <w:vAlign w:val="bottom"/>
          </w:tcPr>
          <w:p>
            <w:pPr>
              <w:ind w:left="20"/>
              <w:spacing w:after="0"/>
              <w:rPr>
                <w:sz w:val="20"/>
                <w:szCs w:val="20"/>
                <w:color w:val="auto"/>
              </w:rPr>
            </w:pPr>
            <w:r>
              <w:rPr>
                <w:rFonts w:ascii="Arial" w:cs="Arial" w:eastAsia="Arial" w:hAnsi="Arial"/>
                <w:sz w:val="14"/>
                <w:szCs w:val="14"/>
                <w:color w:val="auto"/>
              </w:rPr>
              <w:t>Net oil production per day (MBbl/d)</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00"/>
        </w:trPr>
        <w:tc>
          <w:tcPr>
            <w:tcW w:w="8300" w:type="dxa"/>
            <w:vAlign w:val="bottom"/>
          </w:tcPr>
          <w:p>
            <w:pPr>
              <w:ind w:left="240"/>
              <w:spacing w:after="0"/>
              <w:rPr>
                <w:sz w:val="20"/>
                <w:szCs w:val="20"/>
                <w:color w:val="auto"/>
              </w:rPr>
            </w:pPr>
            <w:r>
              <w:rPr>
                <w:rFonts w:ascii="Arial" w:cs="Arial" w:eastAsia="Arial" w:hAnsi="Arial"/>
                <w:sz w:val="14"/>
                <w:szCs w:val="14"/>
                <w:color w:val="auto"/>
              </w:rPr>
              <w:t>Realized oil price without derivative settlements ($ per Bbl)</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83.42</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91.55</w:t>
            </w:r>
          </w:p>
        </w:tc>
      </w:tr>
      <w:tr>
        <w:trPr>
          <w:trHeight w:val="205"/>
        </w:trPr>
        <w:tc>
          <w:tcPr>
            <w:tcW w:w="8300" w:type="dxa"/>
            <w:vAlign w:val="bottom"/>
          </w:tcPr>
          <w:p>
            <w:pPr>
              <w:ind w:left="240"/>
              <w:spacing w:after="0" w:line="205" w:lineRule="exact"/>
              <w:rPr>
                <w:sz w:val="20"/>
                <w:szCs w:val="20"/>
                <w:color w:val="auto"/>
              </w:rPr>
            </w:pPr>
            <w:r>
              <w:rPr>
                <w:rFonts w:ascii="Arial" w:cs="Arial" w:eastAsia="Arial" w:hAnsi="Arial"/>
                <w:sz w:val="14"/>
                <w:szCs w:val="14"/>
                <w:color w:val="auto"/>
              </w:rPr>
              <w:t>Realized oil price with derivative settlements ($ per Bbl)</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72.46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76.43</w:t>
            </w:r>
          </w:p>
        </w:tc>
      </w:tr>
      <w:tr>
        <w:trPr>
          <w:trHeight w:val="195"/>
        </w:trPr>
        <w:tc>
          <w:tcPr>
            <w:tcW w:w="8300" w:type="dxa"/>
            <w:vAlign w:val="bottom"/>
          </w:tcPr>
          <w:p>
            <w:pPr>
              <w:ind w:left="20"/>
              <w:spacing w:after="0"/>
              <w:rPr>
                <w:sz w:val="20"/>
                <w:szCs w:val="20"/>
                <w:color w:val="auto"/>
              </w:rPr>
            </w:pPr>
            <w:r>
              <w:rPr>
                <w:rFonts w:ascii="Arial" w:cs="Arial" w:eastAsia="Arial" w:hAnsi="Arial"/>
                <w:sz w:val="14"/>
                <w:szCs w:val="14"/>
                <w:color w:val="auto"/>
              </w:rPr>
              <w:t>Net NGL production per day (MBbl/d)</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0"/>
        </w:trPr>
        <w:tc>
          <w:tcPr>
            <w:tcW w:w="8300" w:type="dxa"/>
            <w:vAlign w:val="bottom"/>
          </w:tcPr>
          <w:p>
            <w:pPr>
              <w:ind w:left="240"/>
              <w:spacing w:after="0"/>
              <w:rPr>
                <w:sz w:val="20"/>
                <w:szCs w:val="20"/>
                <w:color w:val="auto"/>
              </w:rPr>
            </w:pPr>
            <w:r>
              <w:rPr>
                <w:rFonts w:ascii="Arial" w:cs="Arial" w:eastAsia="Arial" w:hAnsi="Arial"/>
                <w:sz w:val="14"/>
                <w:szCs w:val="14"/>
                <w:color w:val="auto"/>
              </w:rPr>
              <w:t>Realized NGL price ($ per Bbl)</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48.57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49.62</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Net natural gas production per day (Mmcf/d)</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0"/>
        </w:trPr>
        <w:tc>
          <w:tcPr>
            <w:tcW w:w="8300" w:type="dxa"/>
            <w:vAlign w:val="bottom"/>
          </w:tcPr>
          <w:p>
            <w:pPr>
              <w:ind w:left="240"/>
              <w:spacing w:after="0"/>
              <w:rPr>
                <w:sz w:val="20"/>
                <w:szCs w:val="20"/>
                <w:color w:val="auto"/>
              </w:rPr>
            </w:pPr>
            <w:r>
              <w:rPr>
                <w:rFonts w:ascii="Arial" w:cs="Arial" w:eastAsia="Arial" w:hAnsi="Arial"/>
                <w:sz w:val="14"/>
                <w:szCs w:val="14"/>
                <w:color w:val="auto"/>
              </w:rPr>
              <w:t>Realized natural gas price ($ per Mcf)</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Net total production per day (MBoe/d)</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96"/>
        </w:trPr>
        <w:tc>
          <w:tcPr>
            <w:tcW w:w="8300" w:type="dxa"/>
            <w:vAlign w:val="bottom"/>
          </w:tcPr>
          <w:p>
            <w:pPr>
              <w:ind w:left="20"/>
              <w:spacing w:after="0"/>
              <w:rPr>
                <w:sz w:val="20"/>
                <w:szCs w:val="20"/>
                <w:color w:val="auto"/>
              </w:rPr>
            </w:pPr>
            <w:r>
              <w:rPr>
                <w:rFonts w:ascii="Arial" w:cs="Arial" w:eastAsia="Arial" w:hAnsi="Arial"/>
                <w:sz w:val="14"/>
                <w:szCs w:val="14"/>
                <w:color w:val="auto"/>
              </w:rPr>
              <w:t>Margin from purchased commodities</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8300" w:type="dxa"/>
            <w:vAlign w:val="bottom"/>
          </w:tcPr>
          <w:p>
            <w:pPr>
              <w:ind w:left="20"/>
              <w:spacing w:after="0" w:line="200" w:lineRule="exact"/>
              <w:rPr>
                <w:sz w:val="20"/>
                <w:szCs w:val="20"/>
                <w:color w:val="auto"/>
              </w:rPr>
            </w:pPr>
            <w:r>
              <w:rPr>
                <w:rFonts w:ascii="Arial" w:cs="Arial" w:eastAsia="Arial" w:hAnsi="Arial"/>
                <w:sz w:val="14"/>
                <w:szCs w:val="14"/>
                <w:color w:val="auto"/>
              </w:rPr>
              <w:t>Electricity revenue net of electricity generation expenses</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8300" w:type="dxa"/>
            <w:vAlign w:val="bottom"/>
          </w:tcPr>
          <w:p>
            <w:pPr>
              <w:ind w:left="20"/>
              <w:spacing w:after="0" w:line="200" w:lineRule="exact"/>
              <w:rPr>
                <w:sz w:val="20"/>
                <w:szCs w:val="20"/>
                <w:color w:val="auto"/>
              </w:rPr>
            </w:pPr>
            <w:r>
              <w:rPr>
                <w:rFonts w:ascii="Arial" w:cs="Arial" w:eastAsia="Arial" w:hAnsi="Arial"/>
                <w:sz w:val="14"/>
                <w:szCs w:val="14"/>
                <w:color w:val="auto"/>
              </w:rPr>
              <w:t>Net (loss) gain from commodity sales derivatives</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98"/>
        </w:trPr>
        <w:tc>
          <w:tcPr>
            <w:tcW w:w="8300" w:type="dxa"/>
            <w:vAlign w:val="bottom"/>
          </w:tcPr>
          <w:p>
            <w:pPr>
              <w:ind w:left="20"/>
              <w:spacing w:after="0" w:line="198" w:lineRule="exact"/>
              <w:rPr>
                <w:sz w:val="20"/>
                <w:szCs w:val="20"/>
                <w:color w:val="auto"/>
              </w:rPr>
            </w:pPr>
            <w:r>
              <w:rPr>
                <w:rFonts w:ascii="Arial" w:cs="Arial" w:eastAsia="Arial" w:hAnsi="Arial"/>
                <w:sz w:val="14"/>
                <w:szCs w:val="14"/>
                <w:color w:val="auto"/>
              </w:rPr>
              <w:t>Other operating expenses net of other revenue</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8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 Financial Statement Data and Non-GAAP Measures:</w:t>
            </w:r>
          </w:p>
        </w:tc>
        <w:tc>
          <w:tcPr>
            <w:tcW w:w="64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2nd Quarter</w:t>
            </w:r>
          </w:p>
        </w:tc>
      </w:tr>
      <w:tr>
        <w:trPr>
          <w:trHeight w:val="201"/>
        </w:trPr>
        <w:tc>
          <w:tcPr>
            <w:tcW w:w="8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and shares in millions, except per share amounts)</w:t>
            </w:r>
          </w:p>
        </w:tc>
        <w:tc>
          <w:tcPr>
            <w:tcW w:w="6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69"/>
              <w:spacing w:after="0"/>
              <w:rPr>
                <w:sz w:val="20"/>
                <w:szCs w:val="20"/>
                <w:color w:val="auto"/>
              </w:rPr>
            </w:pPr>
            <w:r>
              <w:rPr>
                <w:rFonts w:ascii="Arial" w:cs="Arial" w:eastAsia="Arial" w:hAnsi="Arial"/>
                <w:sz w:val="14"/>
                <w:szCs w:val="14"/>
                <w:color w:val="auto"/>
              </w:rPr>
              <w:t>2026</w:t>
            </w:r>
          </w:p>
        </w:tc>
      </w:tr>
      <w:tr>
        <w:trPr>
          <w:trHeight w:val="241"/>
        </w:trPr>
        <w:tc>
          <w:tcPr>
            <w:tcW w:w="8220" w:type="dxa"/>
            <w:vAlign w:val="bottom"/>
          </w:tcPr>
          <w:p>
            <w:pPr>
              <w:ind w:left="20"/>
              <w:spacing w:after="0"/>
              <w:rPr>
                <w:sz w:val="20"/>
                <w:szCs w:val="20"/>
                <w:color w:val="auto"/>
              </w:rPr>
            </w:pPr>
            <w:r>
              <w:rPr>
                <w:rFonts w:ascii="Arial" w:cs="Arial" w:eastAsia="Arial" w:hAnsi="Arial"/>
                <w:sz w:val="14"/>
                <w:szCs w:val="14"/>
                <w:color w:val="auto"/>
              </w:rPr>
              <w:t>Total operating revenues before net (loss) gain from commodity derivatives</w:t>
            </w:r>
            <w:r>
              <w:rPr>
                <w:rFonts w:ascii="Arial" w:cs="Arial" w:eastAsia="Arial" w:hAnsi="Arial"/>
                <w:sz w:val="18"/>
                <w:szCs w:val="1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1,096</w:t>
            </w:r>
          </w:p>
        </w:tc>
        <w:tc>
          <w:tcPr>
            <w:tcW w:w="120" w:type="dxa"/>
            <w:vAlign w:val="bottom"/>
            <w:tcBorders>
              <w:right w:val="single" w:sz="8" w:color="auto"/>
            </w:tcBorders>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1,092</w:t>
            </w:r>
          </w:p>
        </w:tc>
      </w:tr>
      <w:tr>
        <w:trPr>
          <w:trHeight w:val="258"/>
        </w:trPr>
        <w:tc>
          <w:tcPr>
            <w:tcW w:w="8220" w:type="dxa"/>
            <w:vAlign w:val="bottom"/>
          </w:tcPr>
          <w:p>
            <w:pPr>
              <w:ind w:left="20"/>
              <w:spacing w:after="0"/>
              <w:rPr>
                <w:sz w:val="20"/>
                <w:szCs w:val="20"/>
                <w:color w:val="auto"/>
              </w:rPr>
            </w:pPr>
            <w:r>
              <w:rPr>
                <w:rFonts w:ascii="Arial" w:cs="Arial" w:eastAsia="Arial" w:hAnsi="Arial"/>
                <w:sz w:val="14"/>
                <w:szCs w:val="14"/>
                <w:color w:val="auto"/>
              </w:rPr>
              <w:t>Operating costs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386</w:t>
            </w:r>
          </w:p>
        </w:tc>
        <w:tc>
          <w:tcPr>
            <w:tcW w:w="120" w:type="dxa"/>
            <w:vAlign w:val="bottom"/>
            <w:tcBorders>
              <w:right w:val="single" w:sz="8" w:color="auto"/>
            </w:tcBorders>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5"/>
        </w:trPr>
        <w:tc>
          <w:tcPr>
            <w:tcW w:w="8220" w:type="dxa"/>
            <w:vAlign w:val="bottom"/>
          </w:tcPr>
          <w:p>
            <w:pPr>
              <w:ind w:left="14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79</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89</w:t>
            </w:r>
          </w:p>
        </w:tc>
      </w:tr>
      <w:tr>
        <w:trPr>
          <w:trHeight w:val="195"/>
        </w:trPr>
        <w:tc>
          <w:tcPr>
            <w:tcW w:w="8220" w:type="dxa"/>
            <w:vAlign w:val="bottom"/>
          </w:tcPr>
          <w:p>
            <w:pPr>
              <w:ind w:left="20"/>
              <w:spacing w:after="0"/>
              <w:rPr>
                <w:sz w:val="20"/>
                <w:szCs w:val="20"/>
                <w:color w:val="auto"/>
              </w:rPr>
            </w:pPr>
            <w:r>
              <w:rPr>
                <w:rFonts w:ascii="Arial" w:cs="Arial" w:eastAsia="Arial" w:hAnsi="Arial"/>
                <w:sz w:val="14"/>
                <w:szCs w:val="14"/>
                <w:color w:val="auto"/>
              </w:rPr>
              <w:t>Taxes other than on income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color w:val="auto"/>
              </w:rPr>
              <w:t>Transportation costs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color w:val="auto"/>
              </w:rPr>
              <w:t>Interest and debt expense, net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0"/>
        </w:trPr>
        <w:tc>
          <w:tcPr>
            <w:tcW w:w="8220" w:type="dxa"/>
            <w:vAlign w:val="bottom"/>
          </w:tcPr>
          <w:p>
            <w:pPr>
              <w:ind w:left="140"/>
              <w:spacing w:after="0"/>
              <w:rPr>
                <w:sz w:val="20"/>
                <w:szCs w:val="20"/>
                <w:color w:val="auto"/>
              </w:rPr>
            </w:pPr>
            <w:r>
              <w:rPr>
                <w:rFonts w:ascii="Arial" w:cs="Arial" w:eastAsia="Arial" w:hAnsi="Arial"/>
                <w:sz w:val="14"/>
                <w:szCs w:val="14"/>
                <w:i w:val="1"/>
                <w:iCs w:val="1"/>
                <w:color w:val="auto"/>
              </w:rPr>
              <w:t>Deferred income tax benefit</w:t>
            </w:r>
          </w:p>
        </w:tc>
        <w:tc>
          <w:tcPr>
            <w:tcW w:w="6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(113)</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(55)</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Net (loss) income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 - diluted</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200"/>
        </w:trPr>
        <w:tc>
          <w:tcPr>
            <w:tcW w:w="8220" w:type="dxa"/>
            <w:vAlign w:val="bottom"/>
          </w:tcPr>
          <w:p>
            <w:pPr>
              <w:ind w:left="20"/>
              <w:spacing w:after="0"/>
              <w:rPr>
                <w:sz w:val="20"/>
                <w:szCs w:val="20"/>
                <w:color w:val="auto"/>
              </w:rPr>
            </w:pPr>
            <w:r>
              <w:rPr>
                <w:rFonts w:ascii="Arial" w:cs="Arial" w:eastAsia="Arial" w:hAnsi="Arial"/>
                <w:sz w:val="14"/>
                <w:szCs w:val="14"/>
                <w:color w:val="auto"/>
              </w:rPr>
              <w:t>Net (loss) income per share - diluted</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5.76</w:t>
            </w:r>
          </w:p>
        </w:tc>
      </w:tr>
      <w:tr>
        <w:trPr>
          <w:trHeight w:val="310"/>
        </w:trPr>
        <w:tc>
          <w:tcPr>
            <w:tcW w:w="8220" w:type="dxa"/>
            <w:vAlign w:val="bottom"/>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2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2"/>
        </w:trPr>
        <w:tc>
          <w:tcPr>
            <w:tcW w:w="8220" w:type="dxa"/>
            <w:vAlign w:val="bottom"/>
          </w:tcPr>
          <w:p>
            <w:pPr>
              <w:ind w:left="20"/>
              <w:spacing w:after="0" w:line="202" w:lineRule="exact"/>
              <w:rPr>
                <w:sz w:val="20"/>
                <w:szCs w:val="20"/>
                <w:color w:val="auto"/>
              </w:rPr>
            </w:pPr>
            <w:r>
              <w:rPr>
                <w:rFonts w:ascii="Arial" w:cs="Arial" w:eastAsia="Arial" w:hAnsi="Arial"/>
                <w:sz w:val="14"/>
                <w:szCs w:val="14"/>
                <w:color w:val="auto"/>
              </w:rPr>
              <w:t>Adjusted net income per share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diluted</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0.99</w:t>
            </w:r>
          </w:p>
        </w:tc>
      </w:tr>
      <w:tr>
        <w:trPr>
          <w:trHeight w:val="195"/>
        </w:trPr>
        <w:tc>
          <w:tcPr>
            <w:tcW w:w="82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05"/>
        </w:trPr>
        <w:tc>
          <w:tcPr>
            <w:tcW w:w="8220" w:type="dxa"/>
            <w:vAlign w:val="bottom"/>
          </w:tcPr>
          <w:p>
            <w:pPr>
              <w:ind w:left="20"/>
              <w:spacing w:after="0" w:line="205" w:lineRule="exact"/>
              <w:rPr>
                <w:sz w:val="20"/>
                <w:szCs w:val="20"/>
                <w:color w:val="auto"/>
              </w:rPr>
            </w:pPr>
            <w:r>
              <w:rPr>
                <w:rFonts w:ascii="Arial" w:cs="Arial" w:eastAsia="Arial" w:hAnsi="Arial"/>
                <w:sz w:val="14"/>
                <w:szCs w:val="14"/>
                <w:color w:val="auto"/>
              </w:rPr>
              <w:t>Net cash provided by operating activities before net changes in operating assets and liabilities</w:t>
            </w:r>
            <w:r>
              <w:rPr>
                <w:rFonts w:ascii="Arial" w:cs="Arial" w:eastAsia="Arial" w:hAnsi="Arial"/>
                <w:sz w:val="18"/>
                <w:szCs w:val="1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300</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195"/>
        </w:trPr>
        <w:tc>
          <w:tcPr>
            <w:tcW w:w="8220" w:type="dxa"/>
            <w:vAlign w:val="bottom"/>
          </w:tcPr>
          <w:p>
            <w:pPr>
              <w:ind w:left="20"/>
              <w:spacing w:after="0"/>
              <w:rPr>
                <w:sz w:val="20"/>
                <w:szCs w:val="20"/>
                <w:color w:val="auto"/>
              </w:rPr>
            </w:pPr>
            <w:r>
              <w:rPr>
                <w:rFonts w:ascii="Arial" w:cs="Arial" w:eastAsia="Arial" w:hAnsi="Arial"/>
                <w:sz w:val="14"/>
                <w:szCs w:val="14"/>
                <w:color w:val="auto"/>
              </w:rPr>
              <w:t>Capital investments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c>
          <w:tcPr>
            <w:tcW w:w="120" w:type="dxa"/>
            <w:vAlign w:val="bottom"/>
            <w:tcBorders>
              <w:right w:val="single" w:sz="8" w:color="auto"/>
            </w:tcBorders>
          </w:tcPr>
          <w:p>
            <w:pPr>
              <w:spacing w:after="0"/>
              <w:rPr>
                <w:sz w:val="16"/>
                <w:szCs w:val="16"/>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3"/>
        </w:trPr>
        <w:tc>
          <w:tcPr>
            <w:tcW w:w="8220" w:type="dxa"/>
            <w:vAlign w:val="bottom"/>
          </w:tcPr>
          <w:p>
            <w:pPr>
              <w:ind w:left="20"/>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198"/>
        </w:trPr>
        <w:tc>
          <w:tcPr>
            <w:tcW w:w="8220" w:type="dxa"/>
            <w:vAlign w:val="bottom"/>
          </w:tcPr>
          <w:p>
            <w:pPr>
              <w:ind w:left="20"/>
              <w:spacing w:after="0" w:line="198"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2026 Guidance and Preliminary 2027 Outlook</w:t>
      </w:r>
    </w:p>
    <w:p>
      <w:pPr>
        <w:spacing w:after="0" w:line="236" w:lineRule="exact"/>
        <w:rPr>
          <w:sz w:val="20"/>
          <w:szCs w:val="20"/>
          <w:color w:val="auto"/>
        </w:rPr>
      </w:pPr>
    </w:p>
    <w:p>
      <w:pPr>
        <w:jc w:val="both"/>
        <w:ind w:firstLine="320"/>
        <w:spacing w:after="0" w:line="233" w:lineRule="auto"/>
        <w:rPr>
          <w:sz w:val="20"/>
          <w:szCs w:val="20"/>
          <w:color w:val="auto"/>
        </w:rPr>
      </w:pPr>
      <w:r>
        <w:rPr>
          <w:rFonts w:ascii="Arial" w:cs="Arial" w:eastAsia="Arial" w:hAnsi="Arial"/>
          <w:sz w:val="21"/>
          <w:szCs w:val="21"/>
          <w:color w:val="auto"/>
        </w:rPr>
        <w:t>The following table provides select fourth quarter 2026E guidance</w:t>
      </w:r>
      <w:r>
        <w:rPr>
          <w:rFonts w:ascii="Arial" w:cs="Arial" w:eastAsia="Arial" w:hAnsi="Arial"/>
          <w:sz w:val="27"/>
          <w:szCs w:val="27"/>
          <w:color w:val="auto"/>
          <w:vertAlign w:val="superscript"/>
        </w:rPr>
        <w:t>5</w:t>
      </w:r>
      <w:r>
        <w:rPr>
          <w:rFonts w:ascii="Arial" w:cs="Arial" w:eastAsia="Arial" w:hAnsi="Arial"/>
          <w:sz w:val="21"/>
          <w:szCs w:val="21"/>
          <w:color w:val="auto"/>
        </w:rPr>
        <w:t>. Guidance includes the financial results of the Uinta Basin through year-end 2026, while the preliminary 2027 outlook excludes the Uinta. CRC ran an average of five rigs during the third quarter of 2026 and similarly, expects to run an average of five rigs during the fourth quarter of 2026. CRC plans to enter 2027 with six rigs in California. See Attachment 2 for CRC's fourth quarter 2026E guidance.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CRC Guidance</w:t>
            </w:r>
          </w:p>
        </w:tc>
        <w:tc>
          <w:tcPr>
            <w:tcW w:w="5200" w:type="dxa"/>
            <w:vAlign w:val="bottom"/>
            <w:tcBorders>
              <w:top w:val="single" w:sz="8" w:color="auto"/>
              <w:bottom w:val="single" w:sz="8" w:color="auto"/>
            </w:tcBorders>
            <w:gridSpan w:val="2"/>
            <w:shd w:val="clear" w:color="auto" w:fill="DBDBDB"/>
          </w:tcPr>
          <w:p>
            <w:pPr>
              <w:jc w:val="center"/>
              <w:ind w:left="3369"/>
              <w:spacing w:after="0"/>
              <w:rPr>
                <w:sz w:val="20"/>
                <w:szCs w:val="20"/>
                <w:color w:val="auto"/>
              </w:rPr>
            </w:pPr>
            <w:r>
              <w:rPr>
                <w:rFonts w:ascii="Arial" w:cs="Arial" w:eastAsia="Arial" w:hAnsi="Arial"/>
                <w:sz w:val="14"/>
                <w:szCs w:val="14"/>
                <w:b w:val="1"/>
                <w:bCs w:val="1"/>
                <w:color w:val="auto"/>
              </w:rPr>
              <w:t>4Q26E</w:t>
            </w:r>
          </w:p>
        </w:tc>
      </w:tr>
      <w:tr>
        <w:trPr>
          <w:trHeight w:val="187"/>
        </w:trPr>
        <w:tc>
          <w:tcPr>
            <w:tcW w:w="6040" w:type="dxa"/>
            <w:vAlign w:val="bottom"/>
          </w:tcPr>
          <w:p>
            <w:pPr>
              <w:ind w:left="140"/>
              <w:spacing w:after="0"/>
              <w:rPr>
                <w:sz w:val="20"/>
                <w:szCs w:val="20"/>
                <w:color w:val="auto"/>
              </w:rPr>
            </w:pPr>
            <w:r>
              <w:rPr>
                <w:rFonts w:ascii="Arial" w:cs="Arial" w:eastAsia="Arial" w:hAnsi="Arial"/>
                <w:sz w:val="14"/>
                <w:szCs w:val="14"/>
                <w:color w:val="auto"/>
              </w:rPr>
              <w:t>Net Production (MBoe/d)</w:t>
            </w:r>
          </w:p>
        </w:tc>
        <w:tc>
          <w:tcPr>
            <w:tcW w:w="4280" w:type="dxa"/>
            <w:vAlign w:val="bottom"/>
          </w:tcPr>
          <w:p>
            <w:pPr>
              <w:jc w:val="right"/>
              <w:spacing w:after="0"/>
              <w:rPr>
                <w:sz w:val="20"/>
                <w:szCs w:val="20"/>
                <w:color w:val="auto"/>
              </w:rPr>
            </w:pPr>
            <w:r>
              <w:rPr>
                <w:rFonts w:ascii="Arial" w:cs="Arial" w:eastAsia="Arial" w:hAnsi="Arial"/>
                <w:sz w:val="14"/>
                <w:szCs w:val="14"/>
                <w:color w:val="auto"/>
              </w:rPr>
              <w:t>150</w:t>
            </w:r>
          </w:p>
        </w:tc>
        <w:tc>
          <w:tcPr>
            <w:tcW w:w="920" w:type="dxa"/>
            <w:vAlign w:val="bottom"/>
          </w:tcPr>
          <w:p>
            <w:pPr>
              <w:ind w:left="20"/>
              <w:spacing w:after="0"/>
              <w:rPr>
                <w:sz w:val="20"/>
                <w:szCs w:val="20"/>
                <w:color w:val="auto"/>
              </w:rPr>
            </w:pPr>
            <w:r>
              <w:rPr>
                <w:rFonts w:ascii="Arial" w:cs="Arial" w:eastAsia="Arial" w:hAnsi="Arial"/>
                <w:sz w:val="14"/>
                <w:szCs w:val="14"/>
                <w:color w:val="auto"/>
              </w:rPr>
              <w:t>- 152</w:t>
            </w:r>
          </w:p>
        </w:tc>
      </w:tr>
      <w:tr>
        <w:trPr>
          <w:trHeight w:val="213"/>
        </w:trPr>
        <w:tc>
          <w:tcPr>
            <w:tcW w:w="6040" w:type="dxa"/>
            <w:vAlign w:val="bottom"/>
          </w:tcPr>
          <w:p>
            <w:pPr>
              <w:ind w:left="140"/>
              <w:spacing w:after="0"/>
              <w:rPr>
                <w:sz w:val="20"/>
                <w:szCs w:val="20"/>
                <w:color w:val="auto"/>
              </w:rPr>
            </w:pPr>
            <w:r>
              <w:rPr>
                <w:rFonts w:ascii="Arial" w:cs="Arial" w:eastAsia="Arial" w:hAnsi="Arial"/>
                <w:sz w:val="14"/>
                <w:szCs w:val="14"/>
                <w:color w:val="auto"/>
              </w:rPr>
              <w:t>Percentage Oil</w:t>
            </w:r>
          </w:p>
        </w:tc>
        <w:tc>
          <w:tcPr>
            <w:tcW w:w="5200" w:type="dxa"/>
            <w:vAlign w:val="bottom"/>
            <w:gridSpan w:val="2"/>
          </w:tcPr>
          <w:p>
            <w:pPr>
              <w:jc w:val="center"/>
              <w:ind w:left="3369"/>
              <w:spacing w:after="0"/>
              <w:rPr>
                <w:sz w:val="20"/>
                <w:szCs w:val="20"/>
                <w:color w:val="auto"/>
              </w:rPr>
            </w:pPr>
            <w:r>
              <w:rPr>
                <w:rFonts w:ascii="Arial" w:cs="Arial" w:eastAsia="Arial" w:hAnsi="Arial"/>
                <w:sz w:val="14"/>
                <w:szCs w:val="14"/>
                <w:color w:val="auto"/>
                <w:w w:val="99"/>
              </w:rPr>
              <w:t>79%</w:t>
            </w:r>
          </w:p>
        </w:tc>
      </w:tr>
      <w:tr>
        <w:trPr>
          <w:trHeight w:val="213"/>
        </w:trPr>
        <w:tc>
          <w:tcPr>
            <w:tcW w:w="6040" w:type="dxa"/>
            <w:vAlign w:val="bottom"/>
          </w:tcPr>
          <w:p>
            <w:pPr>
              <w:ind w:left="140"/>
              <w:spacing w:after="0"/>
              <w:rPr>
                <w:sz w:val="20"/>
                <w:szCs w:val="20"/>
                <w:color w:val="auto"/>
              </w:rPr>
            </w:pPr>
            <w:r>
              <w:rPr>
                <w:rFonts w:ascii="Arial" w:cs="Arial" w:eastAsia="Arial" w:hAnsi="Arial"/>
                <w:sz w:val="14"/>
                <w:szCs w:val="14"/>
                <w:color w:val="auto"/>
              </w:rPr>
              <w:t>Capital Investments ($ millions)</w:t>
            </w:r>
          </w:p>
        </w:tc>
        <w:tc>
          <w:tcPr>
            <w:tcW w:w="5200" w:type="dxa"/>
            <w:vAlign w:val="bottom"/>
            <w:gridSpan w:val="2"/>
          </w:tcPr>
          <w:p>
            <w:pPr>
              <w:jc w:val="center"/>
              <w:ind w:left="3349"/>
              <w:spacing w:after="0"/>
              <w:rPr>
                <w:sz w:val="20"/>
                <w:szCs w:val="20"/>
                <w:color w:val="auto"/>
              </w:rPr>
            </w:pPr>
            <w:r>
              <w:rPr>
                <w:rFonts w:ascii="Arial" w:cs="Arial" w:eastAsia="Arial" w:hAnsi="Arial"/>
                <w:sz w:val="14"/>
                <w:szCs w:val="14"/>
                <w:color w:val="auto"/>
                <w:w w:val="98"/>
              </w:rPr>
              <w:t>$110 - $130</w:t>
            </w:r>
          </w:p>
        </w:tc>
      </w:tr>
      <w:tr>
        <w:trPr>
          <w:trHeight w:val="213"/>
        </w:trPr>
        <w:tc>
          <w:tcPr>
            <w:tcW w:w="6040" w:type="dxa"/>
            <w:vAlign w:val="bottom"/>
          </w:tcPr>
          <w:p>
            <w:pPr>
              <w:ind w:left="140"/>
              <w:spacing w:after="0"/>
              <w:rPr>
                <w:sz w:val="20"/>
                <w:szCs w:val="20"/>
                <w:color w:val="auto"/>
              </w:rPr>
            </w:pPr>
            <w:r>
              <w:rPr>
                <w:rFonts w:ascii="Arial" w:cs="Arial" w:eastAsia="Arial" w:hAnsi="Arial"/>
                <w:sz w:val="14"/>
                <w:szCs w:val="14"/>
                <w:color w:val="auto"/>
              </w:rPr>
              <w:t>Adjusted EBITDAX</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4280" w:type="dxa"/>
            <w:vAlign w:val="bottom"/>
          </w:tcPr>
          <w:p>
            <w:pPr>
              <w:jc w:val="right"/>
              <w:spacing w:after="0"/>
              <w:rPr>
                <w:sz w:val="20"/>
                <w:szCs w:val="20"/>
                <w:color w:val="auto"/>
              </w:rPr>
            </w:pPr>
            <w:r>
              <w:rPr>
                <w:rFonts w:ascii="Arial" w:cs="Arial" w:eastAsia="Arial" w:hAnsi="Arial"/>
                <w:sz w:val="14"/>
                <w:szCs w:val="14"/>
                <w:color w:val="auto"/>
              </w:rPr>
              <w:t>$340</w:t>
            </w:r>
          </w:p>
        </w:tc>
        <w:tc>
          <w:tcPr>
            <w:tcW w:w="920" w:type="dxa"/>
            <w:vAlign w:val="bottom"/>
          </w:tcPr>
          <w:p>
            <w:pPr>
              <w:ind w:left="20"/>
              <w:spacing w:after="0"/>
              <w:rPr>
                <w:sz w:val="20"/>
                <w:szCs w:val="20"/>
                <w:color w:val="auto"/>
              </w:rPr>
            </w:pPr>
            <w:r>
              <w:rPr>
                <w:rFonts w:ascii="Arial" w:cs="Arial" w:eastAsia="Arial" w:hAnsi="Arial"/>
                <w:sz w:val="14"/>
                <w:szCs w:val="14"/>
                <w:color w:val="auto"/>
              </w:rPr>
              <w:t>- $380</w:t>
            </w:r>
          </w:p>
        </w:tc>
      </w:tr>
    </w:tbl>
    <w:p>
      <w:pPr>
        <w:spacing w:after="0" w:line="314"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Leon added, "As we look to 2027, CRC is moving from acquisition to optimization. Having built, in our view, California’s leading energy infrastructure platform, our focus now turns to running it better by lowering costs, improving capital efficiency and putting our midstream, power and carbon opportunities to work. That strategy positions us to strengthen free cash flow and continue delivering meaningful returns to our shareholders."</w:t>
      </w:r>
    </w:p>
    <w:p>
      <w:pPr>
        <w:spacing w:after="0" w:line="20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21"/>
          <w:szCs w:val="21"/>
          <w:color w:val="auto"/>
        </w:rPr>
        <w:t>2027 drilling, completions and workover capital is expected to be $450 - $475 million. Planned activity levels will be supported by the Company's growing permit inventory and ongoing operational efficiencies. CRC remains focused on disciplined capital allocation, maintaining a strong balance sheet and delivering sustainable shareholder returns. CRC intends to provide full-year 2027 guidance with its fourth quarter and year-end 2026 earnings release. The Company has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906"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flexibility to adjust its 2027 capital program to reflect changes in commodity prices and other market factors.</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w:t>
      </w:r>
    </w:p>
    <w:p>
      <w:pPr>
        <w:spacing w:after="0" w:line="254"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21"/>
          <w:szCs w:val="21"/>
          <w:color w:val="auto"/>
        </w:rPr>
        <w:t>CRC is committed to sustainably returning cash to shareholders through dividends and repurchases of its common stock. In the third quarter of 2026, CRC repurchased 0.6 million shares of its common stock for $30 million at an average price of $53.48 per share and returned $36 million in dividends to shareholders. Since 2021, the Company has returned approximately $1,721 million to shareholders, including $1,210 million in share repurchases and $511 million in dividends. As of September 30, 2026, CRC had $570 million remaining for share repurchases under its authorized Share Repurchase Program through December 31, 2027</w:t>
      </w:r>
      <w:r>
        <w:rPr>
          <w:rFonts w:ascii="Arial" w:cs="Arial" w:eastAsia="Arial" w:hAnsi="Arial"/>
          <w:sz w:val="27"/>
          <w:szCs w:val="27"/>
          <w:color w:val="auto"/>
          <w:vertAlign w:val="superscript"/>
        </w:rPr>
        <w:t>2</w:t>
      </w:r>
      <w:r>
        <w:rPr>
          <w:rFonts w:ascii="Arial" w:cs="Arial" w:eastAsia="Arial" w:hAnsi="Arial"/>
          <w:sz w:val="21"/>
          <w:szCs w:val="21"/>
          <w:color w:val="auto"/>
        </w:rPr>
        <w:t>.</w:t>
      </w:r>
    </w:p>
    <w:p>
      <w:pPr>
        <w:spacing w:after="0" w:line="104"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21"/>
          <w:szCs w:val="21"/>
          <w:color w:val="auto"/>
        </w:rPr>
        <w:t>On November 2, 2026, CRC's Board of Directors amended its cash dividend policy to increase the anticipated total annual dividend by approximately 4% to $1.68, payable to shareholders in quarterly increments of $0.42 per share of common stock. The Board of Directors also declared a quarterly cash dividend of $0.42 per share of common stock, payable to shareholders of record on December 4, 2026. The dividend is expected to be paid on December 18, 2026</w:t>
      </w:r>
      <w:r>
        <w:rPr>
          <w:rFonts w:ascii="Arial" w:cs="Arial" w:eastAsia="Arial" w:hAnsi="Arial"/>
          <w:sz w:val="27"/>
          <w:szCs w:val="27"/>
          <w:color w:val="auto"/>
          <w:vertAlign w:val="superscript"/>
        </w:rPr>
        <w:t>2</w:t>
      </w:r>
      <w:r>
        <w:rPr>
          <w:rFonts w:ascii="Arial" w:cs="Arial" w:eastAsia="Arial" w:hAnsi="Arial"/>
          <w:sz w:val="21"/>
          <w:szCs w:val="2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w:t>
      </w:r>
    </w:p>
    <w:p>
      <w:pPr>
        <w:spacing w:after="0" w:line="24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As of September 30, 2026, CRC had $35 million in available cash and cash equivalents³, $1,280 million in available borrowing capacity under its Revolving Credit Facility (which reflects $1,460 million of borrowing capacity less $180 million of outstanding letters of credit) and liquidity of $1,315 million.</w:t>
      </w:r>
    </w:p>
    <w:p>
      <w:pPr>
        <w:spacing w:after="0" w:line="181"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In October 2026, CRC entered into a new amendment to its Revolving Credit Facility to, among other things, extend the maturity date to March 2030, increase the elected commitments of its lenders to $1,470 million, re-affirm its borrowing base at $1,500 million, and implement certain other technical amendments.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 is scheduled to participate in the following events through year-end 2026:</w:t>
      </w:r>
    </w:p>
    <w:p>
      <w:pPr>
        <w:spacing w:after="0" w:line="252" w:lineRule="exact"/>
        <w:rPr>
          <w:sz w:val="20"/>
          <w:szCs w:val="20"/>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Goldman Sachs 7th Annual Carbonomics Conference, November 10, London, UK</w:t>
      </w:r>
    </w:p>
    <w:p>
      <w:pPr>
        <w:spacing w:after="0" w:line="39"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Wolfe Global Oil &amp; Gas Conference 2026, November 18, Virtual</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2026 Stephens Annual Investment Conference, November 19, Nashville, TN</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Capital One Securities 21st Annual Energy Conference, December 1, New Orleans, LA</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UBS 30th Annual Global Technology and AI Conference 2026, December 2, Scottsdale, AZ</w:t>
      </w:r>
    </w:p>
    <w:p>
      <w:pPr>
        <w:spacing w:after="0" w:line="25"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Mizuho Power, Energy &amp; Infrastructure Conference 2026, December 8, New York City, NY</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Bernstein 5th Annual Industrials &amp; Energy Forum, December 9, New York City, NY</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25th Annual Wells Fargo Energy and Power Symposium, December 9, New York City, NY</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Stifel 2026 Frontier Tech 2.0 Energy Summit, December 10, New York City, NY</w:t>
      </w:r>
    </w:p>
    <w:p>
      <w:pPr>
        <w:spacing w:after="0" w:line="264" w:lineRule="exact"/>
        <w:rPr>
          <w:sz w:val="20"/>
          <w:szCs w:val="20"/>
          <w:color w:val="auto"/>
        </w:rPr>
      </w:pPr>
    </w:p>
    <w:p>
      <w:pPr>
        <w:ind w:firstLine="320"/>
        <w:spacing w:after="0" w:line="304" w:lineRule="auto"/>
        <w:rPr>
          <w:sz w:val="20"/>
          <w:szCs w:val="20"/>
          <w:color w:val="auto"/>
        </w:rPr>
      </w:pPr>
      <w:r>
        <w:rPr>
          <w:rFonts w:ascii="Arial" w:cs="Arial" w:eastAsia="Arial" w:hAnsi="Arial"/>
          <w:sz w:val="21"/>
          <w:szCs w:val="21"/>
          <w:color w:val="auto"/>
        </w:rPr>
        <w:t>CRC plans to post its presentation materials to its website on the day of the event. See the Events and Presentations page under the Investor Relations section at www.crc.com.</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4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 xml:space="preserve">A conference call and webcast is planned for 1 p.m. ET (10 a.m. PT) on Tuesday, November 3, 2026. To participate in the call, dial (877) 328-5505 (International calls dial +1 (412) 317-5421) or access via webcast at www.crc.com. Participants may also pre-register for the conference call at </w:t>
      </w:r>
      <w:r>
        <w:rPr>
          <w:rFonts w:ascii="Arial" w:cs="Arial" w:eastAsia="Arial" w:hAnsi="Arial"/>
          <w:sz w:val="21"/>
          <w:szCs w:val="21"/>
          <w:u w:val="single" w:color="auto"/>
          <w:color w:val="auto"/>
        </w:rPr>
        <w:t>https://dpregister.com/sreg/10211602/104c2aa7a86</w:t>
      </w:r>
      <w:r>
        <w:rPr>
          <w:rFonts w:ascii="Arial" w:cs="Arial" w:eastAsia="Arial" w:hAnsi="Arial"/>
          <w:sz w:val="21"/>
          <w:szCs w:val="21"/>
          <w:color w:val="auto"/>
        </w:rPr>
        <w:t>. A digital replay of the conference call will be available for approximately 90 days.</w:t>
      </w:r>
    </w:p>
    <w:p>
      <w:pPr>
        <w:spacing w:after="0" w:line="193" w:lineRule="exact"/>
        <w:rPr>
          <w:sz w:val="20"/>
          <w:szCs w:val="20"/>
          <w:color w:val="auto"/>
        </w:rPr>
      </w:pPr>
    </w:p>
    <w:p>
      <w:pPr>
        <w:ind w:right="40" w:firstLine="7"/>
        <w:spacing w:after="0" w:line="233" w:lineRule="auto"/>
        <w:tabs>
          <w:tab w:leader="none" w:pos="77"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See Attachment 3 for the non-GAAP financial measures of adjusted net income (loss), adjusted net income (loss) per share - basic and diluted, net cash provided by operating activities before net changes in operating assets and liabilities, adjusted EBITDAX, free cash flow, free cash flow before net changes in operating assets and liabilities, adjusted general and administrative expenses, total operating revenues before net (loss) gain from commodity derivatives, margin from purchased commodities, electricity revenue net of electricity generation expenses, other operating expenses net of other revenue and liquidity, including reconciliations to the most directly comparable GAAP measure without unreasonable effort. See Attachment 2 for the 4Q26 estimates of the non-GAAP measures of adjusted general and administrative expenses, margin from purchased commodities, electricity revenue net of electricity generation expenses and other operating expenses net of other revenue and reconciliations to its most directly comparable GAAP measure. The 4Q26 estimates of some non-GAAP measures cannot be reconciled to its most directly comparable GAAP measure without unreasonable effort. See Attachment 1 for a reconciliation of drilling completion and workover capital to total capital investments, and non-cash commodity derivative (loss) gain from combined derivatives to net (loss) gain from combined derivatives, reported under GAAP.</w:t>
      </w:r>
    </w:p>
    <w:p>
      <w:pPr>
        <w:spacing w:after="0" w:line="1" w:lineRule="exact"/>
        <w:rPr>
          <w:rFonts w:ascii="Arial" w:cs="Arial" w:eastAsia="Arial" w:hAnsi="Arial"/>
          <w:sz w:val="18"/>
          <w:szCs w:val="18"/>
          <w:color w:val="auto"/>
          <w:vertAlign w:val="superscript"/>
        </w:rPr>
      </w:pPr>
    </w:p>
    <w:p>
      <w:pPr>
        <w:spacing w:after="0" w:line="258" w:lineRule="auto"/>
        <w:rPr>
          <w:rFonts w:ascii="Arial" w:cs="Arial" w:eastAsia="Arial" w:hAnsi="Arial"/>
          <w:sz w:val="18"/>
          <w:szCs w:val="18"/>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All of CRC’s future quarterly dividends and share repurchases are subject to commodity prices, debt agreement covenants and Board of Directors' approval. The total value of</w:t>
      </w:r>
      <w:r>
        <w:rPr>
          <w:rFonts w:ascii="Arial" w:cs="Arial" w:eastAsia="Arial" w:hAnsi="Arial"/>
          <w:sz w:val="9"/>
          <w:szCs w:val="9"/>
          <w:color w:val="auto"/>
        </w:rPr>
        <w:t xml:space="preserve"> </w:t>
      </w:r>
      <w:r>
        <w:rPr>
          <w:rFonts w:ascii="Arial" w:cs="Arial" w:eastAsia="Arial" w:hAnsi="Arial"/>
          <w:sz w:val="14"/>
          <w:szCs w:val="14"/>
          <w:color w:val="auto"/>
        </w:rPr>
        <w:t>shares purchased excludes commissions and excise taxes. Commissions paid on share repurchases were not significant in all periods presented.</w:t>
      </w:r>
    </w:p>
    <w:p>
      <w:pPr>
        <w:spacing w:after="0" w:line="185"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restricted cash of $13 million.</w:t>
      </w:r>
    </w:p>
    <w:p>
      <w:pPr>
        <w:spacing w:after="0" w:line="199"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MOUs are non-binding agreements. The projects and transactions described in an MOU are subject to certain conditions precedent, typically including the negotiation of definitive documents, a final investment decision by the parties and receipt of EPA Class VI permits and other regulatory approvals.</w:t>
      </w:r>
    </w:p>
    <w:p>
      <w:pPr>
        <w:spacing w:after="0" w:line="1"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4Q26 guidance assumes Brent price of $102.90 per barrel of oil, NGL realizations as a percentage of Brent consistent with prior years and a NYMEX gas price of $3.25 per mcf.</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54"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California Resources Corporation (CRC) is an independent energy and carbon management company advancing the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54" w:lineRule="exact"/>
        <w:rPr>
          <w:sz w:val="20"/>
          <w:szCs w:val="20"/>
          <w:color w:val="auto"/>
        </w:rPr>
      </w:pPr>
    </w:p>
    <w:p>
      <w:pPr>
        <w:jc w:val="both"/>
        <w:ind w:firstLine="320"/>
        <w:spacing w:after="0" w:line="229" w:lineRule="auto"/>
        <w:rPr>
          <w:sz w:val="20"/>
          <w:szCs w:val="20"/>
          <w:color w:val="auto"/>
        </w:rPr>
      </w:pPr>
      <w:r>
        <w:rPr>
          <w:rFonts w:ascii="Arial" w:cs="Arial" w:eastAsia="Arial" w:hAnsi="Arial"/>
          <w:sz w:val="21"/>
          <w:szCs w:val="21"/>
          <w:color w:val="auto"/>
        </w:rPr>
        <w:t>Carbon TerraVault (CTV), CRC’s carbon management business, develops services to capture, transport and permanently store carbon dioxide (CO</w:t>
      </w:r>
      <w:r>
        <w:rPr>
          <w:rFonts w:ascii="Arial" w:cs="Arial" w:eastAsia="Arial" w:hAnsi="Arial"/>
          <w:sz w:val="27"/>
          <w:szCs w:val="27"/>
          <w:color w:val="auto"/>
          <w:vertAlign w:val="subscript"/>
        </w:rPr>
        <w:t>2</w:t>
      </w:r>
      <w:r>
        <w:rPr>
          <w:rFonts w:ascii="Arial" w:cs="Arial" w:eastAsia="Arial" w:hAnsi="Arial"/>
          <w:sz w:val="21"/>
          <w:szCs w:val="21"/>
          <w:color w:val="auto"/>
        </w:rPr>
        <w:t>) for its customers. CTV is advancing a portfolio of carbon capture and storage (CCS) projects, including CTV I, which is now operational and injecting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for permanent sequestration in a depleted reservoir deep underground. For more information, visit www.carbonterravault.com.</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4"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21"/>
          <w:szCs w:val="21"/>
          <w:color w:val="auto"/>
        </w:rPr>
        <w:t>Information set forth in this communication, including financial estimates and statements as to the effects of the Berry Merger and the Crimson acquisition,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Berry Merger and the Crimson acquisition, CRC's future financial position, business strategy, projected revenues, earnings, costs, capital expenditures and plans and objectives and intentions of management for the future. Words such as “expect,” “could,” “may,” “anticipate,” “intend,” “plan,” “ability,” “believe,” “seek,” “see,” “will,” “would,” “estimate,” “forecast,” “target,” “guidance,” “outlook,” “opportunity” or “strategy” or similar expressions are generally intended to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84"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21"/>
          <w:szCs w:val="21"/>
          <w:color w:val="auto"/>
        </w:rPr>
        <w:t>identify forward-looking statements. These forward-looking statements are based upon the current beliefs and expectations of the management of CRC and are subject to risks and uncertainties that could cause actual results to differ materially from those expressed in, projected in, or implied by, such statements.</w:t>
      </w:r>
    </w:p>
    <w:p>
      <w:pPr>
        <w:spacing w:after="0" w:line="195"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 These factors include, but are not limited to: fluctuations in commodity prices; production levels and/or pricing by OPEC, OPEC+ or U.S. producers; government policy, war and political conditions and events; changes in price realizations; integration efforts and projected synergies and other benefits in connection with the Berry Merger, Crimson acquisition and other acquisitions; divestitures and joint ventures, including the Uinta divestiture; regulatory actions and changes that affect the oil and gas industry generally and CRC in particular; the efforts of activists to delay or prevent oil and gas activities or the development of CRC’s carbon management segment; changes in business strategy and the ability and financial resources to execute its capital plan in a timely manner;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 future efforts to reduce costs and improve capital efficiencies; environmental risks and liability; the benefits contemplated by its energy transition strategies and initiatives; CRC’s ability to successfully identify, develop and finance carbon capture, transportation and storage projects, power projects and other renewable energy efforts, including those contemplated by the Bloom MOU; changes in transportation costs and CRC's ability to develop midstream opportunities; delays from government approvals and otherwise that could affect the timing of projects; future dividends and share repurchases and de-leveraging efforts; and natural disasters, accidents, mechanical failures, power outages, labor difficulties, cybersecurity breaches or attacks or other catastrophic events.</w:t>
      </w:r>
    </w:p>
    <w:p>
      <w:pPr>
        <w:spacing w:after="0" w:line="197"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does not warrant the accuracy or completeness of such third-party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146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21"/>
                <w:szCs w:val="21"/>
                <w:color w:val="auto"/>
              </w:rPr>
              <w:t>Daniel Juck (Investor Relations)</w:t>
            </w:r>
          </w:p>
        </w:tc>
        <w:tc>
          <w:tcPr>
            <w:tcW w:w="4520" w:type="dxa"/>
            <w:vAlign w:val="bottom"/>
            <w:gridSpan w:val="2"/>
          </w:tcPr>
          <w:p>
            <w:pPr>
              <w:ind w:left="1460"/>
              <w:spacing w:after="0"/>
              <w:rPr>
                <w:sz w:val="20"/>
                <w:szCs w:val="20"/>
                <w:color w:val="auto"/>
              </w:rPr>
            </w:pPr>
            <w:r>
              <w:rPr>
                <w:rFonts w:ascii="Arial" w:cs="Arial" w:eastAsia="Arial" w:hAnsi="Arial"/>
                <w:sz w:val="21"/>
                <w:szCs w:val="21"/>
                <w:color w:val="auto"/>
              </w:rPr>
              <w:t>Hailey Bonus (Media)</w:t>
            </w:r>
          </w:p>
        </w:tc>
      </w:tr>
      <w:tr>
        <w:trPr>
          <w:trHeight w:val="240"/>
        </w:trPr>
        <w:tc>
          <w:tcPr>
            <w:tcW w:w="17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818-661-3700</w:t>
            </w:r>
          </w:p>
        </w:tc>
        <w:tc>
          <w:tcPr>
            <w:tcW w:w="2400" w:type="dxa"/>
            <w:vAlign w:val="bottom"/>
          </w:tcPr>
          <w:p>
            <w:pPr>
              <w:spacing w:after="0"/>
              <w:rPr>
                <w:sz w:val="20"/>
                <w:szCs w:val="20"/>
                <w:color w:val="auto"/>
              </w:rPr>
            </w:pPr>
          </w:p>
        </w:tc>
        <w:tc>
          <w:tcPr>
            <w:tcW w:w="4520" w:type="dxa"/>
            <w:vAlign w:val="bottom"/>
            <w:gridSpan w:val="2"/>
          </w:tcPr>
          <w:p>
            <w:pPr>
              <w:ind w:left="1460"/>
              <w:spacing w:after="0" w:line="240" w:lineRule="exact"/>
              <w:rPr>
                <w:sz w:val="20"/>
                <w:szCs w:val="20"/>
                <w:color w:val="auto"/>
              </w:rPr>
            </w:pPr>
            <w:r>
              <w:rPr>
                <w:rFonts w:ascii="Arial" w:cs="Arial" w:eastAsia="Arial" w:hAnsi="Arial"/>
                <w:sz w:val="21"/>
                <w:szCs w:val="21"/>
                <w:color w:val="auto"/>
              </w:rPr>
              <w:t>714-874-7732</w:t>
            </w:r>
          </w:p>
        </w:tc>
      </w:tr>
      <w:tr>
        <w:trPr>
          <w:trHeight w:val="226"/>
        </w:trPr>
        <w:tc>
          <w:tcPr>
            <w:tcW w:w="20" w:type="dxa"/>
            <w:vAlign w:val="bottom"/>
          </w:tcPr>
          <w:p>
            <w:pPr>
              <w:spacing w:after="0"/>
              <w:rPr>
                <w:sz w:val="19"/>
                <w:szCs w:val="19"/>
                <w:color w:val="auto"/>
              </w:rPr>
            </w:pPr>
          </w:p>
        </w:tc>
        <w:tc>
          <w:tcPr>
            <w:tcW w:w="4160" w:type="dxa"/>
            <w:vAlign w:val="bottom"/>
            <w:gridSpan w:val="3"/>
          </w:tcPr>
          <w:p>
            <w:pPr>
              <w:spacing w:after="0" w:line="226" w:lineRule="exact"/>
              <w:rPr>
                <w:sz w:val="20"/>
                <w:szCs w:val="20"/>
                <w:color w:val="auto"/>
              </w:rPr>
            </w:pPr>
            <w:r>
              <w:rPr>
                <w:rFonts w:ascii="Arial" w:cs="Arial" w:eastAsia="Arial" w:hAnsi="Arial"/>
                <w:sz w:val="21"/>
                <w:szCs w:val="21"/>
                <w:color w:val="421BFF"/>
              </w:rPr>
              <w:t>CRC_IR@crc.com</w:t>
            </w:r>
          </w:p>
        </w:tc>
        <w:tc>
          <w:tcPr>
            <w:tcW w:w="4520" w:type="dxa"/>
            <w:vAlign w:val="bottom"/>
            <w:gridSpan w:val="2"/>
          </w:tcPr>
          <w:p>
            <w:pPr>
              <w:ind w:left="1460"/>
              <w:spacing w:after="0" w:line="226" w:lineRule="exact"/>
              <w:rPr>
                <w:sz w:val="20"/>
                <w:szCs w:val="20"/>
                <w:color w:val="auto"/>
              </w:rPr>
            </w:pPr>
            <w:r>
              <w:rPr>
                <w:rFonts w:ascii="Arial" w:cs="Arial" w:eastAsia="Arial" w:hAnsi="Arial"/>
                <w:sz w:val="21"/>
                <w:szCs w:val="21"/>
                <w:color w:val="421BFF"/>
              </w:rPr>
              <w:t>CRC.Communications@crc.com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800" w:type="dxa"/>
            <w:vAlign w:val="bottom"/>
            <w:shd w:val="clear" w:color="auto" w:fill="421B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shd w:val="clear" w:color="auto" w:fill="421BFF"/>
          </w:tcPr>
          <w:p>
            <w:pPr>
              <w:spacing w:after="0" w:line="20" w:lineRule="exact"/>
              <w:rPr>
                <w:sz w:val="1"/>
                <w:szCs w:val="1"/>
                <w:color w:val="auto"/>
              </w:rPr>
            </w:pPr>
          </w:p>
        </w:tc>
      </w:tr>
      <w:tr>
        <w:trPr>
          <w:trHeight w:val="90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20" w:type="dxa"/>
            <w:vAlign w:val="bottom"/>
            <w:gridSpan w:val="2"/>
          </w:tcPr>
          <w:p>
            <w:pPr>
              <w:ind w:left="1160"/>
              <w:spacing w:after="0"/>
              <w:rPr>
                <w:sz w:val="20"/>
                <w:szCs w:val="20"/>
                <w:color w:val="auto"/>
              </w:rPr>
            </w:pPr>
            <w:r>
              <w:rPr>
                <w:rFonts w:ascii="Arial" w:cs="Arial" w:eastAsia="Arial" w:hAnsi="Arial"/>
                <w:sz w:val="18"/>
                <w:szCs w:val="18"/>
                <w:color w:val="auto"/>
              </w:rPr>
              <w:t>Page 6</w:t>
            </w:r>
          </w:p>
        </w:tc>
      </w:tr>
    </w:tbl>
    <w:p>
      <w:pPr>
        <w:sectPr>
          <w:pgSz w:w="11900" w:h="16838" w:orient="portrait"/>
          <w:cols w:equalWidth="0" w:num="1">
            <w:col w:w="11240"/>
          </w:cols>
          <w:pgMar w:left="320" w:top="886"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580" w:type="dxa"/>
            <w:vAlign w:val="bottom"/>
            <w:gridSpan w:val="5"/>
          </w:tcPr>
          <w:p>
            <w:pPr>
              <w:spacing w:after="0"/>
              <w:rPr>
                <w:sz w:val="20"/>
                <w:szCs w:val="20"/>
                <w:color w:val="auto"/>
              </w:rPr>
            </w:pPr>
            <w:r>
              <w:rPr>
                <w:rFonts w:ascii="Arial" w:cs="Arial" w:eastAsia="Arial" w:hAnsi="Arial"/>
                <w:sz w:val="14"/>
                <w:szCs w:val="14"/>
                <w:b w:val="1"/>
                <w:bCs w:val="1"/>
                <w:color w:val="auto"/>
              </w:rPr>
              <w:t>STATEMENTS OF OPERATIONS, SELECT FINANCIAL INFORMATION</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24"/>
                <w:szCs w:val="24"/>
                <w:color w:val="auto"/>
              </w:rPr>
            </w:pPr>
          </w:p>
        </w:tc>
        <w:tc>
          <w:tcPr>
            <w:tcW w:w="1180" w:type="dxa"/>
            <w:vAlign w:val="bottom"/>
          </w:tcPr>
          <w:p>
            <w:pPr>
              <w:jc w:val="right"/>
              <w:ind w:right="18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 and shares in millions, except per share amounts)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r>
      <w:tr>
        <w:trPr>
          <w:trHeight w:val="195"/>
        </w:trPr>
        <w:tc>
          <w:tcPr>
            <w:tcW w:w="2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Oil, natural gas and natural gas liquids sales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1,002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1,056</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715</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2,963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2,231</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20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(675)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(1,318)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140</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178</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Electricity revenue</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181</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w:t>
            </w:r>
          </w:p>
        </w:tc>
      </w:tr>
      <w:tr>
        <w:trPr>
          <w:trHeight w:val="193"/>
        </w:trPr>
        <w:tc>
          <w:tcPr>
            <w:tcW w:w="20" w:type="dxa"/>
            <w:vAlign w:val="bottom"/>
          </w:tcPr>
          <w:p>
            <w:pPr>
              <w:spacing w:after="0"/>
              <w:rPr>
                <w:sz w:val="16"/>
                <w:szCs w:val="16"/>
                <w:color w:val="auto"/>
              </w:rPr>
            </w:pPr>
          </w:p>
        </w:tc>
        <w:tc>
          <w:tcPr>
            <w:tcW w:w="414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1,297</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855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1,837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2,745</w:t>
            </w:r>
          </w:p>
        </w:tc>
      </w:tr>
      <w:tr>
        <w:trPr>
          <w:trHeight w:val="287"/>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386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1,098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927</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238</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137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382</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187</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135</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59</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Accretion expense</w:t>
            </w:r>
          </w:p>
        </w:tc>
        <w:tc>
          <w:tcPr>
            <w:tcW w:w="20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85</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Net (gain) loss on natural gas purchase derivatives</w:t>
            </w:r>
          </w:p>
        </w:tc>
        <w:tc>
          <w:tcPr>
            <w:tcW w:w="20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24</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Measurement period adjustments, net</w:t>
            </w: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127</w:t>
            </w:r>
          </w:p>
        </w:tc>
      </w:tr>
      <w:tr>
        <w:trPr>
          <w:trHeight w:val="193"/>
        </w:trPr>
        <w:tc>
          <w:tcPr>
            <w:tcW w:w="20" w:type="dxa"/>
            <w:vAlign w:val="bottom"/>
          </w:tcPr>
          <w:p>
            <w:pPr>
              <w:spacing w:after="0"/>
              <w:rPr>
                <w:sz w:val="16"/>
                <w:szCs w:val="16"/>
                <w:color w:val="auto"/>
              </w:rPr>
            </w:pPr>
          </w:p>
        </w:tc>
        <w:tc>
          <w:tcPr>
            <w:tcW w:w="414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828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786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756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2,444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2,193</w:t>
            </w:r>
          </w:p>
        </w:tc>
      </w:tr>
      <w:tr>
        <w:trPr>
          <w:trHeight w:val="193"/>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Loss on asset divestitures</w:t>
            </w:r>
          </w:p>
        </w:tc>
        <w:tc>
          <w:tcPr>
            <w:tcW w:w="2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r>
      <w:tr>
        <w:trPr>
          <w:trHeight w:val="193"/>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Operating (Loss) Income</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(407)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511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(607)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551</w:t>
            </w:r>
          </w:p>
        </w:tc>
      </w:tr>
      <w:tr>
        <w:trPr>
          <w:trHeight w:val="347"/>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20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(77)</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Equity loss from unconsolidated subsidiaries</w:t>
            </w:r>
          </w:p>
        </w:tc>
        <w:tc>
          <w:tcPr>
            <w:tcW w:w="200" w:type="dxa"/>
            <w:vAlign w:val="bottom"/>
          </w:tcPr>
          <w:p>
            <w:pPr>
              <w:spacing w:after="0"/>
              <w:rPr>
                <w:sz w:val="17"/>
                <w:szCs w:val="17"/>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(3)</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Loss on early extinguishment of debt</w:t>
            </w: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r>
      <w:tr>
        <w:trPr>
          <w:trHeight w:val="201"/>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Other non-operating income,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w:t>
            </w:r>
          </w:p>
        </w:tc>
      </w:tr>
      <w:tr>
        <w:trPr>
          <w:trHeight w:val="326"/>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(Loss) Income Before Income Taxes</w:t>
            </w:r>
          </w:p>
        </w:tc>
        <w:tc>
          <w:tcPr>
            <w:tcW w:w="200" w:type="dxa"/>
            <w:vAlign w:val="bottom"/>
          </w:tcPr>
          <w:p>
            <w:pPr>
              <w:spacing w:after="0"/>
              <w:rPr>
                <w:sz w:val="24"/>
                <w:szCs w:val="24"/>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(428)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458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(730)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479</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Income tax benefit (provision)</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113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56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218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(128)</w:t>
            </w:r>
          </w:p>
        </w:tc>
      </w:tr>
      <w:tr>
        <w:trPr>
          <w:trHeight w:val="168"/>
        </w:trPr>
        <w:tc>
          <w:tcPr>
            <w:tcW w:w="20" w:type="dxa"/>
            <w:vAlign w:val="bottom"/>
          </w:tcPr>
          <w:p>
            <w:pPr>
              <w:spacing w:after="0"/>
              <w:rPr>
                <w:sz w:val="14"/>
                <w:szCs w:val="14"/>
                <w:color w:val="auto"/>
              </w:rPr>
            </w:pP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Net (Loss) Income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(315)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514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(512)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351</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Net (loss) income per share - basic</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(3.55)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5.79</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(5.77)</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4.00</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Net (loss) income per share - diluted</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(3.55)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5.76</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(5.77)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3.97</w:t>
            </w:r>
          </w:p>
        </w:tc>
      </w:tr>
      <w:tr>
        <w:trPr>
          <w:trHeight w:val="347"/>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104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271</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319</w:t>
            </w:r>
          </w:p>
        </w:tc>
      </w:tr>
      <w:tr>
        <w:trPr>
          <w:trHeight w:val="200"/>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0.99</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3.06</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3.63</w:t>
            </w:r>
          </w:p>
        </w:tc>
      </w:tr>
      <w:tr>
        <w:trPr>
          <w:trHeight w:val="248"/>
        </w:trPr>
        <w:tc>
          <w:tcPr>
            <w:tcW w:w="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r>
              <w:rPr>
                <w:rFonts w:ascii="Arial" w:cs="Arial" w:eastAsia="Arial" w:hAnsi="Arial"/>
                <w:sz w:val="18"/>
                <w:szCs w:val="18"/>
                <w:color w:val="auto"/>
                <w:vertAlign w:val="superscript"/>
              </w:rPr>
              <w:t>(1)</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21"/>
                <w:szCs w:val="21"/>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0.99</w:t>
            </w:r>
          </w:p>
        </w:tc>
        <w:tc>
          <w:tcPr>
            <w:tcW w:w="8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1.46</w:t>
            </w:r>
          </w:p>
        </w:tc>
        <w:tc>
          <w:tcPr>
            <w:tcW w:w="100" w:type="dxa"/>
            <w:vAlign w:val="bottom"/>
          </w:tcPr>
          <w:p>
            <w:pPr>
              <w:spacing w:after="0"/>
              <w:rPr>
                <w:sz w:val="21"/>
                <w:szCs w:val="21"/>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3.03</w:t>
            </w:r>
          </w:p>
        </w:tc>
        <w:tc>
          <w:tcPr>
            <w:tcW w:w="100" w:type="dxa"/>
            <w:vAlign w:val="bottom"/>
          </w:tcPr>
          <w:p>
            <w:pPr>
              <w:spacing w:after="0"/>
              <w:rPr>
                <w:sz w:val="21"/>
                <w:szCs w:val="21"/>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3.61</w:t>
            </w:r>
          </w:p>
        </w:tc>
      </w:tr>
      <w:tr>
        <w:trPr>
          <w:trHeight w:val="298"/>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200" w:type="dxa"/>
            <w:vAlign w:val="bottom"/>
          </w:tcPr>
          <w:p>
            <w:pPr>
              <w:spacing w:after="0"/>
              <w:rPr>
                <w:sz w:val="24"/>
                <w:szCs w:val="24"/>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88.8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87.8</w:t>
            </w:r>
          </w:p>
        </w:tc>
      </w:tr>
      <w:tr>
        <w:trPr>
          <w:trHeight w:val="248"/>
        </w:trPr>
        <w:tc>
          <w:tcPr>
            <w:tcW w:w="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r>
              <w:rPr>
                <w:rFonts w:ascii="Arial" w:cs="Arial" w:eastAsia="Arial" w:hAnsi="Arial"/>
                <w:sz w:val="18"/>
                <w:szCs w:val="18"/>
                <w:color w:val="auto"/>
                <w:vertAlign w:val="superscript"/>
              </w:rPr>
              <w:t>(1)</w:t>
            </w:r>
          </w:p>
        </w:tc>
        <w:tc>
          <w:tcPr>
            <w:tcW w:w="200" w:type="dxa"/>
            <w:vAlign w:val="bottom"/>
          </w:tcPr>
          <w:p>
            <w:pPr>
              <w:spacing w:after="0"/>
              <w:rPr>
                <w:sz w:val="21"/>
                <w:szCs w:val="21"/>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b w:val="1"/>
                <w:bCs w:val="1"/>
                <w:color w:val="auto"/>
              </w:rPr>
              <w:t>88.7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89.3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88.4</w:t>
            </w:r>
          </w:p>
        </w:tc>
      </w:tr>
      <w:tr>
        <w:trPr>
          <w:trHeight w:val="298"/>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26 %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170"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6"/>
                <w:szCs w:val="16"/>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44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r>
      <w:tr>
        <w:trPr>
          <w:trHeight w:val="180"/>
        </w:trPr>
        <w:tc>
          <w:tcPr>
            <w:tcW w:w="4420" w:type="dxa"/>
            <w:vAlign w:val="bottom"/>
          </w:tcPr>
          <w:p>
            <w:pPr>
              <w:spacing w:after="0"/>
              <w:rPr>
                <w:sz w:val="20"/>
                <w:szCs w:val="20"/>
                <w:color w:val="auto"/>
              </w:rPr>
            </w:pPr>
            <w:r>
              <w:rPr>
                <w:rFonts w:ascii="Arial" w:cs="Arial" w:eastAsia="Arial" w:hAnsi="Arial"/>
                <w:sz w:val="14"/>
                <w:szCs w:val="14"/>
                <w:b w:val="1"/>
                <w:bCs w:val="1"/>
                <w:color w:val="auto"/>
              </w:rPr>
              <w:t>Cash Flow Data:</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689"/>
              <w:spacing w:after="0"/>
              <w:rPr>
                <w:sz w:val="20"/>
                <w:szCs w:val="20"/>
                <w:color w:val="auto"/>
              </w:rPr>
            </w:pPr>
            <w:r>
              <w:rPr>
                <w:rFonts w:ascii="Arial" w:cs="Arial" w:eastAsia="Arial" w:hAnsi="Arial"/>
                <w:sz w:val="14"/>
                <w:szCs w:val="14"/>
                <w:b w:val="1"/>
                <w:bCs w:val="1"/>
                <w:color w:val="auto"/>
                <w:w w:val="94"/>
              </w:rPr>
              <w:t>667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09"/>
              <w:spacing w:after="0"/>
              <w:rPr>
                <w:sz w:val="20"/>
                <w:szCs w:val="20"/>
                <w:color w:val="auto"/>
              </w:rPr>
            </w:pPr>
            <w:r>
              <w:rPr>
                <w:rFonts w:ascii="Arial" w:cs="Arial" w:eastAsia="Arial" w:hAnsi="Arial"/>
                <w:sz w:val="14"/>
                <w:szCs w:val="14"/>
                <w:b w:val="1"/>
                <w:bCs w:val="1"/>
                <w:color w:val="auto"/>
              </w:rPr>
              <w:t>630</w:t>
            </w: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669"/>
              <w:spacing w:after="0"/>
              <w:rPr>
                <w:sz w:val="20"/>
                <w:szCs w:val="20"/>
                <w:color w:val="auto"/>
              </w:rPr>
            </w:pPr>
            <w:r>
              <w:rPr>
                <w:rFonts w:ascii="Arial" w:cs="Arial" w:eastAsia="Arial" w:hAnsi="Arial"/>
                <w:sz w:val="14"/>
                <w:szCs w:val="14"/>
                <w:b w:val="1"/>
                <w:bCs w:val="1"/>
                <w:color w:val="auto"/>
                <w:w w:val="97"/>
              </w:rPr>
              <w:t>(534)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689"/>
              <w:spacing w:after="0"/>
              <w:rPr>
                <w:sz w:val="20"/>
                <w:szCs w:val="20"/>
                <w:color w:val="auto"/>
              </w:rPr>
            </w:pPr>
            <w:r>
              <w:rPr>
                <w:rFonts w:ascii="Arial" w:cs="Arial" w:eastAsia="Arial" w:hAnsi="Arial"/>
                <w:sz w:val="14"/>
                <w:szCs w:val="14"/>
                <w:b w:val="1"/>
                <w:bCs w:val="1"/>
                <w:color w:val="auto"/>
              </w:rPr>
              <w:t>(217)</w:t>
            </w: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669"/>
              <w:spacing w:after="0"/>
              <w:rPr>
                <w:sz w:val="20"/>
                <w:szCs w:val="20"/>
                <w:color w:val="auto"/>
              </w:rPr>
            </w:pPr>
            <w:r>
              <w:rPr>
                <w:rFonts w:ascii="Arial" w:cs="Arial" w:eastAsia="Arial" w:hAnsi="Arial"/>
                <w:sz w:val="14"/>
                <w:szCs w:val="14"/>
                <w:b w:val="1"/>
                <w:bCs w:val="1"/>
                <w:color w:val="auto"/>
                <w:w w:val="97"/>
              </w:rPr>
              <w:t>(217)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689"/>
              <w:spacing w:after="0"/>
              <w:rPr>
                <w:sz w:val="20"/>
                <w:szCs w:val="20"/>
                <w:color w:val="auto"/>
              </w:rPr>
            </w:pPr>
            <w:r>
              <w:rPr>
                <w:rFonts w:ascii="Arial" w:cs="Arial" w:eastAsia="Arial" w:hAnsi="Arial"/>
                <w:sz w:val="14"/>
                <w:szCs w:val="14"/>
                <w:b w:val="1"/>
                <w:bCs w:val="1"/>
                <w:color w:val="auto"/>
              </w:rPr>
              <w:t>(589)</w:t>
            </w:r>
          </w:p>
        </w:tc>
      </w:tr>
      <w:tr>
        <w:trPr>
          <w:trHeight w:val="466"/>
        </w:trPr>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0"/>
        </w:trPr>
        <w:tc>
          <w:tcPr>
            <w:tcW w:w="4420" w:type="dxa"/>
            <w:vAlign w:val="bottom"/>
          </w:tcPr>
          <w:p>
            <w:pPr>
              <w:spacing w:after="0"/>
              <w:rPr>
                <w:sz w:val="20"/>
                <w:szCs w:val="20"/>
                <w:color w:val="auto"/>
              </w:rPr>
            </w:pPr>
            <w:r>
              <w:rPr>
                <w:rFonts w:ascii="Arial" w:cs="Arial" w:eastAsia="Arial" w:hAnsi="Arial"/>
                <w:sz w:val="14"/>
                <w:szCs w:val="14"/>
                <w:b w:val="1"/>
                <w:bCs w:val="1"/>
                <w:color w:val="auto"/>
              </w:rPr>
              <w:t>Select Balance Sheet Information:</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5,975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5,905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1,622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Long-term debt,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Noncurrent asset retirement obligations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888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4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3,025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3,674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330" w:lineRule="exact"/>
        <w:rPr>
          <w:sz w:val="20"/>
          <w:szCs w:val="20"/>
          <w:color w:val="auto"/>
        </w:rPr>
      </w:pPr>
    </w:p>
    <w:p>
      <w:pPr>
        <w:ind w:left="20" w:right="60" w:firstLine="4"/>
        <w:spacing w:after="0" w:line="254" w:lineRule="auto"/>
        <w:tabs>
          <w:tab w:leader="none" w:pos="206" w:val="left"/>
        </w:tabs>
        <w:numPr>
          <w:ilvl w:val="0"/>
          <w:numId w:val="8"/>
        </w:numPr>
        <w:rPr>
          <w:rFonts w:ascii="Arial" w:cs="Arial" w:eastAsia="Arial" w:hAnsi="Arial"/>
          <w:sz w:val="12"/>
          <w:szCs w:val="12"/>
          <w:color w:val="auto"/>
        </w:rPr>
      </w:pPr>
      <w:r>
        <w:rPr>
          <w:rFonts w:ascii="Arial" w:cs="Arial" w:eastAsia="Arial" w:hAnsi="Arial"/>
          <w:sz w:val="12"/>
          <w:szCs w:val="12"/>
          <w:color w:val="auto"/>
        </w:rPr>
        <w:t>Adjusted net income per share - diluted for the three months ended September 30, 2026 is calculated using weighted average shares outstanding of 89.2 million shares. Adjusted net income per share - diluted for the nine months ended September 30, 2026 is calculated using weighted average shares outstanding of 89.3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347"/>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24"/>
                <w:szCs w:val="24"/>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r>
      <w:tr>
        <w:trPr>
          <w:trHeight w:val="233"/>
        </w:trPr>
        <w:tc>
          <w:tcPr>
            <w:tcW w:w="4400" w:type="dxa"/>
            <w:vAlign w:val="bottom"/>
          </w:tcPr>
          <w:p>
            <w:pPr>
              <w:ind w:left="20"/>
              <w:spacing w:after="0"/>
              <w:rPr>
                <w:sz w:val="20"/>
                <w:szCs w:val="20"/>
                <w:color w:val="auto"/>
              </w:rPr>
            </w:pPr>
            <w:r>
              <w:rPr>
                <w:rFonts w:ascii="Arial" w:cs="Arial" w:eastAsia="Arial" w:hAnsi="Arial"/>
                <w:sz w:val="14"/>
                <w:szCs w:val="14"/>
                <w:color w:val="auto"/>
              </w:rPr>
              <w:t>Non-cash (loss) gain from commodity sales derivatives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(554)</w:t>
            </w:r>
          </w:p>
        </w:tc>
        <w:tc>
          <w:tcPr>
            <w:tcW w:w="100" w:type="dxa"/>
            <w:vAlign w:val="bottom"/>
          </w:tcPr>
          <w:p>
            <w:pPr>
              <w:spacing w:after="0"/>
              <w:rPr>
                <w:sz w:val="20"/>
                <w:szCs w:val="20"/>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(976)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130</w:t>
            </w: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Net settlements and premiums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194"/>
        </w:trPr>
        <w:tc>
          <w:tcPr>
            <w:tcW w:w="4400" w:type="dxa"/>
            <w:vAlign w:val="bottom"/>
          </w:tcPr>
          <w:p>
            <w:pPr>
              <w:ind w:left="260"/>
              <w:spacing w:after="0"/>
              <w:rPr>
                <w:sz w:val="20"/>
                <w:szCs w:val="20"/>
                <w:color w:val="auto"/>
              </w:rPr>
            </w:pPr>
            <w:r>
              <w:rPr>
                <w:rFonts w:ascii="Arial" w:cs="Arial" w:eastAsia="Arial" w:hAnsi="Arial"/>
                <w:sz w:val="14"/>
                <w:szCs w:val="14"/>
                <w:color w:val="auto"/>
              </w:rPr>
              <w:t>Net (loss) gain from commodity sales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38"/>
        </w:trPr>
        <w:tc>
          <w:tcPr>
            <w:tcW w:w="4400" w:type="dxa"/>
            <w:vAlign w:val="bottom"/>
          </w:tcPr>
          <w:p>
            <w:pPr>
              <w:ind w:left="20"/>
              <w:spacing w:after="0"/>
              <w:rPr>
                <w:sz w:val="20"/>
                <w:szCs w:val="20"/>
                <w:color w:val="auto"/>
              </w:rPr>
            </w:pPr>
            <w:r>
              <w:rPr>
                <w:rFonts w:ascii="Arial" w:cs="Arial" w:eastAsia="Arial" w:hAnsi="Arial"/>
                <w:sz w:val="14"/>
                <w:szCs w:val="14"/>
                <w:color w:val="auto"/>
              </w:rPr>
              <w:t>Non-cash (gain) loss from natural gas purchase derivatives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r>
      <w:tr>
        <w:trPr>
          <w:trHeight w:val="194"/>
        </w:trPr>
        <w:tc>
          <w:tcPr>
            <w:tcW w:w="4400" w:type="dxa"/>
            <w:vAlign w:val="bottom"/>
          </w:tcPr>
          <w:p>
            <w:pPr>
              <w:ind w:left="240"/>
              <w:spacing w:after="0"/>
              <w:rPr>
                <w:sz w:val="20"/>
                <w:szCs w:val="20"/>
                <w:color w:val="auto"/>
              </w:rPr>
            </w:pPr>
            <w:r>
              <w:rPr>
                <w:rFonts w:ascii="Arial" w:cs="Arial" w:eastAsia="Arial" w:hAnsi="Arial"/>
                <w:sz w:val="14"/>
                <w:szCs w:val="14"/>
                <w:color w:val="auto"/>
              </w:rPr>
              <w:t>Net (gain) loss from natural gas purchase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38"/>
        </w:trPr>
        <w:tc>
          <w:tcPr>
            <w:tcW w:w="4400" w:type="dxa"/>
            <w:vAlign w:val="bottom"/>
          </w:tcPr>
          <w:p>
            <w:pPr>
              <w:ind w:left="20"/>
              <w:spacing w:after="0"/>
              <w:rPr>
                <w:sz w:val="20"/>
                <w:szCs w:val="20"/>
                <w:color w:val="auto"/>
              </w:rPr>
            </w:pPr>
            <w:r>
              <w:rPr>
                <w:rFonts w:ascii="Arial" w:cs="Arial" w:eastAsia="Arial" w:hAnsi="Arial"/>
                <w:sz w:val="14"/>
                <w:szCs w:val="14"/>
                <w:color w:val="auto"/>
              </w:rPr>
              <w:t>Non-cash (loss) gain from combined commodity derivatives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(954)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128</w:t>
            </w: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Net settlements and premiums from combined derivatives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4"/>
        </w:trPr>
        <w:tc>
          <w:tcPr>
            <w:tcW w:w="4400" w:type="dxa"/>
            <w:vAlign w:val="bottom"/>
          </w:tcPr>
          <w:p>
            <w:pPr>
              <w:ind w:left="240"/>
              <w:spacing w:after="0"/>
              <w:rPr>
                <w:sz w:val="20"/>
                <w:szCs w:val="20"/>
                <w:color w:val="auto"/>
              </w:rPr>
            </w:pPr>
            <w:r>
              <w:rPr>
                <w:rFonts w:ascii="Arial" w:cs="Arial" w:eastAsia="Arial" w:hAnsi="Arial"/>
                <w:sz w:val="14"/>
                <w:szCs w:val="14"/>
                <w:color w:val="auto"/>
              </w:rPr>
              <w:t>Net (loss) gain from combined commodity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14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2"/>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3"/>
        </w:trPr>
        <w:tc>
          <w:tcPr>
            <w:tcW w:w="4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22"/>
                <w:szCs w:val="22"/>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r>
      <w:tr>
        <w:trPr>
          <w:trHeight w:val="233"/>
        </w:trPr>
        <w:tc>
          <w:tcPr>
            <w:tcW w:w="440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0"/>
                <w:szCs w:val="20"/>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00"/>
        </w:trPr>
        <w:tc>
          <w:tcPr>
            <w:tcW w:w="4400" w:type="dxa"/>
            <w:vAlign w:val="bottom"/>
          </w:tcPr>
          <w:p>
            <w:pPr>
              <w:ind w:left="140"/>
              <w:spacing w:after="0"/>
              <w:rPr>
                <w:sz w:val="20"/>
                <w:szCs w:val="20"/>
                <w:color w:val="auto"/>
              </w:rPr>
            </w:pPr>
            <w:r>
              <w:rPr>
                <w:rFonts w:ascii="Arial" w:cs="Arial" w:eastAsia="Arial" w:hAnsi="Arial"/>
                <w:sz w:val="14"/>
                <w:szCs w:val="14"/>
                <w:color w:val="auto"/>
              </w:rPr>
              <w:t>Drilling and completions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r>
        <w:trPr>
          <w:trHeight w:val="200"/>
        </w:trPr>
        <w:tc>
          <w:tcPr>
            <w:tcW w:w="440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00"/>
        </w:trPr>
        <w:tc>
          <w:tcPr>
            <w:tcW w:w="4400" w:type="dxa"/>
            <w:vAlign w:val="bottom"/>
          </w:tcPr>
          <w:p>
            <w:pPr>
              <w:ind w:left="1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color w:val="auto"/>
              </w:rPr>
              <w:t>Oil and natural gas segment</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416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r>
      <w:tr>
        <w:trPr>
          <w:trHeight w:val="200"/>
        </w:trPr>
        <w:tc>
          <w:tcPr>
            <w:tcW w:w="4400" w:type="dxa"/>
            <w:vAlign w:val="bottom"/>
          </w:tcPr>
          <w:p>
            <w:pPr>
              <w:ind w:left="20"/>
              <w:spacing w:after="0"/>
              <w:rPr>
                <w:sz w:val="20"/>
                <w:szCs w:val="20"/>
                <w:color w:val="auto"/>
              </w:rPr>
            </w:pPr>
            <w:r>
              <w:rPr>
                <w:rFonts w:ascii="Arial" w:cs="Arial" w:eastAsia="Arial" w:hAnsi="Arial"/>
                <w:sz w:val="14"/>
                <w:szCs w:val="14"/>
                <w:color w:val="auto"/>
              </w:rPr>
              <w:t>Carbon management segment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1"/>
        </w:trPr>
        <w:tc>
          <w:tcPr>
            <w:tcW w:w="44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r>
      <w:tr>
        <w:trPr>
          <w:trHeight w:val="194"/>
        </w:trPr>
        <w:tc>
          <w:tcPr>
            <w:tcW w:w="4400" w:type="dxa"/>
            <w:vAlign w:val="bottom"/>
          </w:tcPr>
          <w:p>
            <w:pPr>
              <w:ind w:left="20"/>
              <w:spacing w:after="0"/>
              <w:rPr>
                <w:sz w:val="20"/>
                <w:szCs w:val="20"/>
                <w:color w:val="auto"/>
              </w:rPr>
            </w:pPr>
            <w:r>
              <w:rPr>
                <w:rFonts w:ascii="Arial" w:cs="Arial" w:eastAsia="Arial" w:hAnsi="Arial"/>
                <w:sz w:val="14"/>
                <w:szCs w:val="14"/>
                <w:color w:val="auto"/>
              </w:rPr>
              <w:t>Total capital investment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438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588010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414655</wp:posOffset>
            </wp:positionV>
            <wp:extent cx="7015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LIQUIDITY</w:t>
            </w:r>
          </w:p>
        </w:tc>
        <w:tc>
          <w:tcPr>
            <w:tcW w:w="3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93"/>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380" w:type="dxa"/>
            <w:vAlign w:val="bottom"/>
          </w:tcPr>
          <w:p>
            <w:pPr>
              <w:spacing w:after="0"/>
              <w:rPr>
                <w:sz w:val="24"/>
                <w:szCs w:val="24"/>
                <w:color w:val="auto"/>
              </w:rPr>
            </w:pPr>
          </w:p>
        </w:tc>
        <w:tc>
          <w:tcPr>
            <w:tcW w:w="23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2026</w:t>
            </w:r>
          </w:p>
        </w:tc>
        <w:tc>
          <w:tcPr>
            <w:tcW w:w="400" w:type="dxa"/>
            <w:vAlign w:val="bottom"/>
          </w:tcPr>
          <w:p>
            <w:pPr>
              <w:spacing w:after="0"/>
              <w:rPr>
                <w:sz w:val="24"/>
                <w:szCs w:val="24"/>
                <w:color w:val="auto"/>
              </w:rPr>
            </w:pPr>
          </w:p>
        </w:tc>
        <w:tc>
          <w:tcPr>
            <w:tcW w:w="2240" w:type="dxa"/>
            <w:vAlign w:val="bottom"/>
          </w:tcPr>
          <w:p>
            <w:pPr>
              <w:jc w:val="right"/>
              <w:ind w:right="609"/>
              <w:spacing w:after="0"/>
              <w:rPr>
                <w:sz w:val="20"/>
                <w:szCs w:val="20"/>
                <w:color w:val="auto"/>
              </w:rPr>
            </w:pPr>
            <w:r>
              <w:rPr>
                <w:rFonts w:ascii="Arial" w:cs="Arial" w:eastAsia="Arial" w:hAnsi="Arial"/>
                <w:sz w:val="14"/>
                <w:szCs w:val="14"/>
                <w:b w:val="1"/>
                <w:bCs w:val="1"/>
                <w:color w:val="auto"/>
              </w:rPr>
              <w:t>December 31, 2025</w:t>
            </w:r>
          </w:p>
        </w:tc>
      </w:tr>
      <w:tr>
        <w:trPr>
          <w:trHeight w:val="241"/>
        </w:trPr>
        <w:tc>
          <w:tcPr>
            <w:tcW w:w="5680" w:type="dxa"/>
            <w:vAlign w:val="bottom"/>
          </w:tcPr>
          <w:p>
            <w:pPr>
              <w:ind w:left="20"/>
              <w:spacing w:after="0"/>
              <w:rPr>
                <w:sz w:val="20"/>
                <w:szCs w:val="20"/>
                <w:color w:val="auto"/>
              </w:rPr>
            </w:pPr>
            <w:r>
              <w:rPr>
                <w:rFonts w:ascii="Arial" w:cs="Arial" w:eastAsia="Arial" w:hAnsi="Arial"/>
                <w:sz w:val="14"/>
                <w:szCs w:val="14"/>
                <w:color w:val="auto"/>
              </w:rPr>
              <w:t>Available cash and cash equivalents</w:t>
            </w:r>
            <w:r>
              <w:rPr>
                <w:rFonts w:ascii="Arial" w:cs="Arial" w:eastAsia="Arial" w:hAnsi="Arial"/>
                <w:sz w:val="18"/>
                <w:szCs w:val="18"/>
                <w:color w:val="auto"/>
                <w:vertAlign w:val="superscript"/>
              </w:rPr>
              <w:t>(1)</w:t>
            </w: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r>
      <w:tr>
        <w:trPr>
          <w:trHeight w:val="239"/>
        </w:trPr>
        <w:tc>
          <w:tcPr>
            <w:tcW w:w="568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06"/>
        </w:trPr>
        <w:tc>
          <w:tcPr>
            <w:tcW w:w="5680" w:type="dxa"/>
            <w:vAlign w:val="bottom"/>
          </w:tcPr>
          <w:p>
            <w:pPr>
              <w:ind w:left="240"/>
              <w:spacing w:after="0"/>
              <w:rPr>
                <w:sz w:val="20"/>
                <w:szCs w:val="20"/>
                <w:color w:val="auto"/>
              </w:rPr>
            </w:pPr>
            <w:r>
              <w:rPr>
                <w:rFonts w:ascii="Arial" w:cs="Arial" w:eastAsia="Arial" w:hAnsi="Arial"/>
                <w:sz w:val="14"/>
                <w:szCs w:val="14"/>
                <w:color w:val="auto"/>
              </w:rPr>
              <w:t>Borrowing capacity</w:t>
            </w:r>
          </w:p>
        </w:tc>
        <w:tc>
          <w:tcPr>
            <w:tcW w:w="38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1,460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1,460</w:t>
            </w:r>
          </w:p>
        </w:tc>
      </w:tr>
      <w:tr>
        <w:trPr>
          <w:trHeight w:val="200"/>
        </w:trPr>
        <w:tc>
          <w:tcPr>
            <w:tcW w:w="5680" w:type="dxa"/>
            <w:vAlign w:val="bottom"/>
          </w:tcPr>
          <w:p>
            <w:pPr>
              <w:ind w:left="240"/>
              <w:spacing w:after="0"/>
              <w:rPr>
                <w:sz w:val="20"/>
                <w:szCs w:val="20"/>
                <w:color w:val="auto"/>
              </w:rPr>
            </w:pPr>
            <w:r>
              <w:rPr>
                <w:rFonts w:ascii="Arial" w:cs="Arial" w:eastAsia="Arial" w:hAnsi="Arial"/>
                <w:sz w:val="14"/>
                <w:szCs w:val="14"/>
                <w:color w:val="auto"/>
              </w:rPr>
              <w:t>Outstanding letters of credit</w:t>
            </w:r>
          </w:p>
        </w:tc>
        <w:tc>
          <w:tcPr>
            <w:tcW w:w="3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r>
      <w:tr>
        <w:trPr>
          <w:trHeight w:val="194"/>
        </w:trPr>
        <w:tc>
          <w:tcPr>
            <w:tcW w:w="5680" w:type="dxa"/>
            <w:vAlign w:val="bottom"/>
          </w:tcPr>
          <w:p>
            <w:pPr>
              <w:ind w:left="20"/>
              <w:spacing w:after="0"/>
              <w:rPr>
                <w:sz w:val="20"/>
                <w:szCs w:val="20"/>
                <w:color w:val="auto"/>
              </w:rPr>
            </w:pPr>
            <w:r>
              <w:rPr>
                <w:rFonts w:ascii="Arial" w:cs="Arial" w:eastAsia="Arial" w:hAnsi="Arial"/>
                <w:sz w:val="14"/>
                <w:szCs w:val="14"/>
                <w:color w:val="auto"/>
              </w:rPr>
              <w:t>Availability</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1,284</w:t>
            </w:r>
          </w:p>
        </w:tc>
      </w:tr>
      <w:tr>
        <w:trPr>
          <w:trHeight w:val="247"/>
        </w:trPr>
        <w:tc>
          <w:tcPr>
            <w:tcW w:w="56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4"/>
                <w:szCs w:val="14"/>
                <w:color w:val="auto"/>
              </w:rPr>
              <w:t>Liquidity</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1,315</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w:t>
            </w:r>
          </w:p>
        </w:tc>
      </w:tr>
      <w:tr>
        <w:trPr>
          <w:trHeight w:val="20"/>
        </w:trPr>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(1) Excludes restricted cash of $13 million and $15 million at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94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5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80" w:type="dxa"/>
            <w:vAlign w:val="bottom"/>
            <w:vMerge w:val="restart"/>
          </w:tcPr>
          <w:p>
            <w:pPr>
              <w:spacing w:after="0"/>
              <w:rPr>
                <w:sz w:val="12"/>
                <w:szCs w:val="12"/>
                <w:color w:val="auto"/>
              </w:rPr>
            </w:pPr>
          </w:p>
        </w:tc>
        <w:tc>
          <w:tcPr>
            <w:tcW w:w="1980" w:type="dxa"/>
            <w:vAlign w:val="bottom"/>
            <w:gridSpan w:val="3"/>
          </w:tcPr>
          <w:p>
            <w:pPr>
              <w:ind w:left="500"/>
              <w:spacing w:after="0" w:line="144" w:lineRule="exact"/>
              <w:rPr>
                <w:sz w:val="20"/>
                <w:szCs w:val="20"/>
                <w:color w:val="auto"/>
              </w:rPr>
            </w:pPr>
            <w:r>
              <w:rPr>
                <w:rFonts w:ascii="Arial" w:cs="Arial" w:eastAsia="Arial" w:hAnsi="Arial"/>
                <w:sz w:val="14"/>
                <w:szCs w:val="14"/>
                <w:b w:val="1"/>
                <w:bCs w:val="1"/>
                <w:color w:val="auto"/>
              </w:rPr>
              <w:t>Consolidated</w:t>
            </w:r>
          </w:p>
        </w:tc>
        <w:tc>
          <w:tcPr>
            <w:tcW w:w="200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rPr>
              <w:t>Oil and Natural Gas</w:t>
            </w:r>
          </w:p>
        </w:tc>
        <w:tc>
          <w:tcPr>
            <w:tcW w:w="1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4Q26E</w:t>
            </w:r>
          </w:p>
        </w:tc>
        <w:tc>
          <w:tcPr>
            <w:tcW w:w="80" w:type="dxa"/>
            <w:vAlign w:val="bottom"/>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production (MBoe/d)</w:t>
            </w: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1000" w:type="dxa"/>
            <w:vAlign w:val="bottom"/>
          </w:tcPr>
          <w:p>
            <w:pPr>
              <w:ind w:left="20"/>
              <w:spacing w:after="0"/>
              <w:rPr>
                <w:sz w:val="20"/>
                <w:szCs w:val="20"/>
                <w:color w:val="auto"/>
              </w:rPr>
            </w:pPr>
            <w:r>
              <w:rPr>
                <w:rFonts w:ascii="Arial" w:cs="Arial" w:eastAsia="Arial" w:hAnsi="Arial"/>
                <w:sz w:val="14"/>
                <w:szCs w:val="14"/>
                <w:color w:val="auto"/>
              </w:rPr>
              <w:t>- 152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oil production (%)</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$370</w:t>
            </w:r>
          </w:p>
        </w:tc>
        <w:tc>
          <w:tcPr>
            <w:tcW w:w="1000" w:type="dxa"/>
            <w:vAlign w:val="bottom"/>
          </w:tcPr>
          <w:p>
            <w:pPr>
              <w:ind w:left="20"/>
              <w:spacing w:after="0"/>
              <w:rPr>
                <w:sz w:val="20"/>
                <w:szCs w:val="20"/>
                <w:color w:val="auto"/>
              </w:rPr>
            </w:pPr>
            <w:r>
              <w:rPr>
                <w:rFonts w:ascii="Arial" w:cs="Arial" w:eastAsia="Arial" w:hAnsi="Arial"/>
                <w:sz w:val="14"/>
                <w:szCs w:val="14"/>
                <w:color w:val="auto"/>
              </w:rPr>
              <w:t>- $390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$370</w:t>
            </w:r>
          </w:p>
        </w:tc>
        <w:tc>
          <w:tcPr>
            <w:tcW w:w="980" w:type="dxa"/>
            <w:vAlign w:val="bottom"/>
          </w:tcPr>
          <w:p>
            <w:pPr>
              <w:ind w:left="20"/>
              <w:spacing w:after="0"/>
              <w:rPr>
                <w:sz w:val="20"/>
                <w:szCs w:val="20"/>
                <w:color w:val="auto"/>
              </w:rPr>
            </w:pPr>
            <w:r>
              <w:rPr>
                <w:rFonts w:ascii="Arial" w:cs="Arial" w:eastAsia="Arial" w:hAnsi="Arial"/>
                <w:sz w:val="14"/>
                <w:szCs w:val="14"/>
                <w:color w:val="auto"/>
              </w:rPr>
              <w:t>- $390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$95</w:t>
            </w:r>
          </w:p>
        </w:tc>
        <w:tc>
          <w:tcPr>
            <w:tcW w:w="1000" w:type="dxa"/>
            <w:vAlign w:val="bottom"/>
          </w:tcPr>
          <w:p>
            <w:pPr>
              <w:ind w:left="20"/>
              <w:spacing w:after="0"/>
              <w:rPr>
                <w:sz w:val="20"/>
                <w:szCs w:val="20"/>
                <w:color w:val="auto"/>
              </w:rPr>
            </w:pPr>
            <w:r>
              <w:rPr>
                <w:rFonts w:ascii="Arial" w:cs="Arial" w:eastAsia="Arial" w:hAnsi="Arial"/>
                <w:sz w:val="14"/>
                <w:szCs w:val="14"/>
                <w:color w:val="auto"/>
              </w:rPr>
              <w:t>- $99</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980" w:type="dxa"/>
            <w:vAlign w:val="bottom"/>
          </w:tcPr>
          <w:p>
            <w:pPr>
              <w:ind w:left="20"/>
              <w:spacing w:after="0"/>
              <w:rPr>
                <w:sz w:val="20"/>
                <w:szCs w:val="20"/>
                <w:color w:val="auto"/>
              </w:rPr>
            </w:pPr>
            <w:r>
              <w:rPr>
                <w:rFonts w:ascii="Arial" w:cs="Arial" w:eastAsia="Arial" w:hAnsi="Arial"/>
                <w:sz w:val="14"/>
                <w:szCs w:val="14"/>
                <w:color w:val="auto"/>
              </w:rPr>
              <w:t>- $16</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$0 - $2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$83</w:t>
            </w:r>
          </w:p>
        </w:tc>
        <w:tc>
          <w:tcPr>
            <w:tcW w:w="1000" w:type="dxa"/>
            <w:vAlign w:val="bottom"/>
          </w:tcPr>
          <w:p>
            <w:pPr>
              <w:ind w:left="20"/>
              <w:spacing w:after="0"/>
              <w:rPr>
                <w:sz w:val="20"/>
                <w:szCs w:val="20"/>
                <w:color w:val="auto"/>
              </w:rPr>
            </w:pPr>
            <w:r>
              <w:rPr>
                <w:rFonts w:ascii="Arial" w:cs="Arial" w:eastAsia="Arial" w:hAnsi="Arial"/>
                <w:sz w:val="14"/>
                <w:szCs w:val="14"/>
                <w:i w:val="1"/>
                <w:iCs w:val="1"/>
                <w:color w:val="auto"/>
              </w:rPr>
              <w:t>- $93</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$12</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$16</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i w:val="1"/>
                <w:iCs w:val="1"/>
                <w:color w:val="auto"/>
              </w:rPr>
              <w:t>$0 - $2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$128</w:t>
            </w:r>
          </w:p>
        </w:tc>
        <w:tc>
          <w:tcPr>
            <w:tcW w:w="1000" w:type="dxa"/>
            <w:vAlign w:val="bottom"/>
          </w:tcPr>
          <w:p>
            <w:pPr>
              <w:ind w:left="20"/>
              <w:spacing w:after="0"/>
              <w:rPr>
                <w:sz w:val="20"/>
                <w:szCs w:val="20"/>
                <w:color w:val="auto"/>
              </w:rPr>
            </w:pPr>
            <w:r>
              <w:rPr>
                <w:rFonts w:ascii="Arial" w:cs="Arial" w:eastAsia="Arial" w:hAnsi="Arial"/>
                <w:sz w:val="14"/>
                <w:szCs w:val="14"/>
                <w:color w:val="auto"/>
              </w:rPr>
              <w:t>- $140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w:t>
            </w:r>
          </w:p>
        </w:tc>
        <w:tc>
          <w:tcPr>
            <w:tcW w:w="980" w:type="dxa"/>
            <w:vAlign w:val="bottom"/>
          </w:tcPr>
          <w:p>
            <w:pPr>
              <w:ind w:left="20"/>
              <w:spacing w:after="0"/>
              <w:rPr>
                <w:sz w:val="20"/>
                <w:szCs w:val="20"/>
                <w:color w:val="auto"/>
              </w:rPr>
            </w:pPr>
            <w:r>
              <w:rPr>
                <w:rFonts w:ascii="Arial" w:cs="Arial" w:eastAsia="Arial" w:hAnsi="Arial"/>
                <w:sz w:val="14"/>
                <w:szCs w:val="14"/>
                <w:color w:val="auto"/>
              </w:rPr>
              <w:t>- $130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Capital investments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$110 - $130</w:t>
            </w:r>
          </w:p>
        </w:tc>
        <w:tc>
          <w:tcPr>
            <w:tcW w:w="8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$110 - $125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$0 - $2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$340</w:t>
            </w:r>
          </w:p>
        </w:tc>
        <w:tc>
          <w:tcPr>
            <w:tcW w:w="1000" w:type="dxa"/>
            <w:vAlign w:val="bottom"/>
          </w:tcPr>
          <w:p>
            <w:pPr>
              <w:ind w:left="20"/>
              <w:spacing w:after="0"/>
              <w:rPr>
                <w:sz w:val="20"/>
                <w:szCs w:val="20"/>
                <w:color w:val="auto"/>
              </w:rPr>
            </w:pPr>
            <w:r>
              <w:rPr>
                <w:rFonts w:ascii="Arial" w:cs="Arial" w:eastAsia="Arial" w:hAnsi="Arial"/>
                <w:sz w:val="14"/>
                <w:szCs w:val="14"/>
                <w:color w:val="auto"/>
              </w:rPr>
              <w:t>- $380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7"/>
              </w:rPr>
              <w:t>$11 - $15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revenue net of electricity generation expenses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7"/>
              </w:rPr>
              <w:t>$5 - $11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Other operating expenses net of other revenue ($ millions) </w:t>
            </w:r>
            <w:r>
              <w:rPr>
                <w:rFonts w:ascii="Arial" w:cs="Arial" w:eastAsia="Arial" w:hAnsi="Arial"/>
                <w:sz w:val="18"/>
                <w:szCs w:val="18"/>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000" w:type="dxa"/>
            <w:vAlign w:val="bottom"/>
          </w:tcPr>
          <w:p>
            <w:pPr>
              <w:ind w:left="20"/>
              <w:spacing w:after="0"/>
              <w:rPr>
                <w:sz w:val="20"/>
                <w:szCs w:val="20"/>
                <w:color w:val="auto"/>
              </w:rPr>
            </w:pPr>
            <w:r>
              <w:rPr>
                <w:rFonts w:ascii="Arial" w:cs="Arial" w:eastAsia="Arial" w:hAnsi="Arial"/>
                <w:sz w:val="14"/>
                <w:szCs w:val="14"/>
                <w:color w:val="auto"/>
              </w:rPr>
              <w:t>- $30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$4 - $12</w:t>
            </w: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Transportation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000" w:type="dxa"/>
            <w:vAlign w:val="bottom"/>
          </w:tcPr>
          <w:p>
            <w:pPr>
              <w:ind w:left="20"/>
              <w:spacing w:after="0"/>
              <w:rPr>
                <w:sz w:val="20"/>
                <w:szCs w:val="20"/>
                <w:color w:val="auto"/>
              </w:rPr>
            </w:pPr>
            <w:r>
              <w:rPr>
                <w:rFonts w:ascii="Arial" w:cs="Arial" w:eastAsia="Arial" w:hAnsi="Arial"/>
                <w:sz w:val="14"/>
                <w:szCs w:val="14"/>
                <w:color w:val="auto"/>
              </w:rPr>
              <w:t>- $35</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980" w:type="dxa"/>
            <w:vAlign w:val="bottom"/>
          </w:tcPr>
          <w:p>
            <w:pPr>
              <w:ind w:left="20"/>
              <w:spacing w:after="0"/>
              <w:rPr>
                <w:sz w:val="20"/>
                <w:szCs w:val="20"/>
                <w:color w:val="auto"/>
              </w:rPr>
            </w:pPr>
            <w:r>
              <w:rPr>
                <w:rFonts w:ascii="Arial" w:cs="Arial" w:eastAsia="Arial" w:hAnsi="Arial"/>
                <w:sz w:val="14"/>
                <w:szCs w:val="14"/>
                <w:color w:val="auto"/>
              </w:rPr>
              <w:t>- $24</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Taxes other than on income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$68</w:t>
            </w:r>
          </w:p>
        </w:tc>
        <w:tc>
          <w:tcPr>
            <w:tcW w:w="1000" w:type="dxa"/>
            <w:vAlign w:val="bottom"/>
          </w:tcPr>
          <w:p>
            <w:pPr>
              <w:ind w:left="20"/>
              <w:spacing w:after="0"/>
              <w:rPr>
                <w:sz w:val="20"/>
                <w:szCs w:val="20"/>
                <w:color w:val="auto"/>
              </w:rPr>
            </w:pPr>
            <w:r>
              <w:rPr>
                <w:rFonts w:ascii="Arial" w:cs="Arial" w:eastAsia="Arial" w:hAnsi="Arial"/>
                <w:sz w:val="14"/>
                <w:szCs w:val="14"/>
                <w:color w:val="auto"/>
              </w:rPr>
              <w:t>- $78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980" w:type="dxa"/>
            <w:vAlign w:val="bottom"/>
          </w:tcPr>
          <w:p>
            <w:pPr>
              <w:ind w:left="20"/>
              <w:spacing w:after="0"/>
              <w:rPr>
                <w:sz w:val="20"/>
                <w:szCs w:val="20"/>
                <w:color w:val="auto"/>
              </w:rPr>
            </w:pPr>
            <w:r>
              <w:rPr>
                <w:rFonts w:ascii="Arial" w:cs="Arial" w:eastAsia="Arial" w:hAnsi="Arial"/>
                <w:sz w:val="14"/>
                <w:szCs w:val="14"/>
                <w:color w:val="auto"/>
              </w:rPr>
              <w:t>- $66</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0" w:type="dxa"/>
            <w:vAlign w:val="bottom"/>
          </w:tcPr>
          <w:p>
            <w:pPr>
              <w:ind w:left="20"/>
              <w:spacing w:after="0"/>
              <w:rPr>
                <w:sz w:val="20"/>
                <w:szCs w:val="20"/>
                <w:color w:val="auto"/>
              </w:rPr>
            </w:pPr>
            <w:r>
              <w:rPr>
                <w:rFonts w:ascii="Arial" w:cs="Arial" w:eastAsia="Arial" w:hAnsi="Arial"/>
                <w:sz w:val="14"/>
                <w:szCs w:val="14"/>
                <w:color w:val="auto"/>
              </w:rPr>
              <w:t>- $32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Other Assumptions: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Brent ($/Bbl)</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$102.90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NYMEX ($/Mcf)</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6"/>
              </w:rPr>
              <w:t>$3.25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oil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1000" w:type="dxa"/>
            <w:vAlign w:val="bottom"/>
          </w:tcPr>
          <w:p>
            <w:pPr>
              <w:ind w:left="20"/>
              <w:spacing w:after="0"/>
              <w:rPr>
                <w:sz w:val="20"/>
                <w:szCs w:val="20"/>
                <w:color w:val="auto"/>
              </w:rPr>
            </w:pPr>
            <w:r>
              <w:rPr>
                <w:rFonts w:ascii="Arial" w:cs="Arial" w:eastAsia="Arial" w:hAnsi="Arial"/>
                <w:sz w:val="14"/>
                <w:szCs w:val="14"/>
                <w:color w:val="auto"/>
              </w:rPr>
              <w:t>- 93%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NGLs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1000" w:type="dxa"/>
            <w:vAlign w:val="bottom"/>
          </w:tcPr>
          <w:p>
            <w:pPr>
              <w:ind w:left="20"/>
              <w:spacing w:after="0"/>
              <w:rPr>
                <w:sz w:val="20"/>
                <w:szCs w:val="20"/>
                <w:color w:val="auto"/>
              </w:rPr>
            </w:pPr>
            <w:r>
              <w:rPr>
                <w:rFonts w:ascii="Arial" w:cs="Arial" w:eastAsia="Arial" w:hAnsi="Arial"/>
                <w:sz w:val="14"/>
                <w:szCs w:val="14"/>
                <w:color w:val="auto"/>
              </w:rPr>
              <w:t>- 62%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natural gas - % of NYMEX:</w:t>
            </w: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1000" w:type="dxa"/>
            <w:vAlign w:val="bottom"/>
          </w:tcPr>
          <w:p>
            <w:pPr>
              <w:ind w:left="20"/>
              <w:spacing w:after="0"/>
              <w:rPr>
                <w:sz w:val="20"/>
                <w:szCs w:val="20"/>
                <w:color w:val="auto"/>
              </w:rPr>
            </w:pPr>
            <w:r>
              <w:rPr>
                <w:rFonts w:ascii="Arial" w:cs="Arial" w:eastAsia="Arial" w:hAnsi="Arial"/>
                <w:sz w:val="14"/>
                <w:szCs w:val="14"/>
                <w:color w:val="auto"/>
              </w:rPr>
              <w:t>- 116%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 xml:space="preserve">Current income tax provision ($ millions) </w:t>
            </w:r>
            <w:r>
              <w:rPr>
                <w:rFonts w:ascii="Arial" w:cs="Arial" w:eastAsia="Arial" w:hAnsi="Arial"/>
                <w:sz w:val="18"/>
                <w:szCs w:val="18"/>
                <w:color w:val="auto"/>
                <w:vertAlign w:val="superscript"/>
              </w:rPr>
              <w:t>(3)</w:t>
            </w:r>
          </w:p>
        </w:tc>
        <w:tc>
          <w:tcPr>
            <w:tcW w:w="1900" w:type="dxa"/>
            <w:vAlign w:val="bottom"/>
            <w:gridSpan w:val="2"/>
          </w:tcPr>
          <w:p>
            <w:pPr>
              <w:jc w:val="right"/>
              <w:ind w:right="609"/>
              <w:spacing w:after="0"/>
              <w:rPr>
                <w:sz w:val="20"/>
                <w:szCs w:val="20"/>
                <w:color w:val="auto"/>
              </w:rPr>
            </w:pPr>
            <w:r>
              <w:rPr>
                <w:rFonts w:ascii="Arial" w:cs="Arial" w:eastAsia="Arial" w:hAnsi="Arial"/>
                <w:sz w:val="14"/>
                <w:szCs w:val="14"/>
                <w:color w:val="auto"/>
              </w:rPr>
              <w:t>$(2) - $2</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Effective tax rate</w:t>
            </w: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0" w:type="dxa"/>
            <w:vAlign w:val="bottom"/>
          </w:tcPr>
          <w:p>
            <w:pPr>
              <w:ind w:left="20"/>
              <w:spacing w:after="0"/>
              <w:rPr>
                <w:sz w:val="20"/>
                <w:szCs w:val="20"/>
                <w:color w:val="auto"/>
              </w:rPr>
            </w:pPr>
            <w:r>
              <w:rPr>
                <w:rFonts w:ascii="Arial" w:cs="Arial" w:eastAsia="Arial" w:hAnsi="Arial"/>
                <w:sz w:val="14"/>
                <w:szCs w:val="14"/>
                <w:color w:val="auto"/>
              </w:rPr>
              <w:t>- 31%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firstLine="7"/>
        <w:spacing w:after="0"/>
        <w:tabs>
          <w:tab w:leader="none" w:pos="138"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Margin from purchased commodities is calculated as the difference between revenue from marketing of purchased commodities and costs related to marketing of purchased commodities, and excludes costs of transportation.</w:t>
      </w:r>
    </w:p>
    <w:p>
      <w:pPr>
        <w:ind w:right="20" w:firstLine="7"/>
        <w:spacing w:after="0" w:line="220" w:lineRule="auto"/>
        <w:tabs>
          <w:tab w:leader="none" w:pos="138"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Other operating expenses net of other revenue is calculated as the difference between other revenue and other operating expenses, net and includes exploration expense and CMB expenses. CMB expenses includes lease cost for sequestration easements, advocacy, and other startup related costs.</w:t>
      </w:r>
    </w:p>
    <w:p>
      <w:pPr>
        <w:spacing w:after="0" w:line="238" w:lineRule="auto"/>
        <w:rPr>
          <w:rFonts w:ascii="Arial" w:cs="Arial" w:eastAsia="Arial" w:hAnsi="Arial"/>
          <w:sz w:val="16"/>
          <w:szCs w:val="16"/>
          <w:color w:val="auto"/>
          <w:vertAlign w:val="superscript"/>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jc w:val="both"/>
        <w:ind w:firstLine="7"/>
        <w:spacing w:after="0" w:line="248" w:lineRule="auto"/>
        <w:tabs>
          <w:tab w:leader="none" w:pos="155" w:val="left"/>
        </w:tabs>
        <w:numPr>
          <w:ilvl w:val="0"/>
          <w:numId w:val="9"/>
        </w:numPr>
        <w:rPr>
          <w:rFonts w:ascii="Arial" w:cs="Arial" w:eastAsia="Arial" w:hAnsi="Arial"/>
          <w:sz w:val="9"/>
          <w:szCs w:val="9"/>
          <w:color w:val="auto"/>
        </w:rPr>
      </w:pPr>
      <w:r>
        <w:rPr>
          <w:rFonts w:ascii="Arial" w:cs="Arial" w:eastAsia="Arial" w:hAnsi="Arial"/>
          <w:sz w:val="14"/>
          <w:szCs w:val="14"/>
          <w:color w:val="auto"/>
        </w:rPr>
        <w:t>Current income tax composition is subject to variability and depends on a number of factors, including but not limited to, final taxable income determinations, the availability and utilization of net operating loss carryforwards (NOLs), applicable tax credits, and other differences between book and taxable income. Accordingly, the current provision may vary from period to period and should not be viewed as indicative of future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091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7091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20"/>
                <w:szCs w:val="20"/>
                <w:color w:val="auto"/>
              </w:rPr>
            </w:pPr>
            <w:r>
              <w:rPr>
                <w:rFonts w:ascii="Arial" w:cs="Arial" w:eastAsia="Arial" w:hAnsi="Arial"/>
                <w:sz w:val="14"/>
                <w:szCs w:val="14"/>
                <w:b w:val="1"/>
                <w:bCs w:val="1"/>
                <w:color w:val="auto"/>
              </w:rPr>
              <w:t>FORWARD LOOKING NON-GAAP RECONCILIATIONS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4Q26E</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4"/>
            <w:vMerge w:val="restart"/>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60"/>
              <w:spacing w:after="0" w:line="141" w:lineRule="exact"/>
              <w:rPr>
                <w:sz w:val="20"/>
                <w:szCs w:val="20"/>
                <w:color w:val="auto"/>
              </w:rPr>
            </w:pPr>
            <w:r>
              <w:rPr>
                <w:rFonts w:ascii="Arial" w:cs="Arial" w:eastAsia="Arial" w:hAnsi="Arial"/>
                <w:sz w:val="14"/>
                <w:szCs w:val="14"/>
                <w:b w:val="1"/>
                <w:bCs w:val="1"/>
                <w:color w:val="auto"/>
              </w:rPr>
              <w:t>Oil and Natural Gas</w:t>
            </w:r>
          </w:p>
        </w:tc>
        <w:tc>
          <w:tcPr>
            <w:tcW w:w="200" w:type="dxa"/>
            <w:vAlign w:val="bottom"/>
          </w:tcPr>
          <w:p>
            <w:pPr>
              <w:spacing w:after="0"/>
              <w:rPr>
                <w:sz w:val="12"/>
                <w:szCs w:val="12"/>
                <w:color w:val="auto"/>
              </w:rPr>
            </w:pPr>
          </w:p>
        </w:tc>
        <w:tc>
          <w:tcPr>
            <w:tcW w:w="1860" w:type="dxa"/>
            <w:vAlign w:val="bottom"/>
            <w:gridSpan w:val="4"/>
          </w:tcPr>
          <w:p>
            <w:pPr>
              <w:jc w:val="center"/>
              <w:ind w:right="129"/>
              <w:spacing w:after="0" w:line="141"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69"/>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Low</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409"/>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60" w:type="dxa"/>
            <w:vAlign w:val="bottom"/>
          </w:tcPr>
          <w:p>
            <w:pPr>
              <w:jc w:val="center"/>
              <w:ind w:left="38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center"/>
              <w:ind w:left="409"/>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2"/>
          </w:tcPr>
          <w:p>
            <w:pPr>
              <w:ind w:left="58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105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4Q26E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Revenue from marketing of purchased commodities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center"/>
              <w:ind w:left="469"/>
              <w:spacing w:after="0"/>
              <w:rPr>
                <w:sz w:val="20"/>
                <w:szCs w:val="20"/>
                <w:color w:val="auto"/>
              </w:rPr>
            </w:pPr>
            <w:r>
              <w:rPr>
                <w:rFonts w:ascii="Arial" w:cs="Arial" w:eastAsia="Arial" w:hAnsi="Arial"/>
                <w:sz w:val="14"/>
                <w:szCs w:val="14"/>
                <w:color w:val="auto"/>
              </w:rPr>
              <w:t>46</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Costs related to marketing of purchased commodities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rPr>
              <w:t>(31)</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Margin from purchased commodities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rPr>
              <w:t>15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4Q26E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Electricity revenues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Electricity generation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Electricity revenue net of electricity generation expenses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209"/>
              <w:spacing w:after="0"/>
              <w:rPr>
                <w:sz w:val="20"/>
                <w:szCs w:val="20"/>
                <w:color w:val="auto"/>
              </w:rPr>
            </w:pPr>
            <w:r>
              <w:rPr>
                <w:rFonts w:ascii="Arial" w:cs="Arial" w:eastAsia="Arial" w:hAnsi="Arial"/>
                <w:sz w:val="14"/>
                <w:szCs w:val="14"/>
                <w:b w:val="1"/>
                <w:bCs w:val="1"/>
                <w:color w:val="auto"/>
              </w:rPr>
              <w:t>4Q26E</w:t>
            </w:r>
          </w:p>
        </w:tc>
        <w:tc>
          <w:tcPr>
            <w:tcW w:w="820" w:type="dxa"/>
            <w:vAlign w:val="bottom"/>
          </w:tcPr>
          <w:p>
            <w:pPr>
              <w:spacing w:after="0"/>
              <w:rPr>
                <w:sz w:val="16"/>
                <w:szCs w:val="16"/>
                <w:color w:val="auto"/>
              </w:rPr>
            </w:pPr>
          </w:p>
        </w:tc>
      </w:tr>
      <w:tr>
        <w:trPr>
          <w:trHeight w:val="195"/>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Other operating expenses, net</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center"/>
              <w:ind w:left="609"/>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center"/>
              <w:ind w:left="469"/>
              <w:spacing w:after="0"/>
              <w:rPr>
                <w:sz w:val="20"/>
                <w:szCs w:val="20"/>
                <w:color w:val="auto"/>
              </w:rPr>
            </w:pPr>
            <w:r>
              <w:rPr>
                <w:rFonts w:ascii="Arial" w:cs="Arial" w:eastAsia="Arial" w:hAnsi="Arial"/>
                <w:sz w:val="14"/>
                <w:szCs w:val="14"/>
                <w:color w:val="auto"/>
              </w:rPr>
              <w:t>53</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rPr>
              <w:t>(23)</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Other operating expenses net of other revenue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center"/>
              <w:ind w:left="60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rPr>
              <w:t>30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20"/>
          </w:cols>
          <w:pgMar w:left="340" w:top="1226" w:right="339" w:bottom="1440" w:gutter="0" w:footer="0" w:header="0"/>
        </w:sectPr>
      </w:pPr>
    </w:p>
    <w:bookmarkStart w:id="14" w:name="page15"/>
    <w:bookmarkEnd w:id="14"/>
    <w:p>
      <w:pPr>
        <w:ind w:left="1030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RECONCILIATIONS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spacing w:after="0" w:line="208" w:lineRule="auto"/>
        <w:rPr>
          <w:sz w:val="20"/>
          <w:szCs w:val="20"/>
          <w:color w:val="auto"/>
        </w:rPr>
      </w:pPr>
      <w:r>
        <w:rPr>
          <w:rFonts w:ascii="Arial" w:cs="Arial" w:eastAsia="Arial" w:hAnsi="Arial"/>
          <w:sz w:val="14"/>
          <w:szCs w:val="14"/>
          <w:color w:val="auto"/>
        </w:rPr>
        <w:t>measures to assess its financial condition, results of operations and cash flows. These measures are also widely used by the industry, the investment community and CRC's lenders. Although these are non-GAAP measures, the amounts included in the calculations were computed in accordance with GAAP. Certain items excluded from these non-</w:t>
      </w:r>
    </w:p>
    <w:p>
      <w:pPr>
        <w:spacing w:after="0" w:line="219" w:lineRule="auto"/>
        <w:rPr>
          <w:sz w:val="20"/>
          <w:szCs w:val="20"/>
          <w:color w:val="auto"/>
        </w:rPr>
      </w:pPr>
      <w:r>
        <w:rPr>
          <w:rFonts w:ascii="Arial" w:cs="Arial" w:eastAsia="Arial" w:hAnsi="Arial"/>
          <w:sz w:val="14"/>
          <w:szCs w:val="14"/>
          <w:color w:val="auto"/>
        </w:rPr>
        <w:t>GAAP measures are significant components in understanding and assessing CRC's financial performance, such as CRC's cost of capital and tax structure, as well as the effect of</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4"/>
          <w:szCs w:val="14"/>
          <w:color w:val="auto"/>
        </w:rPr>
        <w:t>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measures presented herein may not be comparable to other similarly titled measures of other companies. Below are additional disclosures regarding each of these non-GAAP measures,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17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250190</wp:posOffset>
            </wp:positionV>
            <wp:extent cx="7117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w:t>
      </w:r>
    </w:p>
    <w:p>
      <w:pPr>
        <w:ind w:left="20"/>
        <w:spacing w:after="0" w:line="218" w:lineRule="auto"/>
        <w:rPr>
          <w:sz w:val="20"/>
          <w:szCs w:val="20"/>
          <w:color w:val="auto"/>
        </w:rPr>
      </w:pPr>
      <w:r>
        <w:rPr>
          <w:rFonts w:ascii="Arial" w:cs="Arial" w:eastAsia="Arial" w:hAnsi="Arial"/>
          <w:sz w:val="14"/>
          <w:szCs w:val="14"/>
          <w:color w:val="auto"/>
        </w:rPr>
        <w:t>periods. Management believes these non-GAAP measures provide useful information to the industry and the investment community interested in comparing CRC's financial</w:t>
      </w:r>
    </w:p>
    <w:p>
      <w:pPr>
        <w:ind w:left="20" w:right="20"/>
        <w:spacing w:after="0" w:line="208" w:lineRule="auto"/>
        <w:rPr>
          <w:sz w:val="20"/>
          <w:szCs w:val="20"/>
          <w:color w:val="auto"/>
        </w:rPr>
      </w:pPr>
      <w:r>
        <w:rPr>
          <w:rFonts w:ascii="Arial" w:cs="Arial" w:eastAsia="Arial" w:hAnsi="Arial"/>
          <w:sz w:val="14"/>
          <w:szCs w:val="14"/>
          <w:color w:val="auto"/>
        </w:rPr>
        <w:t>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attributable to common stock per share to the non-GAAP financial measures of adjusted net income and adjusted net income per share.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i w:val="1"/>
                <w:iCs w:val="1"/>
                <w:color w:val="auto"/>
              </w:rPr>
              <w:t>($ millions, except per share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514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351</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80" w:type="dxa"/>
            <w:vAlign w:val="bottom"/>
          </w:tcPr>
          <w:p>
            <w:pPr>
              <w:ind w:left="120"/>
              <w:spacing w:after="0" w:line="154" w:lineRule="exact"/>
              <w:rPr>
                <w:sz w:val="20"/>
                <w:szCs w:val="20"/>
                <w:color w:val="auto"/>
              </w:rPr>
            </w:pPr>
            <w:r>
              <w:rPr>
                <w:rFonts w:ascii="Arial" w:cs="Arial" w:eastAsia="Arial" w:hAnsi="Arial"/>
                <w:sz w:val="14"/>
                <w:szCs w:val="14"/>
                <w:color w:val="auto"/>
              </w:rPr>
              <w:t>Non-cash derivative loss (gain) on Brent based commodity</w:t>
            </w:r>
          </w:p>
        </w:tc>
        <w:tc>
          <w:tcPr>
            <w:tcW w:w="180" w:type="dxa"/>
            <w:vAlign w:val="bottom"/>
          </w:tcPr>
          <w:p>
            <w:pPr>
              <w:spacing w:after="0"/>
              <w:rPr>
                <w:sz w:val="13"/>
                <w:szCs w:val="13"/>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554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280" w:type="dxa"/>
            <w:vAlign w:val="bottom"/>
          </w:tcPr>
          <w:p>
            <w:pPr>
              <w:ind w:left="120"/>
              <w:spacing w:after="0" w:line="145" w:lineRule="exact"/>
              <w:rPr>
                <w:sz w:val="20"/>
                <w:szCs w:val="20"/>
                <w:color w:val="auto"/>
              </w:rPr>
            </w:pPr>
            <w:r>
              <w:rPr>
                <w:rFonts w:ascii="Arial" w:cs="Arial" w:eastAsia="Arial" w:hAnsi="Arial"/>
                <w:sz w:val="14"/>
                <w:szCs w:val="14"/>
                <w:color w:val="auto"/>
              </w:rPr>
              <w:t>Non-cash derivative (gain) loss on natural gas derivative</w:t>
            </w: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contracts</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Pr>
          <w:p>
            <w:pPr>
              <w:ind w:left="1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Severance and termination costs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Merger-related costs</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Net loss on asset divestitures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Loss on early extinguishment of debt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Offshore platform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Litigation and settlements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Measurement period adjustments, net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42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93"/>
        </w:trPr>
        <w:tc>
          <w:tcPr>
            <w:tcW w:w="4280" w:type="dxa"/>
            <w:vAlign w:val="bottom"/>
          </w:tcPr>
          <w:p>
            <w:pPr>
              <w:ind w:left="200"/>
              <w:spacing w:after="0"/>
              <w:rPr>
                <w:sz w:val="20"/>
                <w:szCs w:val="20"/>
                <w:color w:val="auto"/>
              </w:rPr>
            </w:pPr>
            <w:r>
              <w:rPr>
                <w:rFonts w:ascii="Arial" w:cs="Arial" w:eastAsia="Arial" w:hAnsi="Arial"/>
                <w:sz w:val="14"/>
                <w:szCs w:val="14"/>
                <w:color w:val="auto"/>
              </w:rPr>
              <w:t>Total unusual, infrequent and other items</w:t>
            </w:r>
          </w:p>
        </w:tc>
        <w:tc>
          <w:tcPr>
            <w:tcW w:w="18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48"/>
        </w:trPr>
        <w:tc>
          <w:tcPr>
            <w:tcW w:w="4280" w:type="dxa"/>
            <w:vAlign w:val="bottom"/>
          </w:tcPr>
          <w:p>
            <w:pPr>
              <w:ind w:left="120"/>
              <w:spacing w:after="0" w:line="148" w:lineRule="exact"/>
              <w:rPr>
                <w:sz w:val="20"/>
                <w:szCs w:val="20"/>
                <w:color w:val="auto"/>
              </w:rPr>
            </w:pPr>
            <w:r>
              <w:rPr>
                <w:rFonts w:ascii="Arial" w:cs="Arial" w:eastAsia="Arial" w:hAnsi="Arial"/>
                <w:sz w:val="14"/>
                <w:szCs w:val="14"/>
                <w:color w:val="auto"/>
              </w:rPr>
              <w:t>Income tax (benefit) provision of adjustments at the combined</w:t>
            </w: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4"/>
                <w:szCs w:val="14"/>
                <w:color w:val="auto"/>
              </w:rPr>
              <w:t>tax rate</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280" w:type="dxa"/>
            <w:vAlign w:val="bottom"/>
          </w:tcPr>
          <w:p>
            <w:pPr>
              <w:spacing w:after="0"/>
              <w:rPr>
                <w:sz w:val="20"/>
                <w:szCs w:val="20"/>
                <w:color w:val="auto"/>
              </w:rPr>
            </w:pPr>
            <w:r>
              <w:rPr>
                <w:rFonts w:ascii="Arial" w:cs="Arial" w:eastAsia="Arial" w:hAnsi="Arial"/>
                <w:sz w:val="14"/>
                <w:szCs w:val="14"/>
                <w:color w:val="auto"/>
              </w:rPr>
              <w:t>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5.79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(5.77)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5.76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(5.77)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3.97</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0.99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0.99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00"/>
          </w:cols>
          <w:pgMar w:left="340" w:top="1050" w:right="359" w:bottom="1440" w:gutter="0" w:footer="0" w:header="0"/>
        </w:sectPr>
      </w:pPr>
    </w:p>
    <w:bookmarkStart w:id="15" w:name="page16"/>
    <w:bookmarkEnd w:id="15"/>
    <w:p>
      <w:pPr>
        <w:ind w:left="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401955</wp:posOffset>
            </wp:positionH>
            <wp:positionV relativeFrom="page">
              <wp:posOffset>664210</wp:posOffset>
            </wp:positionV>
            <wp:extent cx="67449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4970" cy="8255"/>
                    </a:xfrm>
                    <a:prstGeom prst="rect">
                      <a:avLst/>
                    </a:prstGeom>
                    <a:noFill/>
                  </pic:spPr>
                </pic:pic>
              </a:graphicData>
            </a:graphic>
          </wp:anchor>
        </w:drawing>
        <w:drawing>
          <wp:anchor simplePos="0" relativeHeight="251657728" behindDoc="1" locked="0" layoutInCell="0" allowOverlap="1">
            <wp:simplePos x="0" y="0"/>
            <wp:positionH relativeFrom="page">
              <wp:posOffset>401955</wp:posOffset>
            </wp:positionH>
            <wp:positionV relativeFrom="page">
              <wp:posOffset>689610</wp:posOffset>
            </wp:positionV>
            <wp:extent cx="6744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4970" cy="8255"/>
                    </a:xfrm>
                    <a:prstGeom prst="rect">
                      <a:avLst/>
                    </a:prstGeom>
                    <a:noFill/>
                  </pic:spPr>
                </pic:pic>
              </a:graphicData>
            </a:graphic>
          </wp:anchor>
        </w:drawing>
        <w:t>ADJUSTED EBITDAX</w:t>
      </w:r>
    </w:p>
    <w:p>
      <w:pPr>
        <w:spacing w:after="0" w:line="9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10" w:lineRule="exact"/>
        <w:rPr>
          <w:sz w:val="20"/>
          <w:szCs w:val="20"/>
          <w:color w:val="auto"/>
        </w:rPr>
      </w:pPr>
    </w:p>
    <w:p>
      <w:pPr>
        <w:jc w:val="both"/>
        <w:ind w:left="9" w:right="20"/>
        <w:spacing w:after="0" w:line="238" w:lineRule="auto"/>
        <w:rPr>
          <w:sz w:val="20"/>
          <w:szCs w:val="20"/>
          <w:color w:val="auto"/>
        </w:rPr>
      </w:pPr>
      <w:r>
        <w:rPr>
          <w:rFonts w:ascii="Arial" w:cs="Arial" w:eastAsia="Arial" w:hAnsi="Arial"/>
          <w:sz w:val="14"/>
          <w:szCs w:val="14"/>
          <w:color w:val="auto"/>
        </w:rPr>
        <w:t>These materials include forward-looking non-GAAP financial measures, including adjusted EBITDAX. CRC is unable to provide a reconciliation of such forward-looking non-GAAP measures to the most directly comparable forward-looking GAAP financial measures because certain information needed to reconcile these measures is</w:t>
      </w:r>
    </w:p>
    <w:p>
      <w:pPr>
        <w:spacing w:after="0" w:line="1" w:lineRule="exact"/>
        <w:rPr>
          <w:sz w:val="20"/>
          <w:szCs w:val="20"/>
          <w:color w:val="auto"/>
        </w:rPr>
      </w:pPr>
    </w:p>
    <w:p>
      <w:pPr>
        <w:jc w:val="both"/>
        <w:ind w:left="9" w:right="20"/>
        <w:spacing w:after="0" w:line="248" w:lineRule="auto"/>
        <w:rPr>
          <w:sz w:val="20"/>
          <w:szCs w:val="20"/>
          <w:color w:val="auto"/>
        </w:rPr>
      </w:pPr>
      <w:r>
        <w:rPr>
          <w:rFonts w:ascii="Arial" w:cs="Arial" w:eastAsia="Arial" w:hAnsi="Arial"/>
          <w:sz w:val="14"/>
          <w:szCs w:val="14"/>
          <w:color w:val="auto"/>
        </w:rPr>
        <w:t>dependent on future events, many of which are outside of CRC’s control and cannot be reasonably predicted at this time. These items include, but are not limited to, changes in working capital, the timing and amount of capital accruals, and other non-cash or unusual items. Accordingly, a quantitative reconciliation is not available without unreasonable efforts.</w:t>
      </w:r>
    </w:p>
    <w:p>
      <w:pPr>
        <w:spacing w:after="0" w:line="207" w:lineRule="exact"/>
        <w:rPr>
          <w:sz w:val="20"/>
          <w:szCs w:val="20"/>
          <w:color w:val="auto"/>
        </w:rPr>
      </w:pPr>
    </w:p>
    <w:p>
      <w:pPr>
        <w:jc w:val="both"/>
        <w:ind w:left="9" w:right="20"/>
        <w:spacing w:after="0" w:line="258"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included non-GAAP measures of adjusted EBITDAX for its oil and gas segment and its carbon management segment below. Management believes these segment non-GAAP measures are useful for investors to understand the results of our core businesses.</w:t>
      </w:r>
    </w:p>
    <w:p>
      <w:pPr>
        <w:spacing w:after="0" w:line="200" w:lineRule="exact"/>
        <w:rPr>
          <w:sz w:val="20"/>
          <w:szCs w:val="20"/>
          <w:color w:val="auto"/>
        </w:rPr>
      </w:pPr>
    </w:p>
    <w:p>
      <w:pPr>
        <w:spacing w:after="0" w:line="32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16"/>
                <w:szCs w:val="16"/>
                <w:color w:val="auto"/>
              </w:rPr>
            </w:pPr>
          </w:p>
        </w:tc>
        <w:tc>
          <w:tcPr>
            <w:tcW w:w="1140" w:type="dxa"/>
            <w:vAlign w:val="bottom"/>
          </w:tcPr>
          <w:p>
            <w:pPr>
              <w:jc w:val="right"/>
              <w:ind w:right="16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3700" w:type="dxa"/>
            <w:vAlign w:val="bottom"/>
          </w:tcPr>
          <w:p>
            <w:pPr>
              <w:spacing w:after="0"/>
              <w:rPr>
                <w:sz w:val="20"/>
                <w:szCs w:val="20"/>
                <w:color w:val="auto"/>
              </w:rPr>
            </w:pPr>
            <w:r>
              <w:rPr>
                <w:rFonts w:ascii="Arial" w:cs="Arial" w:eastAsia="Arial" w:hAnsi="Arial"/>
                <w:sz w:val="14"/>
                <w:szCs w:val="14"/>
                <w:i w:val="1"/>
                <w:iCs w:val="1"/>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3700" w:type="dxa"/>
            <w:vAlign w:val="bottom"/>
          </w:tcPr>
          <w:p>
            <w:pPr>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351</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77</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382</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Income tax (benefit) provision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128</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subsidiaries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r>
      <w:tr>
        <w:trPr>
          <w:trHeight w:val="205"/>
        </w:trPr>
        <w:tc>
          <w:tcPr>
            <w:tcW w:w="370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1,100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195"/>
        </w:trPr>
        <w:tc>
          <w:tcPr>
            <w:tcW w:w="3700" w:type="dxa"/>
            <w:vAlign w:val="bottom"/>
          </w:tcPr>
          <w:p>
            <w:pPr>
              <w:ind w:left="120"/>
              <w:spacing w:after="0"/>
              <w:rPr>
                <w:sz w:val="20"/>
                <w:szCs w:val="20"/>
                <w:color w:val="auto"/>
              </w:rPr>
            </w:pPr>
            <w:r>
              <w:rPr>
                <w:rFonts w:ascii="Arial" w:cs="Arial" w:eastAsia="Arial" w:hAnsi="Arial"/>
                <w:sz w:val="14"/>
                <w:szCs w:val="14"/>
                <w:color w:val="auto"/>
              </w:rPr>
              <w:t>Non-cash items</w:t>
            </w: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370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85</w:t>
            </w:r>
          </w:p>
        </w:tc>
      </w:tr>
      <w:tr>
        <w:trPr>
          <w:trHeight w:val="200"/>
        </w:trPr>
        <w:tc>
          <w:tcPr>
            <w:tcW w:w="37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18</w:t>
            </w:r>
          </w:p>
        </w:tc>
      </w:tr>
      <w:tr>
        <w:trPr>
          <w:trHeight w:val="201"/>
        </w:trPr>
        <w:tc>
          <w:tcPr>
            <w:tcW w:w="3700" w:type="dxa"/>
            <w:vAlign w:val="bottom"/>
          </w:tcPr>
          <w:p>
            <w:pPr>
              <w:ind w:left="220"/>
              <w:spacing w:after="0"/>
              <w:rPr>
                <w:sz w:val="20"/>
                <w:szCs w:val="20"/>
                <w:color w:val="auto"/>
              </w:rPr>
            </w:pPr>
            <w:r>
              <w:rPr>
                <w:rFonts w:ascii="Arial" w:cs="Arial" w:eastAsia="Arial" w:hAnsi="Arial"/>
                <w:sz w:val="14"/>
                <w:szCs w:val="14"/>
                <w:color w:val="auto"/>
              </w:rPr>
              <w:t>Pension and post-retirement benefits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4"/>
        </w:trPr>
        <w:tc>
          <w:tcPr>
            <w:tcW w:w="3700" w:type="dxa"/>
            <w:vAlign w:val="bottom"/>
          </w:tcPr>
          <w:p>
            <w:pPr>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983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990</w:t>
            </w: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667</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630</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Cash interest payments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56</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Cash interest received</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45</w:t>
            </w:r>
          </w:p>
        </w:tc>
      </w:tr>
      <w:tr>
        <w:trPr>
          <w:trHeight w:val="200"/>
        </w:trPr>
        <w:tc>
          <w:tcPr>
            <w:tcW w:w="370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r>
      <w:tr>
        <w:trPr>
          <w:trHeight w:val="201"/>
        </w:trPr>
        <w:tc>
          <w:tcPr>
            <w:tcW w:w="370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264</w:t>
            </w:r>
          </w:p>
        </w:tc>
      </w:tr>
      <w:tr>
        <w:trPr>
          <w:trHeight w:val="194"/>
        </w:trPr>
        <w:tc>
          <w:tcPr>
            <w:tcW w:w="3700" w:type="dxa"/>
            <w:vAlign w:val="bottom"/>
          </w:tcPr>
          <w:p>
            <w:pPr>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983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990</w:t>
            </w: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4"/>
                <w:szCs w:val="14"/>
                <w:b w:val="1"/>
                <w:bCs w:val="1"/>
                <w:color w:val="auto"/>
              </w:rPr>
              <w:t>Net (loss) income per Boe</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(22.51)</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37.93</w:t>
            </w:r>
          </w:p>
        </w:tc>
        <w:tc>
          <w:tcPr>
            <w:tcW w:w="10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5.09</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(12.36)</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9.31</w:t>
            </w:r>
          </w:p>
        </w:tc>
      </w:tr>
      <w:tr>
        <w:trPr>
          <w:trHeight w:val="200"/>
        </w:trPr>
        <w:tc>
          <w:tcPr>
            <w:tcW w:w="3700" w:type="dxa"/>
            <w:vAlign w:val="bottom"/>
          </w:tcPr>
          <w:p>
            <w:pPr>
              <w:spacing w:after="0"/>
              <w:rPr>
                <w:sz w:val="20"/>
                <w:szCs w:val="20"/>
                <w:color w:val="auto"/>
              </w:rPr>
            </w:pPr>
            <w:r>
              <w:rPr>
                <w:rFonts w:ascii="Arial" w:cs="Arial" w:eastAsia="Arial" w:hAnsi="Arial"/>
                <w:sz w:val="14"/>
                <w:szCs w:val="14"/>
                <w:b w:val="1"/>
                <w:bCs w:val="1"/>
                <w:color w:val="auto"/>
              </w:rPr>
              <w:t>Adjusted EBITDAX per Boe</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24.37</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24.94</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26.90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23.73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26.25</w:t>
            </w:r>
          </w:p>
        </w:tc>
      </w:tr>
    </w:tbl>
    <w:p>
      <w:pPr>
        <w:spacing w:after="0" w:line="253" w:lineRule="exact"/>
        <w:rPr>
          <w:sz w:val="20"/>
          <w:szCs w:val="20"/>
          <w:color w:val="auto"/>
        </w:rPr>
      </w:pPr>
    </w:p>
    <w:p>
      <w:pPr>
        <w:ind w:left="149" w:hanging="149"/>
        <w:spacing w:after="0"/>
        <w:tabs>
          <w:tab w:leader="none" w:pos="149"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609"/>
          </w:cols>
          <w:pgMar w:left="651" w:top="1103" w:right="6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t>SEGMENT ADJUSTED EBITDAX</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 xml:space="preserve">This measure should be read in conjunction with Note 16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CRC’s 2025 Annual Report. A reconciliation of the non-GAAP measure of segment adjusted EBITDAX cannot be reconciled to the comparable measure of operating cash flow prepared in accordance with GAAP without unreasonable effort.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4"/>
                <w:szCs w:val="14"/>
                <w:b w:val="1"/>
                <w:bCs w:val="1"/>
                <w:color w:val="auto"/>
              </w:rPr>
              <w:t>Oil and Natural Gas Segment</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4"/>
                <w:szCs w:val="14"/>
                <w:color w:val="auto"/>
              </w:rPr>
              <w:t>Segment profit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360</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1,071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642</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365</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201"/>
        </w:trPr>
        <w:tc>
          <w:tcPr>
            <w:tcW w:w="4320" w:type="dxa"/>
            <w:vAlign w:val="bottom"/>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20"/>
                <w:szCs w:val="20"/>
                <w:color w:val="auto"/>
              </w:rPr>
            </w:pPr>
            <w:r>
              <w:rPr>
                <w:rFonts w:ascii="Arial" w:cs="Arial" w:eastAsia="Arial" w:hAnsi="Arial"/>
                <w:sz w:val="14"/>
                <w:szCs w:val="14"/>
                <w:b w:val="1"/>
                <w:bCs w:val="1"/>
                <w:color w:val="auto"/>
              </w:rPr>
              <w:t>Adjusted EBITDAX - Oil and Natural Gas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Carbon Management Segment</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Interest on contingent liability (related to Carbon TerraVault JV)</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subsidiary</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4320" w:type="dxa"/>
            <w:vAlign w:val="bottom"/>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20"/>
                <w:szCs w:val="20"/>
                <w:color w:val="auto"/>
              </w:rPr>
            </w:pPr>
            <w:r>
              <w:rPr>
                <w:rFonts w:ascii="Arial" w:cs="Arial" w:eastAsia="Arial" w:hAnsi="Arial"/>
                <w:sz w:val="14"/>
                <w:szCs w:val="14"/>
                <w:b w:val="1"/>
                <w:bCs w:val="1"/>
                <w:color w:val="auto"/>
              </w:rPr>
              <w:t>Adjusted EBITDAX - Carbon Management</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440055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465455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FREE CASH FLOW</w:t>
      </w:r>
    </w:p>
    <w:p>
      <w:pPr>
        <w:spacing w:after="0" w:line="132"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273"/>
        </w:trPr>
        <w:tc>
          <w:tcPr>
            <w:tcW w:w="43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689"/>
              <w:spacing w:after="0"/>
              <w:rPr>
                <w:sz w:val="20"/>
                <w:szCs w:val="20"/>
                <w:color w:val="auto"/>
              </w:rPr>
            </w:pPr>
            <w:r>
              <w:rPr>
                <w:rFonts w:ascii="Arial" w:cs="Arial" w:eastAsia="Arial" w:hAnsi="Arial"/>
                <w:sz w:val="14"/>
                <w:szCs w:val="14"/>
                <w:b w:val="1"/>
                <w:bCs w:val="1"/>
                <w:color w:val="auto"/>
              </w:rPr>
              <w:t>305</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09"/>
              <w:spacing w:after="0"/>
              <w:rPr>
                <w:sz w:val="20"/>
                <w:szCs w:val="20"/>
                <w:color w:val="auto"/>
              </w:rPr>
            </w:pPr>
            <w:r>
              <w:rPr>
                <w:rFonts w:ascii="Arial" w:cs="Arial" w:eastAsia="Arial" w:hAnsi="Arial"/>
                <w:sz w:val="14"/>
                <w:szCs w:val="14"/>
                <w:b w:val="1"/>
                <w:bCs w:val="1"/>
                <w:color w:val="auto"/>
              </w:rPr>
              <w:t>667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09"/>
              <w:spacing w:after="0"/>
              <w:rPr>
                <w:sz w:val="20"/>
                <w:szCs w:val="20"/>
                <w:color w:val="auto"/>
              </w:rPr>
            </w:pPr>
            <w:r>
              <w:rPr>
                <w:rFonts w:ascii="Arial" w:cs="Arial" w:eastAsia="Arial" w:hAnsi="Arial"/>
                <w:sz w:val="14"/>
                <w:szCs w:val="14"/>
                <w:b w:val="1"/>
                <w:bCs w:val="1"/>
                <w:color w:val="auto"/>
              </w:rPr>
              <w:t>630</w:t>
            </w:r>
          </w:p>
        </w:tc>
      </w:tr>
      <w:tr>
        <w:trPr>
          <w:trHeight w:val="200"/>
        </w:trPr>
        <w:tc>
          <w:tcPr>
            <w:tcW w:w="4320" w:type="dxa"/>
            <w:vAlign w:val="bottom"/>
          </w:tcPr>
          <w:p>
            <w:pPr>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(438)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(202)</w:t>
            </w:r>
          </w:p>
        </w:tc>
      </w:tr>
      <w:tr>
        <w:trPr>
          <w:trHeight w:val="168"/>
        </w:trPr>
        <w:tc>
          <w:tcPr>
            <w:tcW w:w="4320" w:type="dxa"/>
            <w:vAlign w:val="bottom"/>
          </w:tcPr>
          <w:p>
            <w:pPr>
              <w:spacing w:after="0"/>
              <w:rPr>
                <w:sz w:val="20"/>
                <w:szCs w:val="20"/>
                <w:color w:val="auto"/>
              </w:rPr>
            </w:pPr>
            <w:r>
              <w:rPr>
                <w:rFonts w:ascii="Arial" w:cs="Arial" w:eastAsia="Arial" w:hAnsi="Arial"/>
                <w:sz w:val="14"/>
                <w:szCs w:val="14"/>
                <w:color w:val="auto"/>
              </w:rPr>
              <w:t>Free cash flow</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ind w:left="709"/>
              <w:spacing w:after="0"/>
              <w:rPr>
                <w:sz w:val="20"/>
                <w:szCs w:val="20"/>
                <w:color w:val="auto"/>
              </w:rPr>
            </w:pPr>
            <w:r>
              <w:rPr>
                <w:rFonts w:ascii="Arial" w:cs="Arial" w:eastAsia="Arial" w:hAnsi="Arial"/>
                <w:sz w:val="14"/>
                <w:szCs w:val="14"/>
                <w:b w:val="1"/>
                <w:bCs w:val="1"/>
                <w:color w:val="auto"/>
              </w:rPr>
              <w:t>229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ind w:left="709"/>
              <w:spacing w:after="0"/>
              <w:rPr>
                <w:sz w:val="20"/>
                <w:szCs w:val="20"/>
                <w:color w:val="auto"/>
              </w:rPr>
            </w:pPr>
            <w:r>
              <w:rPr>
                <w:rFonts w:ascii="Arial" w:cs="Arial" w:eastAsia="Arial" w:hAnsi="Arial"/>
                <w:sz w:val="14"/>
                <w:szCs w:val="14"/>
                <w:b w:val="1"/>
                <w:bCs w:val="1"/>
                <w:color w:val="auto"/>
              </w:rPr>
              <w:t>428</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144145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169545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FREE CASH FLOW BEFORE NET CHANGES IN OPERATING ASSETS AND LIABILITIES</w:t>
      </w:r>
    </w:p>
    <w:p>
      <w:pPr>
        <w:spacing w:after="0" w:line="132"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Management uses free cash flow before changes in operating assets and liabilities, which is defined by CRC as net cash provided by operating activities less net changes in operating assets and liabilities and capital investments, as a measure of liquidity. The following table presents a reconciliation of CRC's net cash provided by operating activities to free cash flow before net changes in operating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center"/>
              <w:ind w:right="8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1"/>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73"/>
        </w:trPr>
        <w:tc>
          <w:tcPr>
            <w:tcW w:w="43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09"/>
              <w:spacing w:after="0"/>
              <w:rPr>
                <w:sz w:val="20"/>
                <w:szCs w:val="20"/>
                <w:color w:val="auto"/>
              </w:rPr>
            </w:pPr>
            <w:r>
              <w:rPr>
                <w:rFonts w:ascii="Arial" w:cs="Arial" w:eastAsia="Arial" w:hAnsi="Arial"/>
                <w:sz w:val="14"/>
                <w:szCs w:val="14"/>
                <w:b w:val="1"/>
                <w:bCs w:val="1"/>
                <w:color w:val="auto"/>
              </w:rPr>
              <w:t>667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09"/>
              <w:spacing w:after="0"/>
              <w:rPr>
                <w:sz w:val="20"/>
                <w:szCs w:val="20"/>
                <w:color w:val="auto"/>
              </w:rPr>
            </w:pPr>
            <w:r>
              <w:rPr>
                <w:rFonts w:ascii="Arial" w:cs="Arial" w:eastAsia="Arial" w:hAnsi="Arial"/>
                <w:sz w:val="14"/>
                <w:szCs w:val="14"/>
                <w:b w:val="1"/>
                <w:bCs w:val="1"/>
                <w:color w:val="auto"/>
              </w:rPr>
              <w:t>630</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4"/>
                <w:szCs w:val="14"/>
                <w:color w:val="auto"/>
              </w:rPr>
              <w:t>Net changes in operating assets and liabilities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09"/>
              <w:spacing w:after="0"/>
              <w:rPr>
                <w:sz w:val="20"/>
                <w:szCs w:val="20"/>
                <w:color w:val="auto"/>
              </w:rPr>
            </w:pPr>
            <w:r>
              <w:rPr>
                <w:rFonts w:ascii="Arial" w:cs="Arial" w:eastAsia="Arial" w:hAnsi="Arial"/>
                <w:sz w:val="14"/>
                <w:szCs w:val="14"/>
                <w:b w:val="1"/>
                <w:bCs w:val="1"/>
                <w:color w:val="auto"/>
              </w:rPr>
              <w:t>180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09"/>
              <w:spacing w:after="0"/>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32"/>
        </w:trPr>
        <w:tc>
          <w:tcPr>
            <w:tcW w:w="4320" w:type="dxa"/>
            <w:vAlign w:val="bottom"/>
          </w:tcPr>
          <w:p>
            <w:pPr>
              <w:spacing w:after="0" w:line="132" w:lineRule="exact"/>
              <w:rPr>
                <w:sz w:val="20"/>
                <w:szCs w:val="20"/>
                <w:color w:val="auto"/>
              </w:rPr>
            </w:pPr>
            <w:r>
              <w:rPr>
                <w:rFonts w:ascii="Arial" w:cs="Arial" w:eastAsia="Arial" w:hAnsi="Arial"/>
                <w:sz w:val="14"/>
                <w:szCs w:val="14"/>
                <w:color w:val="auto"/>
              </w:rPr>
              <w:t>Net cash provided by operating activities before net changes in</w:t>
            </w: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322</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center"/>
              <w:ind w:left="709"/>
              <w:spacing w:after="0"/>
              <w:rPr>
                <w:sz w:val="20"/>
                <w:szCs w:val="20"/>
                <w:color w:val="auto"/>
              </w:rPr>
            </w:pPr>
            <w:r>
              <w:rPr>
                <w:rFonts w:ascii="Arial" w:cs="Arial" w:eastAsia="Arial" w:hAnsi="Arial"/>
                <w:sz w:val="14"/>
                <w:szCs w:val="14"/>
                <w:b w:val="1"/>
                <w:bCs w:val="1"/>
                <w:color w:val="auto"/>
              </w:rPr>
              <w:t>847</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center"/>
              <w:ind w:left="709"/>
              <w:spacing w:after="0"/>
              <w:rPr>
                <w:sz w:val="20"/>
                <w:szCs w:val="20"/>
                <w:color w:val="auto"/>
              </w:rPr>
            </w:pPr>
            <w:r>
              <w:rPr>
                <w:rFonts w:ascii="Arial" w:cs="Arial" w:eastAsia="Arial" w:hAnsi="Arial"/>
                <w:sz w:val="14"/>
                <w:szCs w:val="14"/>
                <w:b w:val="1"/>
                <w:bCs w:val="1"/>
                <w:color w:val="auto"/>
              </w:rPr>
              <w:t>795</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20"/>
                <w:szCs w:val="20"/>
                <w:color w:val="auto"/>
              </w:rPr>
            </w:pPr>
            <w:r>
              <w:rPr>
                <w:rFonts w:ascii="Arial" w:cs="Arial" w:eastAsia="Arial" w:hAnsi="Arial"/>
                <w:sz w:val="14"/>
                <w:szCs w:val="14"/>
                <w:color w:val="auto"/>
              </w:rPr>
              <w:t>operating assets and liabilities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(438)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132"/>
        </w:trPr>
        <w:tc>
          <w:tcPr>
            <w:tcW w:w="4320" w:type="dxa"/>
            <w:vAlign w:val="bottom"/>
          </w:tcPr>
          <w:p>
            <w:pPr>
              <w:spacing w:after="0" w:line="132" w:lineRule="exact"/>
              <w:rPr>
                <w:sz w:val="20"/>
                <w:szCs w:val="20"/>
                <w:color w:val="auto"/>
              </w:rPr>
            </w:pPr>
            <w:r>
              <w:rPr>
                <w:rFonts w:ascii="Arial" w:cs="Arial" w:eastAsia="Arial" w:hAnsi="Arial"/>
                <w:sz w:val="14"/>
                <w:szCs w:val="14"/>
                <w:color w:val="auto"/>
              </w:rPr>
              <w:t>Free cash flow before net changes in operating assets and</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center"/>
              <w:ind w:left="709"/>
              <w:spacing w:after="0"/>
              <w:rPr>
                <w:sz w:val="20"/>
                <w:szCs w:val="20"/>
                <w:color w:val="auto"/>
              </w:rPr>
            </w:pPr>
            <w:r>
              <w:rPr>
                <w:rFonts w:ascii="Arial" w:cs="Arial" w:eastAsia="Arial" w:hAnsi="Arial"/>
                <w:sz w:val="14"/>
                <w:szCs w:val="14"/>
                <w:b w:val="1"/>
                <w:bCs w:val="1"/>
                <w:color w:val="auto"/>
              </w:rPr>
              <w:t>409</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center"/>
              <w:ind w:left="709"/>
              <w:spacing w:after="0"/>
              <w:rPr>
                <w:sz w:val="20"/>
                <w:szCs w:val="20"/>
                <w:color w:val="auto"/>
              </w:rPr>
            </w:pPr>
            <w:r>
              <w:rPr>
                <w:rFonts w:ascii="Arial" w:cs="Arial" w:eastAsia="Arial" w:hAnsi="Arial"/>
                <w:sz w:val="14"/>
                <w:szCs w:val="14"/>
                <w:b w:val="1"/>
                <w:bCs w:val="1"/>
                <w:color w:val="auto"/>
              </w:rPr>
              <w:t>593</w:t>
            </w:r>
          </w:p>
        </w:tc>
        <w:tc>
          <w:tcPr>
            <w:tcW w:w="0" w:type="dxa"/>
            <w:vAlign w:val="bottom"/>
          </w:tcPr>
          <w:p>
            <w:pPr>
              <w:spacing w:after="0"/>
              <w:rPr>
                <w:sz w:val="1"/>
                <w:szCs w:val="1"/>
                <w:color w:val="auto"/>
              </w:rPr>
            </w:pPr>
          </w:p>
        </w:tc>
      </w:tr>
      <w:tr>
        <w:trPr>
          <w:trHeight w:val="161"/>
        </w:trPr>
        <w:tc>
          <w:tcPr>
            <w:tcW w:w="4320" w:type="dxa"/>
            <w:vAlign w:val="bottom"/>
          </w:tcPr>
          <w:p>
            <w:pPr>
              <w:spacing w:after="0" w:line="156" w:lineRule="exact"/>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20"/>
          </w:cols>
          <w:pgMar w:left="340" w:top="1103"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Management uses a measure called adjusted general and administrative (G&amp;A) expenses and adjusted G&amp;A per BOE to provide useful information to investors interested in comparing CRC's costs between periods and performance to its peers.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432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238</w:t>
            </w:r>
          </w:p>
        </w:tc>
      </w:tr>
      <w:tr>
        <w:trPr>
          <w:trHeight w:val="201"/>
        </w:trPr>
        <w:tc>
          <w:tcPr>
            <w:tcW w:w="4320" w:type="dxa"/>
            <w:vAlign w:val="bottom"/>
          </w:tcPr>
          <w:p>
            <w:pPr>
              <w:spacing w:after="0"/>
              <w:rPr>
                <w:sz w:val="20"/>
                <w:szCs w:val="20"/>
                <w:color w:val="auto"/>
              </w:rPr>
            </w:pPr>
            <w:r>
              <w:rPr>
                <w:rFonts w:ascii="Arial" w:cs="Arial" w:eastAsia="Arial" w:hAnsi="Arial"/>
                <w:sz w:val="14"/>
                <w:szCs w:val="14"/>
                <w:color w:val="auto"/>
              </w:rPr>
              <w:t>Stock-based compensation and other</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r>
      <w:tr>
        <w:trPr>
          <w:trHeight w:val="194"/>
        </w:trPr>
        <w:tc>
          <w:tcPr>
            <w:tcW w:w="4320" w:type="dxa"/>
            <w:vAlign w:val="bottom"/>
          </w:tcPr>
          <w:p>
            <w:pPr>
              <w:spacing w:after="0"/>
              <w:rPr>
                <w:sz w:val="20"/>
                <w:szCs w:val="20"/>
                <w:color w:val="auto"/>
              </w:rPr>
            </w:pPr>
            <w:r>
              <w:rPr>
                <w:rFonts w:ascii="Arial" w:cs="Arial" w:eastAsia="Arial" w:hAnsi="Arial"/>
                <w:sz w:val="14"/>
                <w:szCs w:val="14"/>
                <w:color w:val="auto"/>
              </w:rPr>
              <w:t>Adjusted G&amp;A expenses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8"/>
        </w:trPr>
        <w:tc>
          <w:tcPr>
            <w:tcW w:w="4320" w:type="dxa"/>
            <w:vAlign w:val="bottom"/>
          </w:tcPr>
          <w:p>
            <w:pPr>
              <w:spacing w:after="0"/>
              <w:rPr>
                <w:sz w:val="20"/>
                <w:szCs w:val="20"/>
                <w:color w:val="auto"/>
              </w:rPr>
            </w:pPr>
            <w:r>
              <w:rPr>
                <w:rFonts w:ascii="Arial" w:cs="Arial" w:eastAsia="Arial" w:hAnsi="Arial"/>
                <w:sz w:val="14"/>
                <w:szCs w:val="14"/>
                <w:color w:val="auto"/>
              </w:rPr>
              <w:t>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7.16</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6.92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6.31</w:t>
            </w:r>
          </w:p>
        </w:tc>
      </w:tr>
      <w:tr>
        <w:trPr>
          <w:trHeight w:val="200"/>
        </w:trPr>
        <w:tc>
          <w:tcPr>
            <w:tcW w:w="4320" w:type="dxa"/>
            <w:vAlign w:val="bottom"/>
          </w:tcPr>
          <w:p>
            <w:pPr>
              <w:spacing w:after="0"/>
              <w:rPr>
                <w:sz w:val="20"/>
                <w:szCs w:val="20"/>
                <w:color w:val="auto"/>
              </w:rPr>
            </w:pPr>
            <w:r>
              <w:rPr>
                <w:rFonts w:ascii="Arial" w:cs="Arial" w:eastAsia="Arial" w:hAnsi="Arial"/>
                <w:sz w:val="14"/>
                <w:szCs w:val="14"/>
                <w:color w:val="auto"/>
              </w:rPr>
              <w:t>Adjusted 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5.65</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212090</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237490</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OPERATING REVENUES BEFORE NET (LOSS) GAIN FROM COMMODITY DERIVATIVES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total operating revenues before net (loss) gain from commodity derivatives, which is calculated as the difference between total operating revenues less net (loss) gain from commodity derivatives.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3"/>
        </w:trPr>
        <w:tc>
          <w:tcPr>
            <w:tcW w:w="4320" w:type="dxa"/>
            <w:vAlign w:val="bottom"/>
          </w:tcPr>
          <w:p>
            <w:pPr>
              <w:spacing w:after="0"/>
              <w:rPr>
                <w:sz w:val="20"/>
                <w:szCs w:val="20"/>
                <w:color w:val="auto"/>
              </w:rPr>
            </w:pPr>
            <w:r>
              <w:rPr>
                <w:rFonts w:ascii="Arial" w:cs="Arial" w:eastAsia="Arial" w:hAnsi="Arial"/>
                <w:sz w:val="14"/>
                <w:szCs w:val="14"/>
                <w:color w:val="auto"/>
              </w:rPr>
              <w:t>Total operating revenues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421</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1,297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589"/>
              <w:spacing w:after="0"/>
              <w:rPr>
                <w:sz w:val="20"/>
                <w:szCs w:val="20"/>
                <w:color w:val="auto"/>
              </w:rPr>
            </w:pPr>
            <w:r>
              <w:rPr>
                <w:rFonts w:ascii="Arial" w:cs="Arial" w:eastAsia="Arial" w:hAnsi="Arial"/>
                <w:sz w:val="14"/>
                <w:szCs w:val="14"/>
                <w:b w:val="1"/>
                <w:bCs w:val="1"/>
                <w:color w:val="auto"/>
              </w:rPr>
              <w:t>1,837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2,745</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20"/>
                <w:szCs w:val="20"/>
                <w:color w:val="auto"/>
              </w:rPr>
            </w:pPr>
            <w:r>
              <w:rPr>
                <w:rFonts w:ascii="Arial" w:cs="Arial" w:eastAsia="Arial" w:hAnsi="Arial"/>
                <w:sz w:val="14"/>
                <w:szCs w:val="14"/>
                <w:color w:val="auto"/>
              </w:rPr>
              <w:t>Less: Net gain (loss) from commodity derivatives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b w:val="1"/>
                <w:bCs w:val="1"/>
                <w:color w:val="auto"/>
              </w:rPr>
              <w:t>(1,318)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r>
        <w:trPr>
          <w:trHeight w:val="128"/>
        </w:trPr>
        <w:tc>
          <w:tcPr>
            <w:tcW w:w="4320" w:type="dxa"/>
            <w:vAlign w:val="bottom"/>
          </w:tcPr>
          <w:p>
            <w:pPr>
              <w:spacing w:after="0" w:line="128" w:lineRule="exact"/>
              <w:rPr>
                <w:sz w:val="20"/>
                <w:szCs w:val="20"/>
                <w:color w:val="auto"/>
              </w:rPr>
            </w:pPr>
            <w:r>
              <w:rPr>
                <w:rFonts w:ascii="Arial" w:cs="Arial" w:eastAsia="Arial" w:hAnsi="Arial"/>
                <w:sz w:val="14"/>
                <w:szCs w:val="14"/>
                <w:color w:val="auto"/>
              </w:rPr>
              <w:t>Total operating revenues before net gain (loss) from commodity</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1,096</w:t>
            </w:r>
          </w:p>
        </w:tc>
        <w:tc>
          <w:tcPr>
            <w:tcW w:w="100" w:type="dxa"/>
            <w:vAlign w:val="bottom"/>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1,092</w:t>
            </w:r>
          </w:p>
        </w:tc>
        <w:tc>
          <w:tcPr>
            <w:tcW w:w="100" w:type="dxa"/>
            <w:vAlign w:val="bottom"/>
          </w:tcPr>
          <w:p>
            <w:pPr>
              <w:spacing w:after="0"/>
              <w:rPr>
                <w:sz w:val="11"/>
                <w:szCs w:val="11"/>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878</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center"/>
              <w:ind w:left="589"/>
              <w:spacing w:after="0"/>
              <w:rPr>
                <w:sz w:val="20"/>
                <w:szCs w:val="20"/>
                <w:color w:val="auto"/>
              </w:rPr>
            </w:pPr>
            <w:r>
              <w:rPr>
                <w:rFonts w:ascii="Arial" w:cs="Arial" w:eastAsia="Arial" w:hAnsi="Arial"/>
                <w:sz w:val="14"/>
                <w:szCs w:val="14"/>
                <w:b w:val="1"/>
                <w:bCs w:val="1"/>
                <w:color w:val="auto"/>
              </w:rPr>
              <w:t>3,155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2,605</w:t>
            </w:r>
          </w:p>
        </w:tc>
        <w:tc>
          <w:tcPr>
            <w:tcW w:w="0" w:type="dxa"/>
            <w:vAlign w:val="bottom"/>
          </w:tcPr>
          <w:p>
            <w:pPr>
              <w:spacing w:after="0"/>
              <w:rPr>
                <w:sz w:val="1"/>
                <w:szCs w:val="1"/>
                <w:color w:val="auto"/>
              </w:rPr>
            </w:pPr>
          </w:p>
        </w:tc>
      </w:tr>
      <w:tr>
        <w:trPr>
          <w:trHeight w:val="165"/>
        </w:trPr>
        <w:tc>
          <w:tcPr>
            <w:tcW w:w="4320" w:type="dxa"/>
            <w:vAlign w:val="bottom"/>
          </w:tcPr>
          <w:p>
            <w:pPr>
              <w:spacing w:after="0" w:line="160" w:lineRule="exact"/>
              <w:rPr>
                <w:sz w:val="20"/>
                <w:szCs w:val="20"/>
                <w:color w:val="auto"/>
              </w:rPr>
            </w:pPr>
            <w:r>
              <w:rPr>
                <w:rFonts w:ascii="Arial" w:cs="Arial" w:eastAsia="Arial" w:hAnsi="Arial"/>
                <w:sz w:val="14"/>
                <w:szCs w:val="14"/>
                <w:color w:val="auto"/>
              </w:rPr>
              <w:t>derivatives</w:t>
            </w:r>
          </w:p>
        </w:tc>
        <w:tc>
          <w:tcPr>
            <w:tcW w:w="1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389255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414655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MARGIN FROM PURCHASED COMMODITIES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margin from purchased commodities, which is calculated as the difference between revenue from purchased commodities and costs related to purchased commodities. This non-GAAP measure excludes transportation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4320" w:type="dxa"/>
            <w:vAlign w:val="bottom"/>
          </w:tcPr>
          <w:p>
            <w:pPr>
              <w:spacing w:after="0"/>
              <w:rPr>
                <w:sz w:val="20"/>
                <w:szCs w:val="20"/>
                <w:color w:val="auto"/>
              </w:rPr>
            </w:pPr>
            <w:r>
              <w:rPr>
                <w:rFonts w:ascii="Arial" w:cs="Arial" w:eastAsia="Arial" w:hAnsi="Arial"/>
                <w:sz w:val="14"/>
                <w:szCs w:val="14"/>
                <w:color w:val="auto"/>
              </w:rPr>
              <w:t>Revenue from purchased commodities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178</w:t>
            </w:r>
          </w:p>
        </w:tc>
      </w:tr>
      <w:tr>
        <w:trPr>
          <w:trHeight w:val="201"/>
        </w:trPr>
        <w:tc>
          <w:tcPr>
            <w:tcW w:w="4320" w:type="dxa"/>
            <w:vAlign w:val="bottom"/>
          </w:tcPr>
          <w:p>
            <w:pPr>
              <w:spacing w:after="0"/>
              <w:rPr>
                <w:sz w:val="20"/>
                <w:szCs w:val="20"/>
                <w:color w:val="auto"/>
              </w:rPr>
            </w:pPr>
            <w:r>
              <w:rPr>
                <w:rFonts w:ascii="Arial" w:cs="Arial" w:eastAsia="Arial" w:hAnsi="Arial"/>
                <w:sz w:val="14"/>
                <w:szCs w:val="14"/>
                <w:color w:val="auto"/>
              </w:rPr>
              <w:t>Costs related to purchased commodities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r>
      <w:tr>
        <w:trPr>
          <w:trHeight w:val="194"/>
        </w:trPr>
        <w:tc>
          <w:tcPr>
            <w:tcW w:w="4320" w:type="dxa"/>
            <w:vAlign w:val="bottom"/>
          </w:tcPr>
          <w:p>
            <w:pPr>
              <w:spacing w:after="0"/>
              <w:rPr>
                <w:sz w:val="20"/>
                <w:szCs w:val="20"/>
                <w:color w:val="auto"/>
              </w:rPr>
            </w:pPr>
            <w:r>
              <w:rPr>
                <w:rFonts w:ascii="Arial" w:cs="Arial" w:eastAsia="Arial" w:hAnsi="Arial"/>
                <w:sz w:val="14"/>
                <w:szCs w:val="14"/>
                <w:color w:val="auto"/>
              </w:rPr>
              <w:t>Margin from purchased commodities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549910</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575310</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ELECTRICITY REVENUE NET OF ELECTRICITY GENERATION EXPENSES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electricity revenue net of electricity generation expenses, which is calculated as the difference between electricity revenue and electricity generation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4320" w:type="dxa"/>
            <w:vAlign w:val="bottom"/>
          </w:tcPr>
          <w:p>
            <w:pPr>
              <w:spacing w:after="0"/>
              <w:rPr>
                <w:sz w:val="20"/>
                <w:szCs w:val="20"/>
                <w:color w:val="auto"/>
              </w:rPr>
            </w:pPr>
            <w:r>
              <w:rPr>
                <w:rFonts w:ascii="Arial" w:cs="Arial" w:eastAsia="Arial" w:hAnsi="Arial"/>
                <w:sz w:val="14"/>
                <w:szCs w:val="14"/>
                <w:color w:val="auto"/>
              </w:rPr>
              <w:t>Electricity revenue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789"/>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181</w:t>
            </w:r>
          </w:p>
        </w:tc>
      </w:tr>
      <w:tr>
        <w:trPr>
          <w:trHeight w:val="201"/>
        </w:trPr>
        <w:tc>
          <w:tcPr>
            <w:tcW w:w="4320" w:type="dxa"/>
            <w:vAlign w:val="bottom"/>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w w:val="96"/>
              </w:rPr>
              <w:t>(11)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r>
      <w:tr>
        <w:trPr>
          <w:trHeight w:val="194"/>
        </w:trPr>
        <w:tc>
          <w:tcPr>
            <w:tcW w:w="4320" w:type="dxa"/>
            <w:vAlign w:val="bottom"/>
          </w:tcPr>
          <w:p>
            <w:pPr>
              <w:spacing w:after="0"/>
              <w:rPr>
                <w:sz w:val="20"/>
                <w:szCs w:val="20"/>
                <w:color w:val="auto"/>
              </w:rPr>
            </w:pPr>
            <w:r>
              <w:rPr>
                <w:rFonts w:ascii="Arial" w:cs="Arial" w:eastAsia="Arial" w:hAnsi="Arial"/>
                <w:sz w:val="14"/>
                <w:szCs w:val="14"/>
                <w:color w:val="auto"/>
              </w:rPr>
              <w:t>Electricity revenue net of electricity generation expenses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ind w:left="789"/>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20"/>
          </w:cols>
          <w:pgMar w:left="340" w:top="1103"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t>OTHER OPERATING EXPENSES NET OF OTHER REVENUE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Management uses a measure called other operating expenses net of other revenue, which is calculated as the difference between other operating expenses, net and other revenue.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6"/>
                <w:szCs w:val="16"/>
                <w:color w:val="auto"/>
              </w:rPr>
            </w:pPr>
          </w:p>
        </w:tc>
        <w:tc>
          <w:tcPr>
            <w:tcW w:w="1140" w:type="dxa"/>
            <w:vAlign w:val="bottom"/>
          </w:tcPr>
          <w:p>
            <w:pPr>
              <w:jc w:val="right"/>
              <w:ind w:right="14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43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0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4320" w:type="dxa"/>
            <w:vAlign w:val="bottom"/>
          </w:tcPr>
          <w:p>
            <w:pPr>
              <w:spacing w:after="0"/>
              <w:rPr>
                <w:sz w:val="20"/>
                <w:szCs w:val="20"/>
                <w:color w:val="auto"/>
              </w:rPr>
            </w:pPr>
            <w:r>
              <w:rPr>
                <w:rFonts w:ascii="Arial" w:cs="Arial" w:eastAsia="Arial" w:hAnsi="Arial"/>
                <w:sz w:val="14"/>
                <w:szCs w:val="14"/>
                <w:color w:val="auto"/>
              </w:rPr>
              <w:t>Other operating expenses, net</w:t>
            </w: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201"/>
        </w:trPr>
        <w:tc>
          <w:tcPr>
            <w:tcW w:w="4320" w:type="dxa"/>
            <w:vAlign w:val="bottom"/>
          </w:tcPr>
          <w:p>
            <w:pPr>
              <w:spacing w:after="0"/>
              <w:rPr>
                <w:sz w:val="20"/>
                <w:szCs w:val="20"/>
                <w:color w:val="auto"/>
              </w:rPr>
            </w:pPr>
            <w:r>
              <w:rPr>
                <w:rFonts w:ascii="Arial" w:cs="Arial" w:eastAsia="Arial" w:hAnsi="Arial"/>
                <w:sz w:val="14"/>
                <w:szCs w:val="14"/>
                <w:color w:val="auto"/>
              </w:rPr>
              <w:t>Other revenue</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r>
      <w:tr>
        <w:trPr>
          <w:trHeight w:val="194"/>
        </w:trPr>
        <w:tc>
          <w:tcPr>
            <w:tcW w:w="4320" w:type="dxa"/>
            <w:vAlign w:val="bottom"/>
          </w:tcPr>
          <w:p>
            <w:pPr>
              <w:spacing w:after="0"/>
              <w:rPr>
                <w:sz w:val="20"/>
                <w:szCs w:val="20"/>
                <w:color w:val="auto"/>
              </w:rPr>
            </w:pPr>
            <w:r>
              <w:rPr>
                <w:rFonts w:ascii="Arial" w:cs="Arial" w:eastAsia="Arial" w:hAnsi="Arial"/>
                <w:sz w:val="14"/>
                <w:szCs w:val="14"/>
                <w:color w:val="auto"/>
              </w:rPr>
              <w:t>Other operating expenses net of other revenue</w:t>
            </w: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r>
      <w:tr>
        <w:trPr>
          <w:trHeight w:val="20"/>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20"/>
          </w:cols>
          <w:pgMar w:left="340" w:top="110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3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40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2"/>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3"/>
        </w:trPr>
        <w:tc>
          <w:tcPr>
            <w:tcW w:w="3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ind w:left="249"/>
              <w:spacing w:after="0"/>
              <w:rPr>
                <w:sz w:val="20"/>
                <w:szCs w:val="20"/>
                <w:color w:val="auto"/>
              </w:rPr>
            </w:pPr>
            <w:r>
              <w:rPr>
                <w:rFonts w:ascii="Arial" w:cs="Arial" w:eastAsia="Arial" w:hAnsi="Arial"/>
                <w:sz w:val="14"/>
                <w:szCs w:val="14"/>
                <w:b w:val="1"/>
                <w:bCs w:val="1"/>
                <w:color w:val="auto"/>
              </w:rPr>
              <w:t>3rd Quarter</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2nd Quarter</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3rd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r>
      <w:tr>
        <w:trPr>
          <w:trHeight w:val="193"/>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121</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109</w:t>
            </w:r>
          </w:p>
        </w:tc>
      </w:tr>
      <w:tr>
        <w:trPr>
          <w:trHeight w:val="360"/>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360"/>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101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r>
      <w:tr>
        <w:trPr>
          <w:trHeight w:val="193"/>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123</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r>
      <w:tr>
        <w:trPr>
          <w:trHeight w:val="161"/>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93"/>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Net Production (MBoe/d)</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152</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45"/>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100" w:type="dxa"/>
            <w:vAlign w:val="bottom"/>
          </w:tcPr>
          <w:p>
            <w:pPr>
              <w:jc w:val="center"/>
              <w:ind w:left="249"/>
              <w:spacing w:after="0"/>
              <w:rPr>
                <w:sz w:val="20"/>
                <w:szCs w:val="20"/>
                <w:color w:val="auto"/>
              </w:rPr>
            </w:pPr>
            <w:r>
              <w:rPr>
                <w:rFonts w:ascii="Arial" w:cs="Arial" w:eastAsia="Arial" w:hAnsi="Arial"/>
                <w:sz w:val="14"/>
                <w:szCs w:val="14"/>
                <w:b w:val="1"/>
                <w:bCs w:val="1"/>
                <w:color w:val="auto"/>
              </w:rPr>
              <w:t>3rd Quarter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2nd Quarter</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3rd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1"/>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r>
      <w:tr>
        <w:trPr>
          <w:trHeight w:val="193"/>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3"/>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133</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r>
      <w:tr>
        <w:trPr>
          <w:trHeight w:val="360"/>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360"/>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129</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93"/>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163</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r>
      <w:tr>
        <w:trPr>
          <w:trHeight w:val="161"/>
        </w:trPr>
        <w:tc>
          <w:tcPr>
            <w:tcW w:w="4020" w:type="dxa"/>
            <w:vAlign w:val="bottom"/>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93"/>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Gross Production (MBoe/d)</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172</w:t>
            </w:r>
          </w:p>
        </w:tc>
        <w:tc>
          <w:tcPr>
            <w:tcW w:w="8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w:t>
            </w: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40"/>
          </w:cols>
          <w:pgMar w:left="320" w:top="105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3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0"/>
        </w:trPr>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80" w:type="dxa"/>
            <w:vAlign w:val="bottom"/>
          </w:tcPr>
          <w:p>
            <w:pPr>
              <w:spacing w:after="0"/>
              <w:rPr>
                <w:sz w:val="17"/>
                <w:szCs w:val="17"/>
                <w:color w:val="auto"/>
              </w:rPr>
            </w:pPr>
          </w:p>
        </w:tc>
        <w:tc>
          <w:tcPr>
            <w:tcW w:w="1200" w:type="dxa"/>
            <w:vAlign w:val="bottom"/>
          </w:tcPr>
          <w:p>
            <w:pPr>
              <w:jc w:val="right"/>
              <w:ind w:right="189"/>
              <w:spacing w:after="0"/>
              <w:rPr>
                <w:sz w:val="20"/>
                <w:szCs w:val="20"/>
                <w:color w:val="auto"/>
              </w:rPr>
            </w:pPr>
            <w:r>
              <w:rPr>
                <w:rFonts w:ascii="Arial" w:cs="Arial" w:eastAsia="Arial" w:hAnsi="Arial"/>
                <w:sz w:val="14"/>
                <w:szCs w:val="14"/>
                <w:b w:val="1"/>
                <w:bCs w:val="1"/>
                <w:color w:val="auto"/>
              </w:rPr>
              <w:t>Nine Months</w:t>
            </w:r>
          </w:p>
        </w:tc>
      </w:tr>
      <w:tr>
        <w:trPr>
          <w:trHeight w:val="200"/>
        </w:trPr>
        <w:tc>
          <w:tcPr>
            <w:tcW w:w="3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r>
      <w:tr>
        <w:trPr>
          <w:trHeight w:val="180"/>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0"/>
        </w:trPr>
        <w:tc>
          <w:tcPr>
            <w:tcW w:w="376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72.46</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76.43</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67.04</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72.76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68.61</w:t>
            </w:r>
          </w:p>
        </w:tc>
      </w:tr>
      <w:tr>
        <w:trPr>
          <w:trHeight w:val="200"/>
        </w:trPr>
        <w:tc>
          <w:tcPr>
            <w:tcW w:w="376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83.42</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91.55</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66.32</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83.08</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68.34</w:t>
            </w:r>
          </w:p>
        </w:tc>
      </w:tr>
      <w:tr>
        <w:trPr>
          <w:trHeight w:val="253"/>
        </w:trPr>
        <w:tc>
          <w:tcPr>
            <w:tcW w:w="3760" w:type="dxa"/>
            <w:vAlign w:val="bottom"/>
          </w:tcPr>
          <w:p>
            <w:pPr>
              <w:ind w:left="20"/>
              <w:spacing w:after="0"/>
              <w:rPr>
                <w:sz w:val="20"/>
                <w:szCs w:val="20"/>
                <w:color w:val="auto"/>
              </w:rPr>
            </w:pPr>
            <w:r>
              <w:rPr>
                <w:rFonts w:ascii="Arial" w:cs="Arial" w:eastAsia="Arial" w:hAnsi="Arial"/>
                <w:sz w:val="14"/>
                <w:szCs w:val="14"/>
                <w:color w:val="auto"/>
              </w:rPr>
              <w:t>NGLs ($/Bbl)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48.57</w:t>
            </w:r>
          </w:p>
        </w:tc>
        <w:tc>
          <w:tcPr>
            <w:tcW w:w="100" w:type="dxa"/>
            <w:vAlign w:val="bottom"/>
          </w:tcPr>
          <w:p>
            <w:pPr>
              <w:spacing w:after="0"/>
              <w:rPr>
                <w:sz w:val="22"/>
                <w:szCs w:val="22"/>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49.62</w:t>
            </w:r>
          </w:p>
        </w:tc>
        <w:tc>
          <w:tcPr>
            <w:tcW w:w="10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41.04</w:t>
            </w:r>
          </w:p>
        </w:tc>
        <w:tc>
          <w:tcPr>
            <w:tcW w:w="10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47.70</w:t>
            </w:r>
          </w:p>
        </w:tc>
        <w:tc>
          <w:tcPr>
            <w:tcW w:w="8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46.10</w:t>
            </w:r>
          </w:p>
        </w:tc>
      </w:tr>
      <w:tr>
        <w:trPr>
          <w:trHeight w:val="247"/>
        </w:trPr>
        <w:tc>
          <w:tcPr>
            <w:tcW w:w="376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6"/>
        </w:trPr>
        <w:tc>
          <w:tcPr>
            <w:tcW w:w="376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2.99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3.46</w:t>
            </w:r>
          </w:p>
        </w:tc>
      </w:tr>
      <w:tr>
        <w:trPr>
          <w:trHeight w:val="41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376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91.36</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96.87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68.13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88.71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69.94</w:t>
            </w:r>
          </w:p>
        </w:tc>
      </w:tr>
      <w:tr>
        <w:trPr>
          <w:trHeight w:val="200"/>
        </w:trPr>
        <w:tc>
          <w:tcPr>
            <w:tcW w:w="376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85.79</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92.79</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64.93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83.50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66.70</w:t>
            </w:r>
          </w:p>
        </w:tc>
      </w:tr>
      <w:tr>
        <w:trPr>
          <w:trHeight w:val="200"/>
        </w:trPr>
        <w:tc>
          <w:tcPr>
            <w:tcW w:w="3760" w:type="dxa"/>
            <w:vAlign w:val="bottom"/>
          </w:tcPr>
          <w:p>
            <w:pPr>
              <w:ind w:left="60"/>
              <w:spacing w:after="0"/>
              <w:rPr>
                <w:sz w:val="20"/>
                <w:szCs w:val="20"/>
                <w:color w:val="auto"/>
              </w:rPr>
            </w:pPr>
            <w:r>
              <w:rPr>
                <w:rFonts w:ascii="Arial" w:cs="Arial" w:eastAsia="Arial" w:hAnsi="Arial"/>
                <w:sz w:val="14"/>
                <w:szCs w:val="14"/>
                <w:color w:val="auto"/>
              </w:rPr>
              <w:t>NYMEX average monthly settled price ($/MMBtu)</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2.96</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3.07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3.63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109"/>
              <w:spacing w:after="0"/>
              <w:rPr>
                <w:sz w:val="20"/>
                <w:szCs w:val="20"/>
                <w:color w:val="auto"/>
              </w:rPr>
            </w:pPr>
            <w:r>
              <w:rPr>
                <w:rFonts w:ascii="Arial" w:cs="Arial" w:eastAsia="Arial" w:hAnsi="Arial"/>
                <w:sz w:val="14"/>
                <w:szCs w:val="14"/>
                <w:b w:val="1"/>
                <w:bCs w:val="1"/>
                <w:color w:val="auto"/>
              </w:rPr>
              <w:t>3.39</w:t>
            </w:r>
          </w:p>
        </w:tc>
      </w:tr>
    </w:tbl>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18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20"/>
                <w:szCs w:val="20"/>
                <w:color w:val="auto"/>
              </w:rPr>
            </w:pPr>
            <w:r>
              <w:rPr>
                <w:rFonts w:ascii="Arial" w:cs="Arial" w:eastAsia="Arial" w:hAnsi="Arial"/>
                <w:sz w:val="14"/>
                <w:szCs w:val="14"/>
                <w:color w:val="auto"/>
              </w:rPr>
              <w:t>Oil with derivative settlements as a percentage of Brent</w:t>
            </w:r>
          </w:p>
        </w:tc>
        <w:tc>
          <w:tcPr>
            <w:tcW w:w="1600" w:type="dxa"/>
            <w:vAlign w:val="bottom"/>
          </w:tcPr>
          <w:p>
            <w:pPr>
              <w:jc w:val="right"/>
              <w:ind w:right="529"/>
              <w:spacing w:after="0"/>
              <w:rPr>
                <w:sz w:val="20"/>
                <w:szCs w:val="20"/>
                <w:color w:val="auto"/>
              </w:rPr>
            </w:pPr>
            <w:r>
              <w:rPr>
                <w:rFonts w:ascii="Arial" w:cs="Arial" w:eastAsia="Arial" w:hAnsi="Arial"/>
                <w:sz w:val="14"/>
                <w:szCs w:val="14"/>
                <w:b w:val="1"/>
                <w:bCs w:val="1"/>
                <w:color w:val="auto"/>
              </w:rPr>
              <w:t>79 %</w:t>
            </w:r>
          </w:p>
        </w:tc>
        <w:tc>
          <w:tcPr>
            <w:tcW w:w="1520" w:type="dxa"/>
            <w:vAlign w:val="bottom"/>
          </w:tcPr>
          <w:p>
            <w:pPr>
              <w:jc w:val="right"/>
              <w:ind w:right="509"/>
              <w:spacing w:after="0"/>
              <w:rPr>
                <w:sz w:val="20"/>
                <w:szCs w:val="20"/>
                <w:color w:val="auto"/>
              </w:rPr>
            </w:pPr>
            <w:r>
              <w:rPr>
                <w:rFonts w:ascii="Arial" w:cs="Arial" w:eastAsia="Arial" w:hAnsi="Arial"/>
                <w:sz w:val="14"/>
                <w:szCs w:val="14"/>
                <w:b w:val="1"/>
                <w:bCs w:val="1"/>
                <w:color w:val="auto"/>
              </w:rPr>
              <w:t>79 %</w:t>
            </w:r>
          </w:p>
        </w:tc>
        <w:tc>
          <w:tcPr>
            <w:tcW w:w="1540" w:type="dxa"/>
            <w:vAlign w:val="bottom"/>
          </w:tcPr>
          <w:p>
            <w:pPr>
              <w:jc w:val="right"/>
              <w:ind w:right="489"/>
              <w:spacing w:after="0"/>
              <w:rPr>
                <w:sz w:val="20"/>
                <w:szCs w:val="20"/>
                <w:color w:val="auto"/>
              </w:rPr>
            </w:pPr>
            <w:r>
              <w:rPr>
                <w:rFonts w:ascii="Arial" w:cs="Arial" w:eastAsia="Arial" w:hAnsi="Arial"/>
                <w:sz w:val="14"/>
                <w:szCs w:val="14"/>
                <w:b w:val="1"/>
                <w:bCs w:val="1"/>
                <w:color w:val="auto"/>
              </w:rPr>
              <w:t>98 %</w:t>
            </w:r>
          </w:p>
        </w:tc>
        <w:tc>
          <w:tcPr>
            <w:tcW w:w="1420" w:type="dxa"/>
            <w:vAlign w:val="bottom"/>
          </w:tcPr>
          <w:p>
            <w:pPr>
              <w:jc w:val="right"/>
              <w:ind w:right="449"/>
              <w:spacing w:after="0"/>
              <w:rPr>
                <w:sz w:val="20"/>
                <w:szCs w:val="20"/>
                <w:color w:val="auto"/>
              </w:rPr>
            </w:pPr>
            <w:r>
              <w:rPr>
                <w:rFonts w:ascii="Arial" w:cs="Arial" w:eastAsia="Arial" w:hAnsi="Arial"/>
                <w:sz w:val="14"/>
                <w:szCs w:val="14"/>
                <w:b w:val="1"/>
                <w:bCs w:val="1"/>
                <w:color w:val="auto"/>
              </w:rPr>
              <w:t>82 %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0" w:type="dxa"/>
            <w:vAlign w:val="bottom"/>
          </w:tcPr>
          <w:p>
            <w:pPr>
              <w:spacing w:after="0"/>
              <w:rPr>
                <w:sz w:val="1"/>
                <w:szCs w:val="1"/>
                <w:color w:val="auto"/>
              </w:rPr>
            </w:pPr>
          </w:p>
        </w:tc>
      </w:tr>
      <w:tr>
        <w:trPr>
          <w:trHeight w:val="152"/>
        </w:trPr>
        <w:tc>
          <w:tcPr>
            <w:tcW w:w="4180" w:type="dxa"/>
            <w:vAlign w:val="bottom"/>
          </w:tcPr>
          <w:p>
            <w:pPr>
              <w:spacing w:after="0" w:line="152" w:lineRule="exact"/>
              <w:rPr>
                <w:sz w:val="20"/>
                <w:szCs w:val="20"/>
                <w:color w:val="auto"/>
              </w:rPr>
            </w:pPr>
            <w:r>
              <w:rPr>
                <w:rFonts w:ascii="Arial" w:cs="Arial" w:eastAsia="Arial" w:hAnsi="Arial"/>
                <w:sz w:val="14"/>
                <w:szCs w:val="14"/>
                <w:color w:val="auto"/>
              </w:rPr>
              <w:t>Oil without derivative settlements as a percentage of</w:t>
            </w:r>
          </w:p>
        </w:tc>
        <w:tc>
          <w:tcPr>
            <w:tcW w:w="1600" w:type="dxa"/>
            <w:vAlign w:val="bottom"/>
            <w:vMerge w:val="restart"/>
          </w:tcPr>
          <w:p>
            <w:pPr>
              <w:jc w:val="right"/>
              <w:ind w:right="529"/>
              <w:spacing w:after="0"/>
              <w:rPr>
                <w:sz w:val="20"/>
                <w:szCs w:val="20"/>
                <w:color w:val="auto"/>
              </w:rPr>
            </w:pPr>
            <w:r>
              <w:rPr>
                <w:rFonts w:ascii="Arial" w:cs="Arial" w:eastAsia="Arial" w:hAnsi="Arial"/>
                <w:sz w:val="14"/>
                <w:szCs w:val="14"/>
                <w:b w:val="1"/>
                <w:bCs w:val="1"/>
                <w:color w:val="auto"/>
              </w:rPr>
              <w:t>91 %</w:t>
            </w:r>
          </w:p>
        </w:tc>
        <w:tc>
          <w:tcPr>
            <w:tcW w:w="152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95 %</w:t>
            </w:r>
          </w:p>
        </w:tc>
        <w:tc>
          <w:tcPr>
            <w:tcW w:w="1540" w:type="dxa"/>
            <w:vAlign w:val="bottom"/>
            <w:vMerge w:val="restart"/>
          </w:tcPr>
          <w:p>
            <w:pPr>
              <w:jc w:val="right"/>
              <w:ind w:right="489"/>
              <w:spacing w:after="0"/>
              <w:rPr>
                <w:sz w:val="20"/>
                <w:szCs w:val="20"/>
                <w:color w:val="auto"/>
              </w:rPr>
            </w:pPr>
            <w:r>
              <w:rPr>
                <w:rFonts w:ascii="Arial" w:cs="Arial" w:eastAsia="Arial" w:hAnsi="Arial"/>
                <w:sz w:val="14"/>
                <w:szCs w:val="14"/>
                <w:b w:val="1"/>
                <w:bCs w:val="1"/>
                <w:color w:val="auto"/>
              </w:rPr>
              <w:t>97 %</w:t>
            </w:r>
          </w:p>
        </w:tc>
        <w:tc>
          <w:tcPr>
            <w:tcW w:w="1420" w:type="dxa"/>
            <w:vAlign w:val="bottom"/>
            <w:vMerge w:val="restart"/>
          </w:tcPr>
          <w:p>
            <w:pPr>
              <w:jc w:val="right"/>
              <w:ind w:right="449"/>
              <w:spacing w:after="0"/>
              <w:rPr>
                <w:sz w:val="20"/>
                <w:szCs w:val="20"/>
                <w:color w:val="auto"/>
              </w:rPr>
            </w:pPr>
            <w:r>
              <w:rPr>
                <w:rFonts w:ascii="Arial" w:cs="Arial" w:eastAsia="Arial" w:hAnsi="Arial"/>
                <w:sz w:val="14"/>
                <w:szCs w:val="14"/>
                <w:b w:val="1"/>
                <w:bCs w:val="1"/>
                <w:color w:val="auto"/>
              </w:rPr>
              <w:t>94 %</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98 %</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4"/>
                <w:szCs w:val="14"/>
                <w:color w:val="auto"/>
              </w:rPr>
              <w:t>Brent</w:t>
            </w:r>
          </w:p>
        </w:tc>
        <w:tc>
          <w:tcPr>
            <w:tcW w:w="16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0"/>
                <w:szCs w:val="20"/>
                <w:color w:val="auto"/>
              </w:rPr>
            </w:pPr>
            <w:r>
              <w:rPr>
                <w:rFonts w:ascii="Arial" w:cs="Arial" w:eastAsia="Arial" w:hAnsi="Arial"/>
                <w:sz w:val="14"/>
                <w:szCs w:val="14"/>
                <w:color w:val="auto"/>
              </w:rPr>
              <w:t>Oil with derivative settlements as a percentage of WTI</w:t>
            </w:r>
          </w:p>
        </w:tc>
        <w:tc>
          <w:tcPr>
            <w:tcW w:w="1600" w:type="dxa"/>
            <w:vAlign w:val="bottom"/>
          </w:tcPr>
          <w:p>
            <w:pPr>
              <w:jc w:val="right"/>
              <w:ind w:right="529"/>
              <w:spacing w:after="0"/>
              <w:rPr>
                <w:sz w:val="20"/>
                <w:szCs w:val="20"/>
                <w:color w:val="auto"/>
              </w:rPr>
            </w:pPr>
            <w:r>
              <w:rPr>
                <w:rFonts w:ascii="Arial" w:cs="Arial" w:eastAsia="Arial" w:hAnsi="Arial"/>
                <w:sz w:val="14"/>
                <w:szCs w:val="14"/>
                <w:b w:val="1"/>
                <w:bCs w:val="1"/>
                <w:color w:val="auto"/>
              </w:rPr>
              <w:t>84 %</w:t>
            </w:r>
          </w:p>
        </w:tc>
        <w:tc>
          <w:tcPr>
            <w:tcW w:w="1520" w:type="dxa"/>
            <w:vAlign w:val="bottom"/>
          </w:tcPr>
          <w:p>
            <w:pPr>
              <w:jc w:val="right"/>
              <w:ind w:right="509"/>
              <w:spacing w:after="0"/>
              <w:rPr>
                <w:sz w:val="20"/>
                <w:szCs w:val="20"/>
                <w:color w:val="auto"/>
              </w:rPr>
            </w:pPr>
            <w:r>
              <w:rPr>
                <w:rFonts w:ascii="Arial" w:cs="Arial" w:eastAsia="Arial" w:hAnsi="Arial"/>
                <w:sz w:val="14"/>
                <w:szCs w:val="14"/>
                <w:b w:val="1"/>
                <w:bCs w:val="1"/>
                <w:color w:val="auto"/>
              </w:rPr>
              <w:t>82 %</w:t>
            </w:r>
          </w:p>
        </w:tc>
        <w:tc>
          <w:tcPr>
            <w:tcW w:w="1540" w:type="dxa"/>
            <w:vAlign w:val="bottom"/>
          </w:tcPr>
          <w:p>
            <w:pPr>
              <w:jc w:val="right"/>
              <w:ind w:right="489"/>
              <w:spacing w:after="0"/>
              <w:rPr>
                <w:sz w:val="20"/>
                <w:szCs w:val="20"/>
                <w:color w:val="auto"/>
              </w:rPr>
            </w:pPr>
            <w:r>
              <w:rPr>
                <w:rFonts w:ascii="Arial" w:cs="Arial" w:eastAsia="Arial" w:hAnsi="Arial"/>
                <w:sz w:val="14"/>
                <w:szCs w:val="14"/>
                <w:b w:val="1"/>
                <w:bCs w:val="1"/>
                <w:color w:val="auto"/>
              </w:rPr>
              <w:t>103 %</w:t>
            </w:r>
          </w:p>
        </w:tc>
        <w:tc>
          <w:tcPr>
            <w:tcW w:w="1420" w:type="dxa"/>
            <w:vAlign w:val="bottom"/>
          </w:tcPr>
          <w:p>
            <w:pPr>
              <w:jc w:val="right"/>
              <w:ind w:right="449"/>
              <w:spacing w:after="0"/>
              <w:rPr>
                <w:sz w:val="20"/>
                <w:szCs w:val="20"/>
                <w:color w:val="auto"/>
              </w:rPr>
            </w:pPr>
            <w:r>
              <w:rPr>
                <w:rFonts w:ascii="Arial" w:cs="Arial" w:eastAsia="Arial" w:hAnsi="Arial"/>
                <w:sz w:val="14"/>
                <w:szCs w:val="14"/>
                <w:b w:val="1"/>
                <w:bCs w:val="1"/>
                <w:color w:val="auto"/>
              </w:rPr>
              <w:t>87 %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0" w:type="dxa"/>
            <w:vAlign w:val="bottom"/>
          </w:tcPr>
          <w:p>
            <w:pPr>
              <w:spacing w:after="0"/>
              <w:rPr>
                <w:sz w:val="1"/>
                <w:szCs w:val="1"/>
                <w:color w:val="auto"/>
              </w:rPr>
            </w:pPr>
          </w:p>
        </w:tc>
      </w:tr>
      <w:tr>
        <w:trPr>
          <w:trHeight w:val="200"/>
        </w:trPr>
        <w:tc>
          <w:tcPr>
            <w:tcW w:w="4180" w:type="dxa"/>
            <w:vAlign w:val="bottom"/>
          </w:tcPr>
          <w:p>
            <w:pPr>
              <w:spacing w:after="0"/>
              <w:rPr>
                <w:sz w:val="20"/>
                <w:szCs w:val="20"/>
                <w:color w:val="auto"/>
              </w:rPr>
            </w:pPr>
            <w:r>
              <w:rPr>
                <w:rFonts w:ascii="Arial" w:cs="Arial" w:eastAsia="Arial" w:hAnsi="Arial"/>
                <w:sz w:val="14"/>
                <w:szCs w:val="14"/>
                <w:color w:val="auto"/>
              </w:rPr>
              <w:t>Oil without derivative settlements as a percentage of WTI</w:t>
            </w:r>
          </w:p>
        </w:tc>
        <w:tc>
          <w:tcPr>
            <w:tcW w:w="1600" w:type="dxa"/>
            <w:vAlign w:val="bottom"/>
          </w:tcPr>
          <w:p>
            <w:pPr>
              <w:jc w:val="right"/>
              <w:ind w:right="529"/>
              <w:spacing w:after="0"/>
              <w:rPr>
                <w:sz w:val="20"/>
                <w:szCs w:val="20"/>
                <w:color w:val="auto"/>
              </w:rPr>
            </w:pPr>
            <w:r>
              <w:rPr>
                <w:rFonts w:ascii="Arial" w:cs="Arial" w:eastAsia="Arial" w:hAnsi="Arial"/>
                <w:sz w:val="14"/>
                <w:szCs w:val="14"/>
                <w:b w:val="1"/>
                <w:bCs w:val="1"/>
                <w:color w:val="auto"/>
              </w:rPr>
              <w:t>97 %</w:t>
            </w:r>
          </w:p>
        </w:tc>
        <w:tc>
          <w:tcPr>
            <w:tcW w:w="1520" w:type="dxa"/>
            <w:vAlign w:val="bottom"/>
          </w:tcPr>
          <w:p>
            <w:pPr>
              <w:jc w:val="right"/>
              <w:ind w:right="509"/>
              <w:spacing w:after="0"/>
              <w:rPr>
                <w:sz w:val="20"/>
                <w:szCs w:val="20"/>
                <w:color w:val="auto"/>
              </w:rPr>
            </w:pPr>
            <w:r>
              <w:rPr>
                <w:rFonts w:ascii="Arial" w:cs="Arial" w:eastAsia="Arial" w:hAnsi="Arial"/>
                <w:sz w:val="14"/>
                <w:szCs w:val="14"/>
                <w:b w:val="1"/>
                <w:bCs w:val="1"/>
                <w:color w:val="auto"/>
              </w:rPr>
              <w:t>99 %</w:t>
            </w:r>
          </w:p>
        </w:tc>
        <w:tc>
          <w:tcPr>
            <w:tcW w:w="1540" w:type="dxa"/>
            <w:vAlign w:val="bottom"/>
          </w:tcPr>
          <w:p>
            <w:pPr>
              <w:jc w:val="right"/>
              <w:ind w:right="489"/>
              <w:spacing w:after="0"/>
              <w:rPr>
                <w:sz w:val="20"/>
                <w:szCs w:val="20"/>
                <w:color w:val="auto"/>
              </w:rPr>
            </w:pPr>
            <w:r>
              <w:rPr>
                <w:rFonts w:ascii="Arial" w:cs="Arial" w:eastAsia="Arial" w:hAnsi="Arial"/>
                <w:sz w:val="14"/>
                <w:szCs w:val="14"/>
                <w:b w:val="1"/>
                <w:bCs w:val="1"/>
                <w:color w:val="auto"/>
              </w:rPr>
              <w:t>102 %</w:t>
            </w:r>
          </w:p>
        </w:tc>
        <w:tc>
          <w:tcPr>
            <w:tcW w:w="1420" w:type="dxa"/>
            <w:vAlign w:val="bottom"/>
          </w:tcPr>
          <w:p>
            <w:pPr>
              <w:jc w:val="right"/>
              <w:ind w:right="449"/>
              <w:spacing w:after="0"/>
              <w:rPr>
                <w:sz w:val="20"/>
                <w:szCs w:val="20"/>
                <w:color w:val="auto"/>
              </w:rPr>
            </w:pPr>
            <w:r>
              <w:rPr>
                <w:rFonts w:ascii="Arial" w:cs="Arial" w:eastAsia="Arial" w:hAnsi="Arial"/>
                <w:sz w:val="14"/>
                <w:szCs w:val="14"/>
                <w:b w:val="1"/>
                <w:bCs w:val="1"/>
                <w:color w:val="auto"/>
              </w:rPr>
              <w:t>99 %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0" w:type="dxa"/>
            <w:vAlign w:val="bottom"/>
          </w:tcPr>
          <w:p>
            <w:pPr>
              <w:spacing w:after="0"/>
              <w:rPr>
                <w:sz w:val="1"/>
                <w:szCs w:val="1"/>
                <w:color w:val="auto"/>
              </w:rPr>
            </w:pPr>
          </w:p>
        </w:tc>
      </w:tr>
      <w:tr>
        <w:trPr>
          <w:trHeight w:val="253"/>
        </w:trPr>
        <w:tc>
          <w:tcPr>
            <w:tcW w:w="4180" w:type="dxa"/>
            <w:vAlign w:val="bottom"/>
          </w:tcPr>
          <w:p>
            <w:pPr>
              <w:spacing w:after="0"/>
              <w:rPr>
                <w:sz w:val="20"/>
                <w:szCs w:val="20"/>
                <w:color w:val="auto"/>
              </w:rPr>
            </w:pPr>
            <w:r>
              <w:rPr>
                <w:rFonts w:ascii="Arial" w:cs="Arial" w:eastAsia="Arial" w:hAnsi="Arial"/>
                <w:sz w:val="14"/>
                <w:szCs w:val="14"/>
                <w:color w:val="auto"/>
              </w:rPr>
              <w:t>NGLs as a percentage of Brent</w:t>
            </w:r>
          </w:p>
        </w:tc>
        <w:tc>
          <w:tcPr>
            <w:tcW w:w="1600" w:type="dxa"/>
            <w:vAlign w:val="bottom"/>
          </w:tcPr>
          <w:p>
            <w:pPr>
              <w:jc w:val="right"/>
              <w:ind w:right="529"/>
              <w:spacing w:after="0"/>
              <w:rPr>
                <w:sz w:val="20"/>
                <w:szCs w:val="20"/>
                <w:color w:val="auto"/>
              </w:rPr>
            </w:pPr>
            <w:r>
              <w:rPr>
                <w:rFonts w:ascii="Arial" w:cs="Arial" w:eastAsia="Arial" w:hAnsi="Arial"/>
                <w:sz w:val="14"/>
                <w:szCs w:val="14"/>
                <w:b w:val="1"/>
                <w:bCs w:val="1"/>
                <w:color w:val="auto"/>
              </w:rPr>
              <w:t>53 %</w:t>
            </w:r>
          </w:p>
        </w:tc>
        <w:tc>
          <w:tcPr>
            <w:tcW w:w="1520" w:type="dxa"/>
            <w:vAlign w:val="bottom"/>
          </w:tcPr>
          <w:p>
            <w:pPr>
              <w:jc w:val="right"/>
              <w:ind w:right="509"/>
              <w:spacing w:after="0"/>
              <w:rPr>
                <w:sz w:val="20"/>
                <w:szCs w:val="20"/>
                <w:color w:val="auto"/>
              </w:rPr>
            </w:pPr>
            <w:r>
              <w:rPr>
                <w:rFonts w:ascii="Arial" w:cs="Arial" w:eastAsia="Arial" w:hAnsi="Arial"/>
                <w:sz w:val="14"/>
                <w:szCs w:val="14"/>
                <w:b w:val="1"/>
                <w:bCs w:val="1"/>
                <w:color w:val="auto"/>
              </w:rPr>
              <w:t>51 %</w:t>
            </w:r>
          </w:p>
        </w:tc>
        <w:tc>
          <w:tcPr>
            <w:tcW w:w="1540" w:type="dxa"/>
            <w:vAlign w:val="bottom"/>
          </w:tcPr>
          <w:p>
            <w:pPr>
              <w:jc w:val="right"/>
              <w:ind w:right="489"/>
              <w:spacing w:after="0"/>
              <w:rPr>
                <w:sz w:val="20"/>
                <w:szCs w:val="20"/>
                <w:color w:val="auto"/>
              </w:rPr>
            </w:pPr>
            <w:r>
              <w:rPr>
                <w:rFonts w:ascii="Arial" w:cs="Arial" w:eastAsia="Arial" w:hAnsi="Arial"/>
                <w:sz w:val="14"/>
                <w:szCs w:val="14"/>
                <w:b w:val="1"/>
                <w:bCs w:val="1"/>
                <w:color w:val="auto"/>
              </w:rPr>
              <w:t>60 %</w:t>
            </w:r>
          </w:p>
        </w:tc>
        <w:tc>
          <w:tcPr>
            <w:tcW w:w="1420" w:type="dxa"/>
            <w:vAlign w:val="bottom"/>
          </w:tcPr>
          <w:p>
            <w:pPr>
              <w:jc w:val="right"/>
              <w:ind w:right="449"/>
              <w:spacing w:after="0"/>
              <w:rPr>
                <w:sz w:val="20"/>
                <w:szCs w:val="20"/>
                <w:color w:val="auto"/>
              </w:rPr>
            </w:pPr>
            <w:r>
              <w:rPr>
                <w:rFonts w:ascii="Arial" w:cs="Arial" w:eastAsia="Arial" w:hAnsi="Arial"/>
                <w:sz w:val="14"/>
                <w:szCs w:val="14"/>
                <w:b w:val="1"/>
                <w:bCs w:val="1"/>
                <w:color w:val="auto"/>
              </w:rPr>
              <w:t>54 %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66 %</w:t>
            </w:r>
          </w:p>
        </w:tc>
        <w:tc>
          <w:tcPr>
            <w:tcW w:w="0" w:type="dxa"/>
            <w:vAlign w:val="bottom"/>
          </w:tcPr>
          <w:p>
            <w:pPr>
              <w:spacing w:after="0"/>
              <w:rPr>
                <w:sz w:val="1"/>
                <w:szCs w:val="1"/>
                <w:color w:val="auto"/>
              </w:rPr>
            </w:pPr>
          </w:p>
        </w:tc>
      </w:tr>
      <w:tr>
        <w:trPr>
          <w:trHeight w:val="200"/>
        </w:trPr>
        <w:tc>
          <w:tcPr>
            <w:tcW w:w="4180" w:type="dxa"/>
            <w:vAlign w:val="bottom"/>
          </w:tcPr>
          <w:p>
            <w:pPr>
              <w:spacing w:after="0"/>
              <w:rPr>
                <w:sz w:val="20"/>
                <w:szCs w:val="20"/>
                <w:color w:val="auto"/>
              </w:rPr>
            </w:pPr>
            <w:r>
              <w:rPr>
                <w:rFonts w:ascii="Arial" w:cs="Arial" w:eastAsia="Arial" w:hAnsi="Arial"/>
                <w:sz w:val="14"/>
                <w:szCs w:val="14"/>
                <w:color w:val="auto"/>
              </w:rPr>
              <w:t>NGLs as a percentage of WTI</w:t>
            </w:r>
          </w:p>
        </w:tc>
        <w:tc>
          <w:tcPr>
            <w:tcW w:w="1600" w:type="dxa"/>
            <w:vAlign w:val="bottom"/>
          </w:tcPr>
          <w:p>
            <w:pPr>
              <w:jc w:val="right"/>
              <w:ind w:right="529"/>
              <w:spacing w:after="0"/>
              <w:rPr>
                <w:sz w:val="20"/>
                <w:szCs w:val="20"/>
                <w:color w:val="auto"/>
              </w:rPr>
            </w:pPr>
            <w:r>
              <w:rPr>
                <w:rFonts w:ascii="Arial" w:cs="Arial" w:eastAsia="Arial" w:hAnsi="Arial"/>
                <w:sz w:val="14"/>
                <w:szCs w:val="14"/>
                <w:b w:val="1"/>
                <w:bCs w:val="1"/>
                <w:color w:val="auto"/>
              </w:rPr>
              <w:t>57 %</w:t>
            </w:r>
          </w:p>
        </w:tc>
        <w:tc>
          <w:tcPr>
            <w:tcW w:w="1520" w:type="dxa"/>
            <w:vAlign w:val="bottom"/>
          </w:tcPr>
          <w:p>
            <w:pPr>
              <w:jc w:val="right"/>
              <w:ind w:right="509"/>
              <w:spacing w:after="0"/>
              <w:rPr>
                <w:sz w:val="20"/>
                <w:szCs w:val="20"/>
                <w:color w:val="auto"/>
              </w:rPr>
            </w:pPr>
            <w:r>
              <w:rPr>
                <w:rFonts w:ascii="Arial" w:cs="Arial" w:eastAsia="Arial" w:hAnsi="Arial"/>
                <w:sz w:val="14"/>
                <w:szCs w:val="14"/>
                <w:b w:val="1"/>
                <w:bCs w:val="1"/>
                <w:color w:val="auto"/>
              </w:rPr>
              <w:t>53 %</w:t>
            </w:r>
          </w:p>
        </w:tc>
        <w:tc>
          <w:tcPr>
            <w:tcW w:w="1540" w:type="dxa"/>
            <w:vAlign w:val="bottom"/>
          </w:tcPr>
          <w:p>
            <w:pPr>
              <w:jc w:val="right"/>
              <w:ind w:right="489"/>
              <w:spacing w:after="0"/>
              <w:rPr>
                <w:sz w:val="20"/>
                <w:szCs w:val="20"/>
                <w:color w:val="auto"/>
              </w:rPr>
            </w:pPr>
            <w:r>
              <w:rPr>
                <w:rFonts w:ascii="Arial" w:cs="Arial" w:eastAsia="Arial" w:hAnsi="Arial"/>
                <w:sz w:val="14"/>
                <w:szCs w:val="14"/>
                <w:b w:val="1"/>
                <w:bCs w:val="1"/>
                <w:color w:val="auto"/>
              </w:rPr>
              <w:t>63 %</w:t>
            </w:r>
          </w:p>
        </w:tc>
        <w:tc>
          <w:tcPr>
            <w:tcW w:w="1420" w:type="dxa"/>
            <w:vAlign w:val="bottom"/>
          </w:tcPr>
          <w:p>
            <w:pPr>
              <w:jc w:val="right"/>
              <w:ind w:right="449"/>
              <w:spacing w:after="0"/>
              <w:rPr>
                <w:sz w:val="20"/>
                <w:szCs w:val="20"/>
                <w:color w:val="auto"/>
              </w:rPr>
            </w:pPr>
            <w:r>
              <w:rPr>
                <w:rFonts w:ascii="Arial" w:cs="Arial" w:eastAsia="Arial" w:hAnsi="Arial"/>
                <w:sz w:val="14"/>
                <w:szCs w:val="14"/>
                <w:b w:val="1"/>
                <w:bCs w:val="1"/>
                <w:color w:val="auto"/>
              </w:rPr>
              <w:t>57 %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69 %</w:t>
            </w:r>
          </w:p>
        </w:tc>
        <w:tc>
          <w:tcPr>
            <w:tcW w:w="0" w:type="dxa"/>
            <w:vAlign w:val="bottom"/>
          </w:tcPr>
          <w:p>
            <w:pPr>
              <w:spacing w:after="0"/>
              <w:rPr>
                <w:sz w:val="1"/>
                <w:szCs w:val="1"/>
                <w:color w:val="auto"/>
              </w:rPr>
            </w:pPr>
          </w:p>
        </w:tc>
      </w:tr>
      <w:tr>
        <w:trPr>
          <w:trHeight w:val="205"/>
        </w:trPr>
        <w:tc>
          <w:tcPr>
            <w:tcW w:w="4180" w:type="dxa"/>
            <w:vAlign w:val="bottom"/>
          </w:tcPr>
          <w:p>
            <w:pPr>
              <w:spacing w:after="0"/>
              <w:rPr>
                <w:sz w:val="20"/>
                <w:szCs w:val="20"/>
                <w:color w:val="auto"/>
              </w:rPr>
            </w:pPr>
            <w:r>
              <w:rPr>
                <w:rFonts w:ascii="Arial" w:cs="Arial" w:eastAsia="Arial" w:hAnsi="Arial"/>
                <w:sz w:val="14"/>
                <w:szCs w:val="14"/>
                <w:color w:val="auto"/>
              </w:rPr>
              <w:t>Natural gas without derivative settlements as a</w:t>
            </w:r>
          </w:p>
        </w:tc>
        <w:tc>
          <w:tcPr>
            <w:tcW w:w="1600" w:type="dxa"/>
            <w:vAlign w:val="bottom"/>
            <w:vMerge w:val="restart"/>
          </w:tcPr>
          <w:p>
            <w:pPr>
              <w:jc w:val="right"/>
              <w:ind w:right="529"/>
              <w:spacing w:after="0"/>
              <w:rPr>
                <w:sz w:val="20"/>
                <w:szCs w:val="20"/>
                <w:color w:val="auto"/>
              </w:rPr>
            </w:pPr>
            <w:r>
              <w:rPr>
                <w:rFonts w:ascii="Arial" w:cs="Arial" w:eastAsia="Arial" w:hAnsi="Arial"/>
                <w:sz w:val="14"/>
                <w:szCs w:val="14"/>
                <w:b w:val="1"/>
                <w:bCs w:val="1"/>
                <w:color w:val="auto"/>
              </w:rPr>
              <w:t>119 %</w:t>
            </w:r>
          </w:p>
        </w:tc>
        <w:tc>
          <w:tcPr>
            <w:tcW w:w="152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63 %</w:t>
            </w:r>
          </w:p>
        </w:tc>
        <w:tc>
          <w:tcPr>
            <w:tcW w:w="1540" w:type="dxa"/>
            <w:vAlign w:val="bottom"/>
            <w:vMerge w:val="restart"/>
          </w:tcPr>
          <w:p>
            <w:pPr>
              <w:jc w:val="right"/>
              <w:ind w:right="489"/>
              <w:spacing w:after="0"/>
              <w:rPr>
                <w:sz w:val="20"/>
                <w:szCs w:val="20"/>
                <w:color w:val="auto"/>
              </w:rPr>
            </w:pPr>
            <w:r>
              <w:rPr>
                <w:rFonts w:ascii="Arial" w:cs="Arial" w:eastAsia="Arial" w:hAnsi="Arial"/>
                <w:sz w:val="14"/>
                <w:szCs w:val="14"/>
                <w:b w:val="1"/>
                <w:bCs w:val="1"/>
                <w:color w:val="auto"/>
              </w:rPr>
              <w:t>113 %</w:t>
            </w:r>
          </w:p>
        </w:tc>
        <w:tc>
          <w:tcPr>
            <w:tcW w:w="1420" w:type="dxa"/>
            <w:vAlign w:val="bottom"/>
            <w:vMerge w:val="restart"/>
          </w:tcPr>
          <w:p>
            <w:pPr>
              <w:jc w:val="right"/>
              <w:ind w:right="449"/>
              <w:spacing w:after="0"/>
              <w:rPr>
                <w:sz w:val="20"/>
                <w:szCs w:val="20"/>
                <w:color w:val="auto"/>
              </w:rPr>
            </w:pPr>
            <w:r>
              <w:rPr>
                <w:rFonts w:ascii="Arial" w:cs="Arial" w:eastAsia="Arial" w:hAnsi="Arial"/>
                <w:sz w:val="14"/>
                <w:szCs w:val="14"/>
                <w:b w:val="1"/>
                <w:bCs w:val="1"/>
                <w:color w:val="auto"/>
              </w:rPr>
              <w:t>82 %</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4"/>
                <w:szCs w:val="14"/>
                <w:color w:val="auto"/>
              </w:rPr>
              <w:t>percentage of NYMEX contract month average</w:t>
            </w:r>
          </w:p>
        </w:tc>
        <w:tc>
          <w:tcPr>
            <w:tcW w:w="16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05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3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39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QUARTER 2026 DRILLING ACTIVITY</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 Angeles</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Uinta</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Other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Basins</w:t>
            </w:r>
          </w:p>
        </w:tc>
        <w:tc>
          <w:tcPr>
            <w:tcW w:w="100" w:type="dxa"/>
            <w:vAlign w:val="bottom"/>
          </w:tcPr>
          <w:p>
            <w:pPr>
              <w:spacing w:after="0"/>
              <w:rPr>
                <w:sz w:val="17"/>
                <w:szCs w:val="17"/>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Primary</w:t>
            </w:r>
          </w:p>
        </w:tc>
        <w:tc>
          <w:tcPr>
            <w:tcW w:w="1120" w:type="dxa"/>
            <w:vAlign w:val="bottom"/>
          </w:tcPr>
          <w:p>
            <w:pPr>
              <w:jc w:val="center"/>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0"/>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Waterflood</w:t>
            </w:r>
          </w:p>
        </w:tc>
        <w:tc>
          <w:tcPr>
            <w:tcW w:w="112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4"/>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Steamflood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7"/>
        </w:trPr>
        <w:tc>
          <w:tcPr>
            <w:tcW w:w="3980" w:type="dxa"/>
            <w:vAlign w:val="bottom"/>
            <w:gridSpan w:val="2"/>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117</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2026 DRILLING ACTIVITY</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9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 Angeles</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Uinta</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Other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Basins</w:t>
            </w:r>
          </w:p>
        </w:tc>
        <w:tc>
          <w:tcPr>
            <w:tcW w:w="100" w:type="dxa"/>
            <w:vAlign w:val="bottom"/>
          </w:tcPr>
          <w:p>
            <w:pPr>
              <w:spacing w:after="0"/>
              <w:rPr>
                <w:sz w:val="17"/>
                <w:szCs w:val="17"/>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 Wells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Primary</w:t>
            </w:r>
          </w:p>
        </w:tc>
        <w:tc>
          <w:tcPr>
            <w:tcW w:w="1120" w:type="dxa"/>
            <w:vAlign w:val="bottom"/>
          </w:tcPr>
          <w:p>
            <w:pPr>
              <w:jc w:val="center"/>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Waterflood</w:t>
            </w:r>
          </w:p>
        </w:tc>
        <w:tc>
          <w:tcPr>
            <w:tcW w:w="1120" w:type="dxa"/>
            <w:vAlign w:val="bottom"/>
          </w:tcPr>
          <w:p>
            <w:pPr>
              <w:jc w:val="center"/>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4"/>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Steamflood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7"/>
        </w:trPr>
        <w:tc>
          <w:tcPr>
            <w:tcW w:w="3980" w:type="dxa"/>
            <w:vAlign w:val="bottom"/>
            <w:gridSpan w:val="2"/>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60" w:hanging="149"/>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19</w:t>
      </w:r>
    </w:p>
    <w:sectPr>
      <w:pgSz w:w="11900" w:h="16838" w:orient="portrait"/>
      <w:cols w:equalWidth="0" w:num="1">
        <w:col w:w="11180"/>
      </w:cols>
      <w:pgMar w:left="360" w:top="10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2026-11-02T15:50:32Z</dcterms:created>
  <dcterms:modified xsi:type="dcterms:W3CDTF">2026-11-02T15:50:32Z</dcterms:modified>
</cp:coreProperties>
</file>