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Weiss Charles F.</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9200 OAKDALE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EVP - Public Affairs</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40" w:type="dxa"/>
            <w:vAlign w:val="bottom"/>
            <w:gridSpan w:val="6"/>
          </w:tcPr>
          <w:p>
            <w:pPr>
              <w:jc w:val="right"/>
              <w:ind w:right="197"/>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660" w:type="dxa"/>
            <w:vAlign w:val="bottom"/>
            <w:gridSpan w:val="7"/>
          </w:tcPr>
          <w:p>
            <w:pPr>
              <w:ind w:left="3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LOS ANGELES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91311</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3"/>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80" w:type="dxa"/>
            <w:vAlign w:val="bottom"/>
            <w:gridSpan w:val="3"/>
            <w:vMerge w:val="restart"/>
          </w:tcPr>
          <w:p>
            <w:pPr>
              <w:ind w:left="780"/>
              <w:spacing w:after="0"/>
              <w:rPr>
                <w:sz w:val="20"/>
                <w:szCs w:val="20"/>
                <w:color w:val="auto"/>
              </w:rPr>
            </w:pPr>
            <w:r>
              <w:rPr>
                <w:rFonts w:ascii="Arial" w:cs="Arial" w:eastAsia="Arial" w:hAnsi="Arial"/>
                <w:sz w:val="18"/>
                <w:szCs w:val="18"/>
                <w:color w:val="0000FF"/>
                <w:w w:val="97"/>
              </w:rPr>
              <w:t>03/04/2016</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rPr>
              <w:t>8,000</w:t>
            </w:r>
          </w:p>
        </w:tc>
        <w:tc>
          <w:tcPr>
            <w:tcW w:w="700" w:type="dxa"/>
            <w:vAlign w:val="bottom"/>
            <w:vMerge w:val="restart"/>
          </w:tcPr>
          <w:p>
            <w:pPr>
              <w:jc w:val="right"/>
              <w:ind w:right="197"/>
              <w:spacing w:after="0"/>
              <w:rPr>
                <w:sz w:val="20"/>
                <w:szCs w:val="20"/>
                <w:color w:val="auto"/>
              </w:rPr>
            </w:pPr>
            <w:r>
              <w:rPr>
                <w:rFonts w:ascii="Arial" w:cs="Arial" w:eastAsia="Arial" w:hAnsi="Arial"/>
                <w:sz w:val="18"/>
                <w:szCs w:val="18"/>
                <w:color w:val="0000FF"/>
              </w:rPr>
              <w:t>A</w:t>
            </w:r>
          </w:p>
        </w:tc>
        <w:tc>
          <w:tcPr>
            <w:tcW w:w="700" w:type="dxa"/>
            <w:vAlign w:val="bottom"/>
            <w:gridSpan w:val="2"/>
            <w:vMerge w:val="restart"/>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1.345</w:t>
            </w:r>
            <w:r>
              <w:rPr>
                <w:rFonts w:ascii="Arial" w:cs="Arial" w:eastAsia="Arial" w:hAnsi="Arial"/>
                <w:sz w:val="22"/>
                <w:szCs w:val="22"/>
                <w:color w:val="008000"/>
                <w:w w:val="93"/>
                <w:vertAlign w:val="superscript"/>
              </w:rPr>
              <w:t>(1)</w:t>
            </w:r>
          </w:p>
        </w:tc>
        <w:tc>
          <w:tcPr>
            <w:tcW w:w="340" w:type="dxa"/>
            <w:vAlign w:val="bottom"/>
          </w:tcPr>
          <w:p>
            <w:pPr>
              <w:spacing w:after="0"/>
              <w:rPr>
                <w:sz w:val="18"/>
                <w:szCs w:val="18"/>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0000FF"/>
              </w:rPr>
              <w:t>19,877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Weiss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4300" w:type="dxa"/>
            <w:vAlign w:val="bottom"/>
            <w:tcBorders>
              <w:bottom w:val="single" w:sz="8" w:color="2C2C2C"/>
            </w:tcBorders>
            <w:gridSpan w:val="8"/>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0"/>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$1.335 to $1.35, inclusive. The reporting person undertakes to provide to CRC, any security holder of CRC, or the staff of the Securities and Exchange Commission, upon request, full information regarding the number of shares sold at each separate price within the ranges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Kendrick F. Royer,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80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04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Charles F. 03/04/2016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Weiss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63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35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69"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2019-12-09T01:05:54Z</dcterms:created>
  <dcterms:modified xsi:type="dcterms:W3CDTF">2019-12-09T01:05:54Z</dcterms:modified>
</cp:coreProperties>
</file>