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4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06/10/2021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250,000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32.58  15,881,592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5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20"/>
              <w:spacing w:after="0"/>
              <w:rPr>
                <w:sz w:val="20"/>
                <w:szCs w:val="20"/>
                <w:color w:val="auto"/>
              </w:rPr>
            </w:pPr>
            <w:r>
              <w:rPr>
                <w:rFonts w:ascii="Arial" w:cs="Arial" w:eastAsia="Arial" w:hAnsi="Arial"/>
                <w:sz w:val="17"/>
                <w:szCs w:val="17"/>
                <w:color w:val="0000FF"/>
              </w:rPr>
              <w:t>CA</w:t>
            </w:r>
          </w:p>
        </w:tc>
        <w:tc>
          <w:tcPr>
            <w:tcW w:w="1580" w:type="dxa"/>
            <w:vAlign w:val="bottom"/>
          </w:tcPr>
          <w:p>
            <w:pPr>
              <w:ind w:left="2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15,881,592 shares of Common Stock by reason of the direct or indirect beneficial ownership of such shares as follows: (i) ACOF AIV 1A directly holds 738,575 shares of Common Stock, (ii) ACOF AIV 1B directly holds 2,702,799 shares of Common Stock, (iii) ACOF AIV 2 directly holds 2,753,347 shares of Common Stock, (iv) AEOF AIV A-B directly holds 1,894,861 shares of Common Stock, (v) AEOF AIV C directly holds 804,524 shares of Common Stock, (vi) SSF AIV 1A directly holds 350,681 shares of Common Stock, (vii) SSF AIV 1B directly holds 312,650 shares of Common Stock, (viii) SSF AIV 2 directly holds 508,973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HOLDINGS L.P.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38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88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80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6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2021-06-14T15:05:41Z</dcterms:created>
  <dcterms:modified xsi:type="dcterms:W3CDTF">2021-06-14T15:05:41Z</dcterms:modified>
</cp:coreProperties>
</file>