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900" w:type="dxa"/>
        <w:tblCellMar>
          <w:top w:w="0" w:type="dxa"/>
          <w:left w:w="0" w:type="dxa"/>
          <w:bottom w:w="0" w:type="dxa"/>
          <w:right w:w="0" w:type="dxa"/>
        </w:tblCellMar>
      </w:tblPr>
      <w:tr>
        <w:trPr>
          <w:trHeight w:val="283"/>
        </w:trPr>
        <w:tc>
          <w:tcPr>
            <w:tcW w:w="5440" w:type="dxa"/>
            <w:vAlign w:val="bottom"/>
            <w:gridSpan w:val="2"/>
          </w:tcPr>
          <w:p>
            <w:pPr>
              <w:jc w:val="center"/>
              <w:ind w:right="1000"/>
              <w:spacing w:after="0"/>
              <w:rPr>
                <w:sz w:val="20"/>
                <w:szCs w:val="20"/>
                <w:color w:val="auto"/>
              </w:rPr>
            </w:pPr>
            <w:r>
              <w:rPr>
                <w:rFonts w:ascii="Arial" w:cs="Arial" w:eastAsia="Arial" w:hAnsi="Arial"/>
                <w:sz w:val="22"/>
                <w:szCs w:val="22"/>
                <w:color w:val="auto"/>
                <w:w w:val="92"/>
              </w:rPr>
              <w:t>UNITED STATES</w:t>
            </w:r>
          </w:p>
        </w:tc>
        <w:tc>
          <w:tcPr>
            <w:tcW w:w="18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OMB APPROVAL</w:t>
            </w:r>
          </w:p>
        </w:tc>
        <w:tc>
          <w:tcPr>
            <w:tcW w:w="1780" w:type="dxa"/>
            <w:vAlign w:val="bottom"/>
            <w:tcBorders>
              <w:top w:val="single" w:sz="8" w:color="2C2C2C"/>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Borders>
              <w:bottom w:val="single" w:sz="8" w:color="2C2C2C"/>
            </w:tcBorders>
          </w:tcPr>
          <w:p>
            <w:pPr>
              <w:spacing w:after="0" w:line="20" w:lineRule="exact"/>
              <w:rPr>
                <w:sz w:val="1"/>
                <w:szCs w:val="1"/>
                <w:color w:val="auto"/>
              </w:rPr>
            </w:pPr>
          </w:p>
        </w:tc>
        <w:tc>
          <w:tcPr>
            <w:tcW w:w="1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3"/>
        </w:trPr>
        <w:tc>
          <w:tcPr>
            <w:tcW w:w="5440" w:type="dxa"/>
            <w:vAlign w:val="bottom"/>
            <w:gridSpan w:val="2"/>
          </w:tcPr>
          <w:p>
            <w:pPr>
              <w:jc w:val="center"/>
              <w:ind w:right="1000"/>
              <w:spacing w:after="0"/>
              <w:rPr>
                <w:sz w:val="20"/>
                <w:szCs w:val="20"/>
                <w:color w:val="auto"/>
              </w:rPr>
            </w:pPr>
            <w:r>
              <w:rPr>
                <w:rFonts w:ascii="Arial" w:cs="Arial" w:eastAsia="Arial" w:hAnsi="Arial"/>
                <w:sz w:val="22"/>
                <w:szCs w:val="22"/>
                <w:color w:val="auto"/>
                <w:w w:val="95"/>
              </w:rPr>
              <w:t>SECURITIES AND EXCHANGE COMMISSION</w:t>
            </w:r>
          </w:p>
        </w:tc>
        <w:tc>
          <w:tcPr>
            <w:tcW w:w="1860" w:type="dxa"/>
            <w:vAlign w:val="bottom"/>
          </w:tcPr>
          <w:p>
            <w:pPr>
              <w:ind w:left="60"/>
              <w:spacing w:after="0"/>
              <w:rPr>
                <w:sz w:val="20"/>
                <w:szCs w:val="20"/>
                <w:color w:val="auto"/>
              </w:rPr>
            </w:pPr>
            <w:r>
              <w:rPr>
                <w:rFonts w:ascii="Arial" w:cs="Arial" w:eastAsia="Arial" w:hAnsi="Arial"/>
                <w:sz w:val="22"/>
                <w:szCs w:val="22"/>
                <w:color w:val="auto"/>
              </w:rPr>
              <w:t>OMB Number:</w:t>
            </w:r>
          </w:p>
        </w:tc>
        <w:tc>
          <w:tcPr>
            <w:tcW w:w="1780" w:type="dxa"/>
            <w:vAlign w:val="bottom"/>
          </w:tcPr>
          <w:p>
            <w:pPr>
              <w:ind w:left="180"/>
              <w:spacing w:after="0"/>
              <w:rPr>
                <w:sz w:val="20"/>
                <w:szCs w:val="20"/>
                <w:color w:val="auto"/>
              </w:rPr>
            </w:pPr>
            <w:r>
              <w:rPr>
                <w:rFonts w:ascii="Arial" w:cs="Arial" w:eastAsia="Arial" w:hAnsi="Arial"/>
                <w:sz w:val="22"/>
                <w:szCs w:val="22"/>
                <w:color w:val="auto"/>
              </w:rPr>
              <w:t>3235-0080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440" w:type="dxa"/>
            <w:vAlign w:val="bottom"/>
            <w:gridSpan w:val="2"/>
            <w:vMerge w:val="restart"/>
          </w:tcPr>
          <w:p>
            <w:pPr>
              <w:jc w:val="center"/>
              <w:ind w:right="1000"/>
              <w:spacing w:after="0"/>
              <w:rPr>
                <w:sz w:val="20"/>
                <w:szCs w:val="20"/>
                <w:color w:val="auto"/>
              </w:rPr>
            </w:pPr>
            <w:r>
              <w:rPr>
                <w:rFonts w:ascii="Arial" w:cs="Arial" w:eastAsia="Arial" w:hAnsi="Arial"/>
                <w:sz w:val="22"/>
                <w:szCs w:val="22"/>
                <w:color w:val="auto"/>
                <w:w w:val="88"/>
              </w:rPr>
              <w:t>Washington, D.C. 20549</w:t>
            </w:r>
          </w:p>
        </w:tc>
        <w:tc>
          <w:tcPr>
            <w:tcW w:w="1860" w:type="dxa"/>
            <w:vAlign w:val="bottom"/>
          </w:tcPr>
          <w:p>
            <w:pPr>
              <w:ind w:left="60"/>
              <w:spacing w:after="0"/>
              <w:rPr>
                <w:sz w:val="20"/>
                <w:szCs w:val="20"/>
                <w:color w:val="auto"/>
              </w:rPr>
            </w:pPr>
            <w:r>
              <w:rPr>
                <w:rFonts w:ascii="Arial" w:cs="Arial" w:eastAsia="Arial" w:hAnsi="Arial"/>
                <w:sz w:val="22"/>
                <w:szCs w:val="22"/>
                <w:color w:val="auto"/>
              </w:rPr>
              <w:t>Expires:</w:t>
            </w:r>
          </w:p>
        </w:tc>
        <w:tc>
          <w:tcPr>
            <w:tcW w:w="1780" w:type="dxa"/>
            <w:vAlign w:val="bottom"/>
          </w:tcPr>
          <w:p>
            <w:pPr>
              <w:ind w:left="100"/>
              <w:spacing w:after="0"/>
              <w:rPr>
                <w:sz w:val="20"/>
                <w:szCs w:val="20"/>
                <w:color w:val="auto"/>
              </w:rPr>
            </w:pPr>
            <w:r>
              <w:rPr>
                <w:rFonts w:ascii="Arial" w:cs="Arial" w:eastAsia="Arial" w:hAnsi="Arial"/>
                <w:sz w:val="22"/>
                <w:szCs w:val="22"/>
                <w:color w:val="auto"/>
              </w:rPr>
              <w:t>March 31, 2018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5440" w:type="dxa"/>
            <w:vAlign w:val="bottom"/>
            <w:gridSpan w:val="2"/>
            <w:vMerge w:val="continue"/>
          </w:tcPr>
          <w:p>
            <w:pPr>
              <w:spacing w:after="0"/>
              <w:rPr>
                <w:sz w:val="17"/>
                <w:szCs w:val="17"/>
                <w:color w:val="auto"/>
              </w:rPr>
            </w:pPr>
          </w:p>
        </w:tc>
        <w:tc>
          <w:tcPr>
            <w:tcW w:w="364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 burden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5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9"/>
        </w:trPr>
        <w:tc>
          <w:tcPr>
            <w:tcW w:w="5440" w:type="dxa"/>
            <w:vAlign w:val="bottom"/>
            <w:gridSpan w:val="2"/>
          </w:tcPr>
          <w:p>
            <w:pPr>
              <w:jc w:val="center"/>
              <w:ind w:right="1000"/>
              <w:spacing w:after="0"/>
              <w:rPr>
                <w:sz w:val="20"/>
                <w:szCs w:val="20"/>
                <w:color w:val="auto"/>
              </w:rPr>
            </w:pPr>
            <w:r>
              <w:rPr>
                <w:rFonts w:ascii="Arial" w:cs="Arial" w:eastAsia="Arial" w:hAnsi="Arial"/>
                <w:sz w:val="22"/>
                <w:szCs w:val="22"/>
                <w:color w:val="auto"/>
                <w:w w:val="92"/>
              </w:rPr>
              <w:t>FORM 25</w:t>
            </w:r>
          </w:p>
        </w:tc>
        <w:tc>
          <w:tcPr>
            <w:tcW w:w="1860" w:type="dxa"/>
            <w:vAlign w:val="bottom"/>
            <w:tcBorders>
              <w:bottom w:val="single" w:sz="8" w:color="808080"/>
            </w:tcBorders>
          </w:tcPr>
          <w:p>
            <w:pPr>
              <w:ind w:left="60"/>
              <w:spacing w:after="0"/>
              <w:rPr>
                <w:sz w:val="20"/>
                <w:szCs w:val="20"/>
                <w:color w:val="auto"/>
              </w:rPr>
            </w:pPr>
            <w:r>
              <w:rPr>
                <w:rFonts w:ascii="Arial" w:cs="Arial" w:eastAsia="Arial" w:hAnsi="Arial"/>
                <w:sz w:val="22"/>
                <w:szCs w:val="22"/>
                <w:color w:val="auto"/>
                <w:w w:val="90"/>
              </w:rPr>
              <w:t>hours per response:</w:t>
            </w:r>
          </w:p>
        </w:tc>
        <w:tc>
          <w:tcPr>
            <w:tcW w:w="1780" w:type="dxa"/>
            <w:vAlign w:val="bottom"/>
            <w:tcBorders>
              <w:bottom w:val="single" w:sz="8" w:color="808080"/>
            </w:tcBorders>
          </w:tcPr>
          <w:p>
            <w:pPr>
              <w:ind w:left="180"/>
              <w:spacing w:after="0"/>
              <w:rPr>
                <w:sz w:val="20"/>
                <w:szCs w:val="20"/>
                <w:color w:val="auto"/>
              </w:rPr>
            </w:pPr>
            <w:r>
              <w:rPr>
                <w:rFonts w:ascii="Arial" w:cs="Arial" w:eastAsia="Arial" w:hAnsi="Arial"/>
                <w:sz w:val="22"/>
                <w:szCs w:val="22"/>
                <w:color w:val="auto"/>
              </w:rPr>
              <w:t>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4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60" w:type="dxa"/>
            <w:vAlign w:val="bottom"/>
            <w:tcBorders>
              <w:bottom w:val="single" w:sz="8" w:color="2C2C2C"/>
            </w:tcBorders>
          </w:tcPr>
          <w:p>
            <w:pPr>
              <w:spacing w:after="0" w:line="20" w:lineRule="exact"/>
              <w:rPr>
                <w:sz w:val="1"/>
                <w:szCs w:val="1"/>
                <w:color w:val="auto"/>
              </w:rPr>
            </w:pPr>
          </w:p>
        </w:tc>
        <w:tc>
          <w:tcPr>
            <w:tcW w:w="1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4580255</wp:posOffset>
            </wp:positionH>
            <wp:positionV relativeFrom="page">
              <wp:posOffset>182880</wp:posOffset>
            </wp:positionV>
            <wp:extent cx="2366010" cy="10629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66010" cy="1062990"/>
                    </a:xfrm>
                    <a:prstGeom prst="rect">
                      <a:avLst/>
                    </a:prstGeom>
                    <a:noFill/>
                  </pic:spPr>
                </pic:pic>
              </a:graphicData>
            </a:graphic>
          </wp:anchor>
        </w:drawing>
      </w:r>
    </w:p>
    <w:p>
      <w:pPr>
        <w:ind w:left="1520"/>
        <w:spacing w:after="0"/>
        <w:rPr>
          <w:sz w:val="20"/>
          <w:szCs w:val="20"/>
          <w:color w:val="auto"/>
        </w:rPr>
      </w:pPr>
      <w:r>
        <w:rPr>
          <w:rFonts w:ascii="Arial" w:cs="Arial" w:eastAsia="Arial" w:hAnsi="Arial"/>
          <w:sz w:val="22"/>
          <w:szCs w:val="22"/>
          <w:color w:val="auto"/>
        </w:rPr>
        <w:t>NOTIFICATION OF REMOVAL FROM LISTING AND/OR REGISTRATION</w:t>
      </w:r>
    </w:p>
    <w:p>
      <w:pPr>
        <w:spacing w:after="0" w:line="8" w:lineRule="exact"/>
        <w:rPr>
          <w:sz w:val="24"/>
          <w:szCs w:val="24"/>
          <w:color w:val="auto"/>
        </w:rPr>
      </w:pPr>
    </w:p>
    <w:p>
      <w:pPr>
        <w:ind w:left="1560"/>
        <w:spacing w:after="0"/>
        <w:rPr>
          <w:sz w:val="20"/>
          <w:szCs w:val="20"/>
          <w:color w:val="auto"/>
        </w:rPr>
      </w:pPr>
      <w:r>
        <w:rPr>
          <w:rFonts w:ascii="Arial" w:cs="Arial" w:eastAsia="Arial" w:hAnsi="Arial"/>
          <w:sz w:val="22"/>
          <w:szCs w:val="22"/>
          <w:color w:val="auto"/>
        </w:rPr>
        <w:t>UNDER SECTION 12(b) OF THE SECURITIES EXCHANGE ACT OF 1934.</w:t>
      </w:r>
    </w:p>
    <w:p>
      <w:pPr>
        <w:spacing w:after="0" w:line="26" w:lineRule="exact"/>
        <w:rPr>
          <w:sz w:val="24"/>
          <w:szCs w:val="24"/>
          <w:color w:val="auto"/>
        </w:rPr>
      </w:pPr>
    </w:p>
    <w:p>
      <w:pPr>
        <w:ind w:left="4000"/>
        <w:spacing w:after="0"/>
        <w:rPr>
          <w:rFonts w:ascii="Arial" w:cs="Arial" w:eastAsia="Arial" w:hAnsi="Arial"/>
          <w:sz w:val="22"/>
          <w:szCs w:val="22"/>
          <w:color w:val="auto"/>
        </w:rPr>
      </w:pPr>
      <w:r>
        <w:rPr>
          <w:rFonts w:ascii="Arial" w:cs="Arial" w:eastAsia="Arial" w:hAnsi="Arial"/>
          <w:sz w:val="22"/>
          <w:szCs w:val="22"/>
          <w:color w:val="auto"/>
        </w:rPr>
        <w:t xml:space="preserve">Commission File Number </w:t>
      </w:r>
      <w:hyperlink r:id="rId9">
        <w:r>
          <w:rPr>
            <w:rFonts w:ascii="Arial" w:cs="Arial" w:eastAsia="Arial" w:hAnsi="Arial"/>
            <w:sz w:val="22"/>
            <w:szCs w:val="22"/>
            <w:u w:val="single" w:color="auto"/>
            <w:color w:val="0000EE"/>
          </w:rPr>
          <w:t>001-36478</w:t>
        </w:r>
      </w:hyperlink>
    </w:p>
    <w:p>
      <w:pPr>
        <w:spacing w:after="0" w:line="125" w:lineRule="exact"/>
        <w:rPr>
          <w:sz w:val="24"/>
          <w:szCs w:val="24"/>
          <w:color w:val="auto"/>
        </w:rPr>
      </w:pPr>
    </w:p>
    <w:p>
      <w:pPr>
        <w:ind w:left="2700"/>
        <w:spacing w:after="0"/>
        <w:tabs>
          <w:tab w:leader="none" w:pos="3660" w:val="left"/>
        </w:tabs>
        <w:rPr>
          <w:rFonts w:ascii="Arial" w:cs="Arial" w:eastAsia="Arial" w:hAnsi="Arial"/>
          <w:sz w:val="22"/>
          <w:szCs w:val="22"/>
          <w:u w:val="single" w:color="auto"/>
          <w:color w:val="0000EE"/>
        </w:rPr>
      </w:pPr>
      <w:r>
        <w:rPr>
          <w:rFonts w:ascii="Arial" w:cs="Arial" w:eastAsia="Arial" w:hAnsi="Arial"/>
          <w:sz w:val="22"/>
          <w:szCs w:val="22"/>
          <w:color w:val="auto"/>
        </w:rPr>
        <w:t>Issuer:</w:t>
      </w:r>
      <w:r>
        <w:rPr>
          <w:sz w:val="20"/>
          <w:szCs w:val="20"/>
          <w:color w:val="auto"/>
        </w:rPr>
        <w:tab/>
      </w:r>
      <w:hyperlink r:id="rId10">
        <w:r>
          <w:rPr>
            <w:rFonts w:ascii="Arial" w:cs="Arial" w:eastAsia="Arial" w:hAnsi="Arial"/>
            <w:sz w:val="22"/>
            <w:szCs w:val="22"/>
            <w:u w:val="single" w:color="auto"/>
            <w:color w:val="0000EE"/>
          </w:rPr>
          <w:t>California Resources Corp</w:t>
        </w:r>
      </w:hyperlink>
    </w:p>
    <w:p>
      <w:pPr>
        <w:spacing w:after="0" w:line="44" w:lineRule="exact"/>
        <w:rPr>
          <w:sz w:val="24"/>
          <w:szCs w:val="24"/>
          <w:color w:val="auto"/>
        </w:rPr>
      </w:pPr>
    </w:p>
    <w:p>
      <w:pPr>
        <w:ind w:left="2700"/>
        <w:spacing w:after="0"/>
        <w:rPr>
          <w:sz w:val="20"/>
          <w:szCs w:val="20"/>
          <w:color w:val="auto"/>
        </w:rPr>
      </w:pPr>
      <w:r>
        <w:rPr>
          <w:rFonts w:ascii="Arial" w:cs="Arial" w:eastAsia="Arial" w:hAnsi="Arial"/>
          <w:sz w:val="22"/>
          <w:szCs w:val="22"/>
          <w:color w:val="auto"/>
        </w:rPr>
        <w:t>Exchange: NEW YORK STOCK EXCHANGE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41275</wp:posOffset>
            </wp:positionV>
            <wp:extent cx="55378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92" w:lineRule="exact"/>
        <w:rPr>
          <w:sz w:val="24"/>
          <w:szCs w:val="24"/>
          <w:color w:val="auto"/>
        </w:rPr>
      </w:pPr>
    </w:p>
    <w:p>
      <w:pPr>
        <w:ind w:left="900"/>
        <w:spacing w:after="0"/>
        <w:rPr>
          <w:sz w:val="20"/>
          <w:szCs w:val="20"/>
          <w:color w:val="auto"/>
        </w:rPr>
      </w:pPr>
      <w:r>
        <w:rPr>
          <w:rFonts w:ascii="Arial" w:cs="Arial" w:eastAsia="Arial" w:hAnsi="Arial"/>
          <w:sz w:val="21"/>
          <w:szCs w:val="21"/>
          <w:color w:val="auto"/>
        </w:rPr>
        <w:t>(Exact name of Issuer as specified in its charter, and name of Exchange where security is listed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and/or registered)</w:t>
      </w:r>
    </w:p>
    <w:p>
      <w:pPr>
        <w:spacing w:after="0" w:line="67" w:lineRule="exact"/>
        <w:rPr>
          <w:sz w:val="24"/>
          <w:szCs w:val="24"/>
          <w:color w:val="auto"/>
        </w:rPr>
      </w:pPr>
    </w:p>
    <w:p>
      <w:pPr>
        <w:ind w:left="2800"/>
        <w:spacing w:after="0"/>
        <w:rPr>
          <w:sz w:val="20"/>
          <w:szCs w:val="20"/>
          <w:color w:val="auto"/>
        </w:rPr>
      </w:pPr>
      <w:r>
        <w:rPr>
          <w:rFonts w:ascii="Arial" w:cs="Arial" w:eastAsia="Arial" w:hAnsi="Arial"/>
          <w:sz w:val="22"/>
          <w:szCs w:val="22"/>
          <w:color w:val="auto"/>
        </w:rPr>
        <w:t>Address: 27200 Tourney Road, Suite 315</w:t>
      </w:r>
    </w:p>
    <w:p>
      <w:pPr>
        <w:spacing w:after="0" w:line="44" w:lineRule="exact"/>
        <w:rPr>
          <w:sz w:val="24"/>
          <w:szCs w:val="24"/>
          <w:color w:val="auto"/>
        </w:rPr>
      </w:pPr>
    </w:p>
    <w:p>
      <w:pPr>
        <w:ind w:left="3620"/>
        <w:spacing w:after="0"/>
        <w:rPr>
          <w:sz w:val="20"/>
          <w:szCs w:val="20"/>
          <w:color w:val="auto"/>
        </w:rPr>
      </w:pPr>
      <w:r>
        <w:rPr>
          <w:rFonts w:ascii="Arial" w:cs="Arial" w:eastAsia="Arial" w:hAnsi="Arial"/>
          <w:sz w:val="22"/>
          <w:szCs w:val="22"/>
          <w:color w:val="auto"/>
        </w:rPr>
        <w:t>Santa Clarita CALIFORNIA 91355</w:t>
      </w:r>
    </w:p>
    <w:p>
      <w:pPr>
        <w:spacing w:after="0" w:line="44" w:lineRule="exact"/>
        <w:rPr>
          <w:sz w:val="24"/>
          <w:szCs w:val="24"/>
          <w:color w:val="auto"/>
        </w:rPr>
      </w:pPr>
    </w:p>
    <w:tbl>
      <w:tblPr>
        <w:tblLayout w:type="fixed"/>
        <w:tblInd w:w="1880" w:type="dxa"/>
        <w:tblCellMar>
          <w:top w:w="0" w:type="dxa"/>
          <w:left w:w="0" w:type="dxa"/>
          <w:bottom w:w="0" w:type="dxa"/>
          <w:right w:w="0" w:type="dxa"/>
        </w:tblCellMar>
      </w:tblPr>
      <w:tr>
        <w:trPr>
          <w:trHeight w:val="274"/>
        </w:trPr>
        <w:tc>
          <w:tcPr>
            <w:tcW w:w="3300" w:type="dxa"/>
            <w:vAlign w:val="bottom"/>
          </w:tcPr>
          <w:p>
            <w:pPr>
              <w:spacing w:after="0"/>
              <w:rPr>
                <w:sz w:val="20"/>
                <w:szCs w:val="20"/>
                <w:color w:val="auto"/>
              </w:rPr>
            </w:pPr>
            <w:r>
              <w:rPr>
                <w:rFonts w:ascii="Arial" w:cs="Arial" w:eastAsia="Arial" w:hAnsi="Arial"/>
                <w:sz w:val="22"/>
                <w:szCs w:val="22"/>
                <w:color w:val="auto"/>
              </w:rPr>
              <w:t>Telephone number:</w:t>
            </w:r>
          </w:p>
        </w:tc>
        <w:tc>
          <w:tcPr>
            <w:tcW w:w="2960" w:type="dxa"/>
            <w:vAlign w:val="bottom"/>
          </w:tcPr>
          <w:p>
            <w:pPr>
              <w:jc w:val="right"/>
              <w:spacing w:after="0"/>
              <w:rPr>
                <w:sz w:val="20"/>
                <w:szCs w:val="20"/>
                <w:color w:val="auto"/>
              </w:rPr>
            </w:pPr>
            <w:r>
              <w:rPr>
                <w:rFonts w:ascii="Arial" w:cs="Arial" w:eastAsia="Arial" w:hAnsi="Arial"/>
                <w:sz w:val="22"/>
                <w:szCs w:val="22"/>
                <w:color w:val="auto"/>
              </w:rPr>
              <w:t>(888) 848-4754</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27940</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jc w:val="center"/>
        <w:spacing w:after="0" w:line="250" w:lineRule="auto"/>
        <w:rPr>
          <w:sz w:val="20"/>
          <w:szCs w:val="20"/>
          <w:color w:val="auto"/>
        </w:rPr>
      </w:pPr>
      <w:r>
        <w:rPr>
          <w:rFonts w:ascii="Arial" w:cs="Arial" w:eastAsia="Arial" w:hAnsi="Arial"/>
          <w:sz w:val="22"/>
          <w:szCs w:val="22"/>
          <w:color w:val="auto"/>
        </w:rPr>
        <w:t>(Address, including zip code, and telephone number, including area code, of Issuer's principal executive offices)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15875</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(Description of class of securities)</w:t>
      </w:r>
    </w:p>
    <w:p>
      <w:pPr>
        <w:spacing w:after="0" w:line="85" w:lineRule="exact"/>
        <w:rPr>
          <w:sz w:val="24"/>
          <w:szCs w:val="24"/>
          <w:color w:val="auto"/>
        </w:rPr>
      </w:pPr>
    </w:p>
    <w:p>
      <w:pPr>
        <w:ind w:right="140"/>
        <w:spacing w:after="0" w:line="250" w:lineRule="auto"/>
        <w:rPr>
          <w:sz w:val="20"/>
          <w:szCs w:val="20"/>
          <w:color w:val="auto"/>
        </w:rPr>
      </w:pPr>
      <w:r>
        <w:rPr>
          <w:rFonts w:ascii="Arial" w:cs="Arial" w:eastAsia="Arial" w:hAnsi="Arial"/>
          <w:sz w:val="22"/>
          <w:szCs w:val="22"/>
          <w:color w:val="auto"/>
        </w:rPr>
        <w:t>Please place an X in the box to designate the rule provision relied upon to strike the class of securities from listing and registration:</w:t>
      </w:r>
    </w:p>
    <w:p>
      <w:pPr>
        <w:spacing w:after="0" w:line="188"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240.12d2-2(a)(1)</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240.12d2-2(a)(2)</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240.12d2-2(a)(3)</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240.12d2-2(a)(4)</w:t>
      </w:r>
    </w:p>
    <w:p>
      <w:pPr>
        <w:spacing w:after="0" w:line="179" w:lineRule="exact"/>
        <w:rPr>
          <w:sz w:val="24"/>
          <w:szCs w:val="24"/>
          <w:color w:val="auto"/>
        </w:rPr>
      </w:pPr>
    </w:p>
    <w:p>
      <w:pPr>
        <w:ind w:left="780" w:right="1200" w:firstLine="54"/>
        <w:spacing w:after="0" w:line="292" w:lineRule="auto"/>
        <w:rPr>
          <w:rFonts w:ascii="Arial" w:cs="Arial" w:eastAsia="Arial" w:hAnsi="Arial"/>
          <w:sz w:val="20"/>
          <w:szCs w:val="20"/>
          <w:color w:val="auto"/>
        </w:rPr>
      </w:pPr>
      <w:r>
        <w:rPr>
          <w:sz w:val="1"/>
          <w:szCs w:val="1"/>
          <w:color w:val="auto"/>
        </w:rPr>
        <w:drawing>
          <wp:inline distT="0" distB="0" distL="0" distR="0">
            <wp:extent cx="111125" cy="1111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0"/>
          <w:szCs w:val="20"/>
          <w:color w:val="auto"/>
        </w:rPr>
        <w:t xml:space="preserve"> Pursuant to 17 CFR 240.12d2-2(b), the Exchange has complied with its rules to strike the class of securities from listing and/or withdraw registration on the Exchange. </w:t>
      </w:r>
      <w:hyperlink w:anchor="page1">
        <w:r>
          <w:rPr>
            <w:rFonts w:ascii="Arial" w:cs="Arial" w:eastAsia="Arial" w:hAnsi="Arial"/>
            <w:sz w:val="32"/>
            <w:szCs w:val="32"/>
            <w:u w:val="single" w:color="auto"/>
            <w:color w:val="0000EE"/>
            <w:vertAlign w:val="superscript"/>
          </w:rPr>
          <w:t>1</w:t>
        </w:r>
      </w:hyperlink>
    </w:p>
    <w:p>
      <w:pPr>
        <w:spacing w:after="0" w:line="1" w:lineRule="exact"/>
        <w:rPr>
          <w:sz w:val="24"/>
          <w:szCs w:val="24"/>
          <w:color w:val="auto"/>
        </w:rPr>
      </w:pPr>
    </w:p>
    <w:p>
      <w:pPr>
        <w:ind w:left="780" w:right="800" w:firstLine="54"/>
        <w:spacing w:after="0"/>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73" w:lineRule="exact"/>
        <w:rPr>
          <w:sz w:val="24"/>
          <w:szCs w:val="24"/>
          <w:color w:val="auto"/>
        </w:rPr>
      </w:pPr>
    </w:p>
    <w:p>
      <w:pPr>
        <w:ind w:right="40"/>
        <w:spacing w:after="0" w:line="297" w:lineRule="auto"/>
        <w:rPr>
          <w:sz w:val="20"/>
          <w:szCs w:val="20"/>
          <w:color w:val="auto"/>
        </w:rPr>
      </w:pPr>
      <w:r>
        <w:rPr>
          <w:rFonts w:ascii="Arial" w:cs="Arial" w:eastAsia="Arial" w:hAnsi="Arial"/>
          <w:sz w:val="19"/>
          <w:szCs w:val="19"/>
          <w:color w:val="auto"/>
        </w:rPr>
        <w:t>Pursuant to the requirements fo the Securities Exchange Act of 1934, NEW YORK STOCK EXCHANGE LLC certifies that it has reasonable grounds to believe that it meets all of the requirements for filing the Form 25 and has caused this notification to be signed on its behalf by the undersigned duly authorized person.</w:t>
      </w:r>
    </w:p>
    <w:p>
      <w:pPr>
        <w:spacing w:after="0" w:line="12" w:lineRule="exact"/>
        <w:rPr>
          <w:sz w:val="24"/>
          <w:szCs w:val="24"/>
          <w:color w:val="auto"/>
        </w:rPr>
      </w:pPr>
    </w:p>
    <w:tbl>
      <w:tblPr>
        <w:tblLayout w:type="fixed"/>
        <w:tblInd w:w="640" w:type="dxa"/>
        <w:tblCellMar>
          <w:top w:w="0" w:type="dxa"/>
          <w:left w:w="0" w:type="dxa"/>
          <w:bottom w:w="0" w:type="dxa"/>
          <w:right w:w="0" w:type="dxa"/>
        </w:tblCellMar>
      </w:tblPr>
      <w:tr>
        <w:trPr>
          <w:trHeight w:val="276"/>
        </w:trPr>
        <w:tc>
          <w:tcPr>
            <w:tcW w:w="2060" w:type="dxa"/>
            <w:vAlign w:val="bottom"/>
            <w:tcBorders>
              <w:bottom w:val="single" w:sz="8" w:color="auto"/>
            </w:tcBorders>
          </w:tcPr>
          <w:p>
            <w:pPr>
              <w:jc w:val="right"/>
              <w:ind w:right="412"/>
              <w:spacing w:after="0"/>
              <w:rPr>
                <w:sz w:val="20"/>
                <w:szCs w:val="20"/>
                <w:color w:val="auto"/>
              </w:rPr>
            </w:pPr>
            <w:r>
              <w:rPr>
                <w:rFonts w:ascii="Arial" w:cs="Arial" w:eastAsia="Arial" w:hAnsi="Arial"/>
                <w:sz w:val="22"/>
                <w:szCs w:val="22"/>
                <w:color w:val="auto"/>
              </w:rPr>
              <w:t>2020-07-31</w:t>
            </w:r>
          </w:p>
        </w:tc>
        <w:tc>
          <w:tcPr>
            <w:tcW w:w="940" w:type="dxa"/>
            <w:vAlign w:val="bottom"/>
          </w:tcPr>
          <w:p>
            <w:pPr>
              <w:ind w:left="640"/>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tcPr>
          <w:p>
            <w:pPr>
              <w:ind w:left="1080"/>
              <w:spacing w:after="0"/>
              <w:rPr>
                <w:sz w:val="20"/>
                <w:szCs w:val="20"/>
                <w:color w:val="auto"/>
              </w:rPr>
            </w:pPr>
            <w:r>
              <w:rPr>
                <w:rFonts w:ascii="Arial" w:cs="Arial" w:eastAsia="Arial" w:hAnsi="Arial"/>
                <w:sz w:val="22"/>
                <w:szCs w:val="22"/>
                <w:color w:val="auto"/>
              </w:rPr>
              <w:t>Victoria Paper</w:t>
            </w:r>
          </w:p>
        </w:tc>
        <w:tc>
          <w:tcPr>
            <w:tcW w:w="260" w:type="dxa"/>
            <w:vAlign w:val="bottom"/>
          </w:tcPr>
          <w:p>
            <w:pPr>
              <w:spacing w:after="0"/>
              <w:rPr>
                <w:sz w:val="24"/>
                <w:szCs w:val="24"/>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1"/>
              </w:rPr>
              <w:t>Lead Analyst</w:t>
            </w:r>
          </w:p>
        </w:tc>
      </w:tr>
      <w:tr>
        <w:trPr>
          <w:trHeight w:val="289"/>
        </w:trPr>
        <w:tc>
          <w:tcPr>
            <w:tcW w:w="2060" w:type="dxa"/>
            <w:vAlign w:val="bottom"/>
          </w:tcPr>
          <w:p>
            <w:pPr>
              <w:jc w:val="center"/>
              <w:spacing w:after="0"/>
              <w:rPr>
                <w:sz w:val="20"/>
                <w:szCs w:val="20"/>
                <w:color w:val="auto"/>
              </w:rPr>
            </w:pPr>
            <w:r>
              <w:rPr>
                <w:rFonts w:ascii="Arial" w:cs="Arial" w:eastAsia="Arial" w:hAnsi="Arial"/>
                <w:sz w:val="22"/>
                <w:szCs w:val="22"/>
                <w:color w:val="auto"/>
                <w:w w:val="85"/>
              </w:rPr>
              <w:t>Date</w:t>
            </w:r>
          </w:p>
        </w:tc>
        <w:tc>
          <w:tcPr>
            <w:tcW w:w="940" w:type="dxa"/>
            <w:vAlign w:val="bottom"/>
          </w:tcPr>
          <w:p>
            <w:pPr>
              <w:spacing w:after="0"/>
              <w:rPr>
                <w:sz w:val="24"/>
                <w:szCs w:val="24"/>
                <w:color w:val="auto"/>
              </w:rPr>
            </w:pPr>
          </w:p>
        </w:tc>
        <w:tc>
          <w:tcPr>
            <w:tcW w:w="3400" w:type="dxa"/>
            <w:vAlign w:val="bottom"/>
          </w:tcPr>
          <w:p>
            <w:pPr>
              <w:ind w:left="1560"/>
              <w:spacing w:after="0"/>
              <w:rPr>
                <w:sz w:val="20"/>
                <w:szCs w:val="20"/>
                <w:color w:val="auto"/>
              </w:rPr>
            </w:pPr>
            <w:r>
              <w:rPr>
                <w:rFonts w:ascii="Arial" w:cs="Arial" w:eastAsia="Arial" w:hAnsi="Arial"/>
                <w:sz w:val="22"/>
                <w:szCs w:val="22"/>
                <w:color w:val="auto"/>
              </w:rPr>
              <w:t>Name</w:t>
            </w:r>
          </w:p>
        </w:tc>
        <w:tc>
          <w:tcPr>
            <w:tcW w:w="26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Arial" w:cs="Arial" w:eastAsia="Arial" w:hAnsi="Arial"/>
                <w:sz w:val="22"/>
                <w:szCs w:val="22"/>
                <w:color w:val="auto"/>
                <w:w w:val="96"/>
              </w:rPr>
              <w:t>Title</w:t>
            </w:r>
          </w:p>
        </w:tc>
      </w:tr>
    </w:tbl>
    <w:p>
      <w:pPr>
        <w:spacing w:after="0" w:line="104" w:lineRule="exact"/>
        <w:rPr>
          <w:sz w:val="24"/>
          <w:szCs w:val="24"/>
          <w:color w:val="auto"/>
        </w:rPr>
      </w:pPr>
    </w:p>
    <w:p>
      <w:pPr>
        <w:ind w:left="1260" w:right="900" w:hanging="597"/>
        <w:spacing w:after="0" w:line="250" w:lineRule="auto"/>
        <w:tabs>
          <w:tab w:leader="none" w:pos="1260" w:val="left"/>
        </w:tabs>
        <w:numPr>
          <w:ilvl w:val="0"/>
          <w:numId w:val="1"/>
        </w:numPr>
        <w:rPr>
          <w:rFonts w:ascii="Arial" w:cs="Arial" w:eastAsia="Arial" w:hAnsi="Arial"/>
          <w:sz w:val="18"/>
          <w:szCs w:val="18"/>
          <w:color w:val="auto"/>
        </w:rPr>
      </w:pPr>
      <w:r>
        <w:rPr>
          <w:rFonts w:ascii="Arial" w:cs="Arial" w:eastAsia="Arial" w:hAnsi="Arial"/>
          <w:sz w:val="22"/>
          <w:szCs w:val="22"/>
          <w:color w:val="auto"/>
        </w:rPr>
        <w:t xml:space="preserve">Form 25 and attached Notice will be considered compliance with the provisions of 17 CFR 240.19d-1 as applicable. </w:t>
      </w:r>
      <w:r>
        <w:rPr>
          <w:rFonts w:ascii="Arial" w:cs="Arial" w:eastAsia="Arial" w:hAnsi="Arial"/>
          <w:sz w:val="22"/>
          <w:szCs w:val="22"/>
          <w:u w:val="single" w:color="auto"/>
          <w:color w:val="0000EE"/>
        </w:rPr>
        <w:t>See</w:t>
      </w:r>
      <w:r>
        <w:rPr>
          <w:rFonts w:ascii="Arial" w:cs="Arial" w:eastAsia="Arial" w:hAnsi="Arial"/>
          <w:sz w:val="22"/>
          <w:szCs w:val="22"/>
          <w:color w:val="auto"/>
        </w:rPr>
        <w:t xml:space="preserve"> General Instructions.</w:t>
      </w:r>
    </w:p>
    <w:p>
      <w:pPr>
        <w:spacing w:after="0" w:line="53" w:lineRule="exact"/>
        <w:rPr>
          <w:sz w:val="24"/>
          <w:szCs w:val="24"/>
          <w:color w:val="auto"/>
        </w:rPr>
      </w:pPr>
    </w:p>
    <w:p>
      <w:pPr>
        <w:ind w:right="180"/>
        <w:spacing w:after="0" w:line="250"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309" w:right="959" w:bottom="1440" w:gutter="0" w:footer="0" w:header="0"/>
        </w:sectPr>
      </w:pPr>
    </w:p>
    <w:bookmarkStart w:id="1" w:name="page2"/>
    <w:bookmarkEnd w:id="1"/>
    <w:p>
      <w:pPr>
        <w:spacing w:after="0" w:line="270" w:lineRule="auto"/>
        <w:rPr>
          <w:sz w:val="20"/>
          <w:szCs w:val="20"/>
          <w:color w:val="auto"/>
        </w:rPr>
      </w:pPr>
      <w:r>
        <w:rPr>
          <w:rFonts w:ascii="Arial" w:cs="Arial" w:eastAsia="Arial" w:hAnsi="Arial"/>
          <w:sz w:val="19"/>
          <w:szCs w:val="19"/>
          <w:color w:val="auto"/>
        </w:rPr>
        <w:t>NOTIFICATION OF THE REMOVAL FROM LISTING AND REGISTRATION OF THE STATED SECURITIES The New York Stock Exchange ('NYSE' or the 'Exchange') hereby notifies the Securities and Exchange Commission (the 'Commission') of its intention to remove the entire class of common stock (the 'Common Stock') of California Resources Corporation (the 'Company') from listing and registration on the Exchange at the opening of business on August 11, 2020, pursuant to the provisions of Rule 12d2-2(b) because, in the opinion of the Exchange, the Common Stock is no longer suitable for continued listing and trading on the Exchange. The Exchange reached its decision that the Company is no longer suitable for listing pursuant to Listed Company Manual (the 'Manual') Section 802.01D after the Company's July 15, 2020 disclosure that it has filed voluntarily petitions under Chapter 11 of the United States Bankruptcy Code in the U.S. Bankruptcy Court for the Southern District of Texas. Section 802.01D of the Manual states that the Exchange would normally give consideration to suspending or removing from the list a security of a company when 'an intent to file under any of the sections of the bankruptcy law has been announced or a filing has been made or liquidation has been authorized and the company is committed to proceed'. The Exchange, on July 16, 2020, determined that the Common Stock of the Company should be suspended from trading, and directed the preparation and filing with the Commission of this application for the removal of the Common Stock from listing and registration on the Exchange. The Company was notified by phone and letter on July 16, 2020. Pursuant to the above authorization, on July 16, 2020, a press release regarding the delisting was issued and posted on the Exchange's website and trading was suspended in the Common Stock prior to market open. The Company had a right to appeal to a Committee of the Board of Directors of the Exchange (the 'Committee') the determination to delist the Common Stock, provided that it filed a written request for such a review with the Secretary of the Exchange within ten business days of receiving notice of the delisting determination. The Company did not file such request within the specified time period. Consequently, all conditions precedent under SEC Rule 12d2-2(b) to the filing of this application have been satisfied.</w:t>
      </w:r>
    </w:p>
    <w:sectPr>
      <w:pgSz w:w="11900" w:h="16838" w:orient="portrait"/>
      <w:cols w:equalWidth="0" w:num="1">
        <w:col w:w="11220"/>
      </w:cols>
      <w:pgMar w:left="320" w:top="11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9" Type="http://schemas.openxmlformats.org/officeDocument/2006/relationships/hyperlink" Target="file:///cgi-bin/browse-edgar?action=getcompany&amp;filenum=001-36478" TargetMode="External"/><Relationship Id="rId10"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2020-07-31T13:06:46Z</dcterms:created>
  <dcterms:modified xsi:type="dcterms:W3CDTF">2020-07-31T13:06:46Z</dcterms:modified>
</cp:coreProperties>
</file>