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Filed pursuant to Rule 424(b)(5)</w:t>
      </w:r>
    </w:p>
    <w:p>
      <w:pPr>
        <w:spacing w:after="0" w:line="23"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Registration No. 333-228426</w:t>
      </w:r>
    </w:p>
    <w:p>
      <w:pPr>
        <w:spacing w:after="0" w:line="200" w:lineRule="exact"/>
        <w:rPr>
          <w:sz w:val="24"/>
          <w:szCs w:val="24"/>
          <w:color w:val="auto"/>
        </w:rPr>
      </w:pPr>
    </w:p>
    <w:p>
      <w:pPr>
        <w:spacing w:after="0" w:line="22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88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Proposed</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Proposed</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par value $0.01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6,000,000(1)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40" w:right="100" w:hanging="436"/>
        <w:spacing w:after="0" w:line="275"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accordance with Rule 415(a)(6) under the Securities Act of 1933, as amended (the “Securities Act”), this prospectus relates to 6,000,000 shares of common stock that were previously registered, but remain unsold, pursuant to the registrant’s prior Registration Statement on Form S-3 (File No. 333-208671), or the prior registration statement. Pursuant to Rule 415(a)(6) under the Securities Act, (i) the registrant will utilize $10,892.00 of the registration fee previously paid with respect to the unsold shares of common stock as an offset against the filing fees hereunder and (ii) no additional registration fee is due with respect to the shares of common stock hereunder.</w:t>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 PROSPECTUS DATED November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160020</wp:posOffset>
            </wp:positionV>
            <wp:extent cx="2280920"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9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California Resources Corporation</w:t>
      </w:r>
    </w:p>
    <w:p>
      <w:pPr>
        <w:spacing w:after="0" w:line="242"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Up to 6,000,000</w:t>
      </w:r>
    </w:p>
    <w:p>
      <w:pPr>
        <w:spacing w:after="0" w:line="3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217170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We have entered into an equity distribution agreement (the “equity distribution agreement”) with Merrill Lynch, Pierce, Fenner &amp; Smith Incorporated, Citigroup Global Markets Inc., HSBC Securities (USA) Inc., Mizuho Securities USA LLC and SG Americas Securities, LLC as sales agents (the “sales agents”), relating to the shares of our common stock, par value $0.01 per share (“common stock”), offered by this prospectus supplement. In accordance with the terms of the equity distribution agreement, we may offer and sell an aggregate amount of up to 6,000,000 shares of our common stock from time to time through our sales agents.</w:t>
      </w:r>
    </w:p>
    <w:p>
      <w:pPr>
        <w:spacing w:after="0" w:line="188"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Sales of common stock under this prospectus supplement, if any, will be made by means of ordinary brokers’ transactions through the facilities of the New York Stock Exchange (the “NYSE”), any other national securities exchange or facility thereof, a trading facility of a national securities association or an alternate trading system, to or through a market maker or directly on or through an electronic communication network, a “dark pool” or any similar market venue, at market prices, in block transactions or as otherwise agreed between us and the sales agents. Our common stock trades on the NYSE under the symbol “CRC.” On November 15, 2018, the last reported sale price of our common stock on the NYSE was $24.52 per share.</w:t>
      </w:r>
    </w:p>
    <w:p>
      <w:pPr>
        <w:spacing w:after="0" w:line="158"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The compensation of the sales agents for sales of common stock shall be at a fixed commission rate of up to 2% of the gross sales price per share of common stock, depending upon the number of shares of common stock sold. The net proceeds from any sales under this prospectus supplement will be used as described under “Use of Proceeds” in this prospectus supplement.</w:t>
      </w:r>
    </w:p>
    <w:p>
      <w:pPr>
        <w:spacing w:after="0" w:line="181"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Under the terms of the equity distribution agreement, we also may sell common stock to the sales agents as principal for their own account at a price agreed upon at the time of the sale. If we sell common stock to the sales agents as principal, we will enter into a separate terms agreement with the sales agents and we will describe that agreement in a separate prospectus supplement or pricing supplement.</w:t>
      </w:r>
    </w:p>
    <w:p>
      <w:pPr>
        <w:spacing w:after="0" w:line="166"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The sales agents are not required to sell any specific number or dollar amount of common stock but will use their reasonable efforts, as our agents and subject to the terms of the equity distribution agreement, to sell the common stock offered, as instructed by us. The offering of common stock pursuant to the equity distribution agreement will terminate upon the earlier of (i) the sale of all common stock subject to the equity distribution agreement or (ii) the termination of the equity distribution agreement by us or by the sales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196215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200" w:right="22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You should carefully consider the risks relating to investing in our common stock and each of the risk factors described under “</w:t>
      </w:r>
      <w:hyperlink w:anchor="page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S-3 of this prospectus supplement before you make an investment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198120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00" w:right="10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200660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right"/>
        <w:spacing w:after="0"/>
        <w:tabs>
          <w:tab w:leader="none" w:pos="5720" w:val="left"/>
          <w:tab w:leader="none" w:pos="660" w:val="left"/>
        </w:tabs>
        <w:rPr>
          <w:sz w:val="20"/>
          <w:szCs w:val="20"/>
          <w:color w:val="auto"/>
        </w:rPr>
      </w:pPr>
      <w:r>
        <w:rPr>
          <w:rFonts w:ascii="Arial" w:cs="Arial" w:eastAsia="Arial" w:hAnsi="Arial"/>
          <w:sz w:val="25"/>
          <w:szCs w:val="25"/>
          <w:b w:val="1"/>
          <w:bCs w:val="1"/>
          <w:color w:val="auto"/>
        </w:rPr>
        <w:t>BofA Merrill Lynch</w:t>
      </w:r>
      <w:r>
        <w:rPr>
          <w:sz w:val="20"/>
          <w:szCs w:val="20"/>
          <w:color w:val="auto"/>
        </w:rPr>
        <w:tab/>
      </w: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4"/>
          <w:szCs w:val="24"/>
          <w:b w:val="1"/>
          <w:bCs w:val="1"/>
          <w:color w:val="auto"/>
        </w:rPr>
        <w:t>HSBC</w:t>
      </w:r>
    </w:p>
    <w:p>
      <w:pPr>
        <w:spacing w:after="0" w:line="41" w:lineRule="exact"/>
        <w:rPr>
          <w:sz w:val="20"/>
          <w:szCs w:val="20"/>
          <w:color w:val="auto"/>
        </w:rPr>
      </w:pPr>
    </w:p>
    <w:p>
      <w:pPr>
        <w:ind w:left="200"/>
        <w:spacing w:after="0"/>
        <w:tabs>
          <w:tab w:leader="none" w:pos="8040" w:val="left"/>
        </w:tabs>
        <w:rPr>
          <w:sz w:val="20"/>
          <w:szCs w:val="20"/>
          <w:color w:val="auto"/>
        </w:rPr>
      </w:pPr>
      <w:r>
        <w:rPr>
          <w:rFonts w:ascii="Arial" w:cs="Arial" w:eastAsia="Arial" w:hAnsi="Arial"/>
          <w:sz w:val="25"/>
          <w:szCs w:val="25"/>
          <w:b w:val="1"/>
          <w:bCs w:val="1"/>
          <w:color w:val="auto"/>
        </w:rPr>
        <w:t>Mizuho Securities</w:t>
      </w:r>
      <w:r>
        <w:rPr>
          <w:sz w:val="20"/>
          <w:szCs w:val="20"/>
          <w:color w:val="auto"/>
        </w:rPr>
        <w:tab/>
      </w:r>
      <w:r>
        <w:rPr>
          <w:rFonts w:ascii="Arial" w:cs="Arial" w:eastAsia="Arial" w:hAnsi="Arial"/>
          <w:sz w:val="22"/>
          <w:szCs w:val="22"/>
          <w:b w:val="1"/>
          <w:bCs w:val="1"/>
          <w:color w:val="auto"/>
        </w:rPr>
        <w:t>SG Americas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November 16, 2018</w:t>
      </w:r>
    </w:p>
    <w:p>
      <w:pPr>
        <w:sectPr>
          <w:pgSz w:w="11900" w:h="16838" w:orient="portrait"/>
          <w:cols w:equalWidth="0" w:num="1">
            <w:col w:w="11220"/>
          </w:cols>
          <w:pgMar w:left="240" w:top="459"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660" w:type="dxa"/>
            <w:vAlign w:val="bottom"/>
            <w:gridSpan w:val="1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gridSpan w:val="17"/>
          </w:tcPr>
          <w:p>
            <w:pPr>
              <w:ind w:left="10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4"/>
                <w:szCs w:val="24"/>
                <w:color w:val="auto"/>
              </w:rPr>
            </w:pPr>
          </w:p>
        </w:tc>
      </w:tr>
      <w:tr>
        <w:trPr>
          <w:trHeight w:val="513"/>
        </w:trPr>
        <w:tc>
          <w:tcPr>
            <w:tcW w:w="220" w:type="dxa"/>
            <w:vAlign w:val="bottom"/>
          </w:tcPr>
          <w:p>
            <w:pPr>
              <w:spacing w:after="0"/>
              <w:rPr>
                <w:sz w:val="24"/>
                <w:szCs w:val="24"/>
                <w:color w:val="auto"/>
              </w:rPr>
            </w:pPr>
          </w:p>
        </w:tc>
        <w:tc>
          <w:tcPr>
            <w:tcW w:w="4440" w:type="dxa"/>
            <w:vAlign w:val="bottom"/>
            <w:gridSpan w:val="13"/>
          </w:tcPr>
          <w:p>
            <w:pPr>
              <w:spacing w:after="0"/>
              <w:rPr>
                <w:sz w:val="20"/>
                <w:szCs w:val="20"/>
                <w:color w:val="auto"/>
              </w:rPr>
            </w:pPr>
            <w:r>
              <w:rPr>
                <w:rFonts w:ascii="Arial" w:cs="Arial" w:eastAsia="Arial" w:hAnsi="Arial"/>
                <w:sz w:val="18"/>
                <w:szCs w:val="18"/>
                <w:b w:val="1"/>
                <w:bCs w:val="1"/>
                <w:color w:val="auto"/>
              </w:rPr>
              <w:t>PROSPECTUS SUPPLEMENT</w:t>
            </w:r>
          </w:p>
        </w:tc>
        <w:tc>
          <w:tcPr>
            <w:tcW w:w="38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5380" w:type="dxa"/>
            <w:vAlign w:val="bottom"/>
            <w:gridSpan w:val="15"/>
          </w:tcPr>
          <w:p>
            <w:pPr>
              <w:ind w:left="380"/>
              <w:spacing w:after="0"/>
              <w:rPr>
                <w:sz w:val="20"/>
                <w:szCs w:val="20"/>
                <w:color w:val="auto"/>
              </w:rPr>
            </w:pPr>
            <w:r>
              <w:rPr>
                <w:rFonts w:ascii="Arial" w:cs="Arial" w:eastAsia="Arial" w:hAnsi="Arial"/>
                <w:sz w:val="18"/>
                <w:szCs w:val="18"/>
                <w:b w:val="1"/>
                <w:bCs w:val="1"/>
                <w:color w:val="auto"/>
              </w:rPr>
              <w:t>PROSPECTUS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64"/>
        </w:trPr>
        <w:tc>
          <w:tcPr>
            <w:tcW w:w="220" w:type="dxa"/>
            <w:vAlign w:val="bottom"/>
          </w:tcPr>
          <w:p>
            <w:pPr>
              <w:spacing w:after="0"/>
              <w:rPr>
                <w:sz w:val="22"/>
                <w:szCs w:val="22"/>
                <w:color w:val="auto"/>
              </w:rPr>
            </w:pPr>
          </w:p>
        </w:tc>
        <w:tc>
          <w:tcPr>
            <w:tcW w:w="4440" w:type="dxa"/>
            <w:vAlign w:val="bottom"/>
            <w:gridSpan w:val="13"/>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IMPORTANT NOTICE ABOUT INFORMATION IN THIS</w:t>
              </w:r>
            </w:hyperlink>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380" w:type="dxa"/>
            <w:vAlign w:val="bottom"/>
            <w:gridSpan w:val="15"/>
          </w:tcPr>
          <w:p>
            <w:pPr>
              <w:ind w:left="380"/>
              <w:spacing w:after="0"/>
              <w:rPr>
                <w:rFonts w:ascii="Arial" w:cs="Arial" w:eastAsia="Arial" w:hAnsi="Arial"/>
                <w:sz w:val="18"/>
                <w:szCs w:val="18"/>
                <w:color w:val="0000EE"/>
              </w:rPr>
            </w:pPr>
            <w:hyperlink w:anchor="page21">
              <w:r>
                <w:rPr>
                  <w:rFonts w:ascii="Arial" w:cs="Arial" w:eastAsia="Arial" w:hAnsi="Arial"/>
                  <w:sz w:val="18"/>
                  <w:szCs w:val="18"/>
                  <w:color w:val="0000EE"/>
                </w:rPr>
                <w:t>ABOUT THIS PROSPECTUS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80" w:type="dxa"/>
            <w:vAlign w:val="bottom"/>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SUPPLEMENT AND THE</w:t>
              </w:r>
            </w:hyperlink>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0" w:type="dxa"/>
            <w:vAlign w:val="bottom"/>
            <w:gridSpan w:val="1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WHERE YOU CAN FIND MORE INFORMATION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gridSpan w:val="9"/>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ACCOMPANYING BASE PROSPECTUS</w:t>
              </w:r>
            </w:hyperlink>
          </w:p>
        </w:tc>
        <w:tc>
          <w:tcPr>
            <w:tcW w:w="114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c>
          <w:tcPr>
            <w:tcW w:w="380" w:type="dxa"/>
            <w:vAlign w:val="bottom"/>
          </w:tcPr>
          <w:p>
            <w:pPr>
              <w:spacing w:after="0"/>
              <w:rPr>
                <w:sz w:val="17"/>
                <w:szCs w:val="17"/>
                <w:color w:val="auto"/>
              </w:rPr>
            </w:pPr>
          </w:p>
        </w:tc>
        <w:tc>
          <w:tcPr>
            <w:tcW w:w="5000" w:type="dxa"/>
            <w:vAlign w:val="bottom"/>
            <w:gridSpan w:val="1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CAUTIONARY STATEMENT REGARDING FORWARD-</w:t>
              </w:r>
            </w:hyperlink>
          </w:p>
        </w:tc>
        <w:tc>
          <w:tcPr>
            <w:tcW w:w="34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780" w:type="dxa"/>
            <w:vAlign w:val="bottom"/>
            <w:gridSpan w:val="11"/>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CAUTIONARY NOTE REGARDING FORWARD-</w:t>
              </w:r>
            </w:hyperlink>
          </w:p>
        </w:tc>
        <w:tc>
          <w:tcPr>
            <w:tcW w:w="6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20" w:type="dxa"/>
            <w:vAlign w:val="bottom"/>
            <w:gridSpan w:val="1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LOOKING STATEMENTS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gridSpan w:val="1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LOOKING STATEMENTS</w:t>
              </w:r>
            </w:hyperlink>
          </w:p>
        </w:tc>
        <w:tc>
          <w:tcPr>
            <w:tcW w:w="6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c>
          <w:tcPr>
            <w:tcW w:w="5380" w:type="dxa"/>
            <w:vAlign w:val="bottom"/>
            <w:gridSpan w:val="15"/>
          </w:tcPr>
          <w:p>
            <w:pPr>
              <w:ind w:left="38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THE COMPANY</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440" w:type="dxa"/>
            <w:vAlign w:val="bottom"/>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3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5380" w:type="dxa"/>
            <w:vAlign w:val="bottom"/>
            <w:gridSpan w:val="15"/>
          </w:tcPr>
          <w:p>
            <w:pPr>
              <w:ind w:left="38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240" w:type="dxa"/>
            <w:vAlign w:val="bottom"/>
            <w:gridSpan w:val="5"/>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RISK FACTORS</w:t>
              </w:r>
            </w:hyperlink>
          </w:p>
        </w:tc>
        <w:tc>
          <w:tcPr>
            <w:tcW w:w="3200" w:type="dxa"/>
            <w:vAlign w:val="bottom"/>
            <w:gridSpan w:val="8"/>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c>
          <w:tcPr>
            <w:tcW w:w="380" w:type="dxa"/>
            <w:vAlign w:val="bottom"/>
          </w:tcPr>
          <w:p>
            <w:pPr>
              <w:spacing w:after="0"/>
              <w:rPr>
                <w:sz w:val="17"/>
                <w:szCs w:val="17"/>
                <w:color w:val="auto"/>
              </w:rPr>
            </w:pPr>
          </w:p>
        </w:tc>
        <w:tc>
          <w:tcPr>
            <w:tcW w:w="5000" w:type="dxa"/>
            <w:vAlign w:val="bottom"/>
            <w:gridSpan w:val="1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440" w:type="dxa"/>
            <w:vAlign w:val="bottom"/>
            <w:gridSpan w:val="1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3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5380" w:type="dxa"/>
            <w:vAlign w:val="bottom"/>
            <w:gridSpan w:val="15"/>
          </w:tcPr>
          <w:p>
            <w:pPr>
              <w:ind w:left="38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DEBT SECURITIES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30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MATERIAL U.S. FEDERAL INCOME TAX</w:t>
              </w:r>
            </w:hyperlink>
          </w:p>
        </w:tc>
        <w:tc>
          <w:tcPr>
            <w:tcW w:w="114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8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DESCRIPTION OF CAPITAL STOCK</w:t>
              </w:r>
            </w:hyperlink>
          </w:p>
        </w:tc>
        <w:tc>
          <w:tcPr>
            <w:tcW w:w="212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CONSIDERATIONS FOR NON-U.S. HOLDERS</w:t>
              </w:r>
            </w:hyperlink>
          </w:p>
        </w:tc>
        <w:tc>
          <w:tcPr>
            <w:tcW w:w="6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380" w:type="dxa"/>
            <w:vAlign w:val="bottom"/>
          </w:tcPr>
          <w:p>
            <w:pPr>
              <w:spacing w:after="0"/>
              <w:rPr>
                <w:sz w:val="17"/>
                <w:szCs w:val="17"/>
                <w:color w:val="auto"/>
              </w:rPr>
            </w:pPr>
          </w:p>
        </w:tc>
        <w:tc>
          <w:tcPr>
            <w:tcW w:w="334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44">
              <w:r>
                <w:rPr>
                  <w:rFonts w:ascii="Arial" w:cs="Arial" w:eastAsia="Arial" w:hAnsi="Arial"/>
                  <w:sz w:val="18"/>
                  <w:szCs w:val="18"/>
                  <w:color w:val="0000EE"/>
                  <w:w w:val="94"/>
                </w:rPr>
                <w:t>DESCRIPTION OF DEPOSITARY SHARES</w:t>
              </w:r>
            </w:hyperlink>
          </w:p>
        </w:tc>
        <w:tc>
          <w:tcPr>
            <w:tcW w:w="166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20" w:type="dxa"/>
            <w:vAlign w:val="bottom"/>
          </w:tcPr>
          <w:p>
            <w:pPr>
              <w:spacing w:after="0"/>
              <w:rPr>
                <w:sz w:val="17"/>
                <w:szCs w:val="17"/>
                <w:color w:val="auto"/>
              </w:rPr>
            </w:pPr>
          </w:p>
        </w:tc>
        <w:tc>
          <w:tcPr>
            <w:tcW w:w="2040" w:type="dxa"/>
            <w:vAlign w:val="bottom"/>
            <w:gridSpan w:val="8"/>
          </w:tcPr>
          <w:p>
            <w:pPr>
              <w:spacing w:after="0" w:line="196"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PLAN OF DISTRIBUTION</w:t>
              </w:r>
            </w:hyperlink>
          </w:p>
        </w:tc>
        <w:tc>
          <w:tcPr>
            <w:tcW w:w="240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380" w:type="dxa"/>
            <w:vAlign w:val="bottom"/>
          </w:tcPr>
          <w:p>
            <w:pPr>
              <w:spacing w:after="0"/>
              <w:rPr>
                <w:sz w:val="17"/>
                <w:szCs w:val="17"/>
                <w:color w:val="auto"/>
              </w:rPr>
            </w:pPr>
          </w:p>
        </w:tc>
        <w:tc>
          <w:tcPr>
            <w:tcW w:w="5000" w:type="dxa"/>
            <w:vAlign w:val="bottom"/>
            <w:gridSpan w:val="1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WARRANTS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20" w:type="dxa"/>
            <w:vAlign w:val="bottom"/>
          </w:tcPr>
          <w:p>
            <w:pPr>
              <w:spacing w:after="0"/>
              <w:rPr>
                <w:sz w:val="17"/>
                <w:szCs w:val="17"/>
                <w:color w:val="auto"/>
              </w:rPr>
            </w:pPr>
          </w:p>
        </w:tc>
        <w:tc>
          <w:tcPr>
            <w:tcW w:w="20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LEGAL MATTERS</w:t>
              </w:r>
            </w:hyperlink>
          </w:p>
        </w:tc>
        <w:tc>
          <w:tcPr>
            <w:tcW w:w="240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S-11</w:t>
            </w:r>
          </w:p>
        </w:tc>
        <w:tc>
          <w:tcPr>
            <w:tcW w:w="380" w:type="dxa"/>
            <w:vAlign w:val="bottom"/>
          </w:tcPr>
          <w:p>
            <w:pPr>
              <w:spacing w:after="0"/>
              <w:rPr>
                <w:sz w:val="17"/>
                <w:szCs w:val="17"/>
                <w:color w:val="auto"/>
              </w:rPr>
            </w:pPr>
          </w:p>
        </w:tc>
        <w:tc>
          <w:tcPr>
            <w:tcW w:w="24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PLAN OF DISTRIBUTION</w:t>
              </w:r>
            </w:hyperlink>
          </w:p>
        </w:tc>
        <w:tc>
          <w:tcPr>
            <w:tcW w:w="252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20" w:type="dxa"/>
            <w:vAlign w:val="bottom"/>
          </w:tcPr>
          <w:p>
            <w:pPr>
              <w:spacing w:after="0"/>
              <w:rPr>
                <w:sz w:val="17"/>
                <w:szCs w:val="17"/>
                <w:color w:val="auto"/>
              </w:rPr>
            </w:pPr>
          </w:p>
        </w:tc>
        <w:tc>
          <w:tcPr>
            <w:tcW w:w="760" w:type="dxa"/>
            <w:vAlign w:val="bottom"/>
            <w:tcBorders>
              <w:top w:val="single" w:sz="8" w:color="0000EE"/>
            </w:tcBorders>
            <w:gridSpan w:val="2"/>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EXPERTS</w:t>
              </w:r>
            </w:hyperlink>
          </w:p>
        </w:tc>
        <w:tc>
          <w:tcPr>
            <w:tcW w:w="680" w:type="dxa"/>
            <w:vAlign w:val="bottom"/>
            <w:tcBorders>
              <w:top w:val="single" w:sz="8" w:color="0000EE"/>
            </w:tcBorders>
            <w:gridSpan w:val="4"/>
          </w:tcPr>
          <w:p>
            <w:pPr>
              <w:spacing w:after="0"/>
              <w:rPr>
                <w:sz w:val="17"/>
                <w:szCs w:val="17"/>
                <w:color w:val="auto"/>
              </w:rPr>
            </w:pPr>
          </w:p>
        </w:tc>
        <w:tc>
          <w:tcPr>
            <w:tcW w:w="3000" w:type="dxa"/>
            <w:vAlign w:val="bottom"/>
            <w:gridSpan w:val="7"/>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S-11</w:t>
            </w:r>
          </w:p>
        </w:tc>
        <w:tc>
          <w:tcPr>
            <w:tcW w:w="380" w:type="dxa"/>
            <w:vAlign w:val="bottom"/>
          </w:tcPr>
          <w:p>
            <w:pPr>
              <w:spacing w:after="0"/>
              <w:rPr>
                <w:sz w:val="17"/>
                <w:szCs w:val="17"/>
                <w:color w:val="auto"/>
              </w:rPr>
            </w:pPr>
          </w:p>
        </w:tc>
        <w:tc>
          <w:tcPr>
            <w:tcW w:w="20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294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440" w:type="dxa"/>
            <w:vAlign w:val="bottom"/>
            <w:gridSpan w:val="1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WHERE YOU CAN FIND MORE INFORMATION</w:t>
              </w:r>
            </w:hyperlink>
          </w:p>
        </w:tc>
        <w:tc>
          <w:tcPr>
            <w:tcW w:w="3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S-12</w:t>
            </w:r>
          </w:p>
        </w:tc>
        <w:tc>
          <w:tcPr>
            <w:tcW w:w="5380" w:type="dxa"/>
            <w:vAlign w:val="bottom"/>
            <w:gridSpan w:val="15"/>
          </w:tcPr>
          <w:p>
            <w:pPr>
              <w:ind w:left="38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60"/>
          </w:cols>
          <w:pgMar w:left="240" w:top="44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00" w:right="400"/>
        <w:spacing w:after="0" w:line="282" w:lineRule="auto"/>
        <w:rPr>
          <w:sz w:val="20"/>
          <w:szCs w:val="20"/>
          <w:color w:val="auto"/>
        </w:rPr>
      </w:pPr>
      <w:r>
        <w:rPr>
          <w:rFonts w:ascii="Arial" w:cs="Arial" w:eastAsia="Arial" w:hAnsi="Arial"/>
          <w:sz w:val="18"/>
          <w:szCs w:val="18"/>
          <w:b w:val="1"/>
          <w:bCs w:val="1"/>
          <w:color w:val="auto"/>
        </w:rPr>
        <w:t>IMPORTANT NOTICE ABOUT INFORMATION IN THIS PROSPECTUS SUPPLEMENT AND THE ACCOMPANYING BASE PROSPECTUS</w:t>
      </w:r>
    </w:p>
    <w:p>
      <w:pPr>
        <w:spacing w:after="0" w:line="16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providing information to you about this offering of our common stock in two separate documents that are bound together: (1) this prospectus supplement, which describes the specific terms of this offering and (2) the accompanying base prospectus, which provides general information, some of which may not apply to this offering. This prospectus supplement may also add to, update or change information contained in the accompanying base prospectus. If information in this prospectus supplement is inconsistent with the accompanying base prospectus, you should rely on this prospectus supplement. Generally, when we refer to this “prospectus,” we are referring to both this prospectus supplement and the accompanying base prospectus combined.</w:t>
      </w:r>
    </w:p>
    <w:p>
      <w:pPr>
        <w:spacing w:after="0" w:line="19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and the accompanying base prospectus. Neither we nor the sales agents have authorized anyone to provide you with additional or different information. If anyone provides you with different or inconsistent information, you should not rely on it. You should not assume that the information contained in this prospectus supplement or the accompanying base prospectus is accurate as of any date other than the date on the front of those documents or that any information we have incorporated by reference is accurate as of any date other than the date of the document incorporated by reference. Our business, financial condition, results of operations and prospects may have changed since those dates.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not making an offer to sell our common stock in any jurisdiction where the offer is not permitted.</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information in this prospectus supplement is not complete. You should carefully read this prospectus supplement and the accompanying base prospectus, including the information incorporated by reference herein and therein, before you invest, as these documents contain information you should consider when making your investment decision.</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None of California Resources Corporation, the sales agents or any of their respective representatives is making any representation to you regarding the legality of an investment in our common stock by you under applicable laws. You should consult with your own advisors as to legal, tax, business, financial and related aspects of an investment in the common stock.</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60"/>
          </w:cols>
          <w:pgMar w:left="24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information in this prospectus supplement, including the documents incorporated by reference herein, includes “forward-looking statements.” The factors identified in this cautionary statement are important factors (but not necessarily all of the important factors) that could cause actual results to differ materially from those expressed in any forward-looking statement made by us, or on our behalf. You can typically identify “forward-looking statements” by the use of words such as “aim,” “anticipate,” “believe,” “continue,” “could,” “estimate,” “expect,” “goal,” “intend,” “likely,” “may,” “might,” “plan,” “potential,” “project,” “seek,” “should,” “target,” “will” or “would” and other similar words. Such statements specifically include expectations as to our future financial position, liquidity, cash flows and results of operations, business prospects, transactions and projects, operating costs, value creation index metrics (which are based on certain estimates including future rates, costs and commodity prices), operations and operational results including production, hedging and capital investment, budgets and maintenance capital requirements and reserves. 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When considering forward-looking statements, you should keep in mind the risk factors and other cautionary statements described under the heading “Risk Factors” included in this prospectus supplement.</w:t>
      </w:r>
    </w:p>
    <w:p>
      <w:pPr>
        <w:spacing w:after="0" w:line="188"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These forward-looking statements reflect our intentions, plans, expectations, assumptions and beliefs about future events and are subject to risks, uncertainties and other factors, many of which are outside our control. Important factors that could cause actual results to differ materially from the expectations expressed or implied in the forward-looking statements include known and unknown risks. Known risks and uncertainties include, but are not limited to, the risks set forth in “Item 1A. Risk Factors” in our Annual Report on Form 10-K for the year ended December 31, 2017 as well as the following risks and uncertainties:</w:t>
      </w:r>
    </w:p>
    <w:p>
      <w:pPr>
        <w:spacing w:after="0" w:line="94" w:lineRule="exact"/>
        <w:rPr>
          <w:sz w:val="20"/>
          <w:szCs w:val="20"/>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commodity price changes;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limitations on its financial flexibility;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debt repurchases or changes to our capital plan;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inability to enter desirable transactions, including acquisitions, asset sales and joint ventures;</w:t>
      </w:r>
    </w:p>
    <w:p>
      <w:pPr>
        <w:spacing w:after="0" w:line="130"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its products;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joint venture and acquisition activities and our ability to achieve expected synergies;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PSC effects on production and unit production costs;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insufficient capital, including as a result of lender restrictions, unavailability of capital markets or inability to attract potential investors;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8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 and</w:t>
      </w:r>
    </w:p>
    <w:p>
      <w:pPr>
        <w:spacing w:after="0" w:line="75"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due to accidents, mechanical failures, transportation or storage constraints, natural disasters, labor difficulties, cyber-attacks or other catastrophic events.</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You should read these forward-looking statements carefully because they discuss our expectations about our future performance, contain projections of our future operating results or our future financial condition, or state other “forward-looking” information. Before you invest, you should be aware that the occurrence of any of the events described in “Item 1A. Risk Factors” in our Annual Report on Form 10-K for the year ended December 31, 2017 could substantially harm our business, results of operations and financial condition. In light of these risks, uncertainties and assumptions, the events described in the forward-looking statements might not occur or might occur to a different extent or at a different time than we have described. We undertake no obligation to publicly update or revise any forward-looking statements, whether as a result of new information, future events or otherwise.</w:t>
      </w:r>
    </w:p>
    <w:p>
      <w:pPr>
        <w:spacing w:after="0" w:line="1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20"/>
          </w:cols>
          <w:pgMar w:left="24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52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49523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right="100" w:firstLine="426"/>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and the accompanying base prospectus. It does not contain all of the information that you should consider before making an investment decision. You should read this entire prospectus supplement, the accompanying base prospectus and the documents incorporated herein by reference for a more complete understanding of this offering of common stock. Please read “Risk Factors” in our Annual Report on Form 10-K for the year ended December 31, 2017 for information regarding risks you should consider before investing in our common stock.</w:t>
      </w:r>
    </w:p>
    <w:p>
      <w:pPr>
        <w:spacing w:after="0" w:line="188" w:lineRule="exact"/>
        <w:rPr>
          <w:sz w:val="20"/>
          <w:szCs w:val="20"/>
          <w:color w:val="auto"/>
        </w:rPr>
      </w:pPr>
    </w:p>
    <w:p>
      <w:pPr>
        <w:ind w:left="380" w:right="600" w:firstLine="426"/>
        <w:spacing w:after="0" w:line="277" w:lineRule="auto"/>
        <w:rPr>
          <w:sz w:val="20"/>
          <w:szCs w:val="20"/>
          <w:color w:val="auto"/>
        </w:rPr>
      </w:pPr>
      <w:r>
        <w:rPr>
          <w:rFonts w:ascii="Arial" w:cs="Arial" w:eastAsia="Arial" w:hAnsi="Arial"/>
          <w:sz w:val="18"/>
          <w:szCs w:val="18"/>
          <w:i w:val="1"/>
          <w:iCs w:val="1"/>
          <w:color w:val="auto"/>
        </w:rPr>
        <w:t>Throughout this prospectus supplement, when we use the terms “the Company,” “we,” “us” or “our,” we are referring to California Resources Corporation and its subsidiaries.</w:t>
      </w:r>
    </w:p>
    <w:p>
      <w:pPr>
        <w:spacing w:after="0" w:line="27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80" w:right="100" w:firstLine="426"/>
        <w:spacing w:after="0" w:line="288" w:lineRule="auto"/>
        <w:rPr>
          <w:sz w:val="20"/>
          <w:szCs w:val="20"/>
          <w:color w:val="auto"/>
        </w:rPr>
      </w:pPr>
      <w:r>
        <w:rPr>
          <w:rFonts w:ascii="Arial" w:cs="Arial" w:eastAsia="Arial" w:hAnsi="Arial"/>
          <w:sz w:val="16"/>
          <w:szCs w:val="16"/>
          <w:color w:val="auto"/>
        </w:rPr>
        <w:t>We are an independent oil and natural gas exploration and production company operating properties within California. We are the largest oil and gas producer in California on a gross operated basis and we believe we have the largest privately held mineral acreage position in the state, consisting of approximately 2.3 million net mineral acres spanning the state’s four major oil and gas basins. We produced approximately</w:t>
      </w:r>
    </w:p>
    <w:p>
      <w:pPr>
        <w:ind w:left="380"/>
        <w:spacing w:after="0" w:line="302" w:lineRule="auto"/>
        <w:rPr>
          <w:sz w:val="20"/>
          <w:szCs w:val="20"/>
          <w:color w:val="auto"/>
        </w:rPr>
      </w:pPr>
      <w:r>
        <w:rPr>
          <w:rFonts w:ascii="Arial" w:cs="Arial" w:eastAsia="Arial" w:hAnsi="Arial"/>
          <w:sz w:val="16"/>
          <w:szCs w:val="16"/>
          <w:color w:val="auto"/>
        </w:rPr>
        <w:t>136 thousand barrels of oil equivalent per day (MBoe/d) for the three months ended September 30, 2018. As of December 31, 2017, we had net proved reserves of 618 million barrels of oil equivalent (MMBoe), of which approximately 71% was categorized as proved developed reserves. Oil represented 72% of our proved reserves. We were formed in April 2014 and listed on the New York Stock Exchange on December 1, 2014.</w:t>
      </w:r>
    </w:p>
    <w:p>
      <w:pPr>
        <w:spacing w:after="0" w:line="26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Principal Executive Offices</w:t>
      </w:r>
    </w:p>
    <w:p>
      <w:pPr>
        <w:spacing w:after="0" w:line="121" w:lineRule="exact"/>
        <w:rPr>
          <w:sz w:val="20"/>
          <w:szCs w:val="20"/>
          <w:color w:val="auto"/>
        </w:rPr>
      </w:pPr>
    </w:p>
    <w:p>
      <w:pPr>
        <w:ind w:left="380" w:right="80" w:firstLine="426"/>
        <w:spacing w:after="0" w:line="259" w:lineRule="auto"/>
        <w:rPr>
          <w:sz w:val="20"/>
          <w:szCs w:val="20"/>
          <w:color w:val="auto"/>
        </w:rPr>
      </w:pPr>
      <w:r>
        <w:rPr>
          <w:rFonts w:ascii="Arial" w:cs="Arial" w:eastAsia="Arial" w:hAnsi="Arial"/>
          <w:sz w:val="18"/>
          <w:szCs w:val="18"/>
          <w:color w:val="auto"/>
        </w:rPr>
        <w:t xml:space="preserve">Our principal executive offices are located at 27200 Tourney Road, Suite 315, Santa Clarita, CA 91355. Our telephone number is (888) 848-4754. Our website is located at </w:t>
      </w:r>
      <w:r>
        <w:rPr>
          <w:rFonts w:ascii="Arial" w:cs="Arial" w:eastAsia="Arial" w:hAnsi="Arial"/>
          <w:sz w:val="18"/>
          <w:szCs w:val="18"/>
          <w:i w:val="1"/>
          <w:iCs w:val="1"/>
          <w:color w:val="auto"/>
        </w:rPr>
        <w:t>www.crc.com</w:t>
      </w:r>
      <w:r>
        <w:rPr>
          <w:rFonts w:ascii="Arial" w:cs="Arial" w:eastAsia="Arial" w:hAnsi="Arial"/>
          <w:sz w:val="18"/>
          <w:szCs w:val="18"/>
          <w:color w:val="auto"/>
        </w:rPr>
        <w:t>. Unless indicated otherwise, no information is incorporated herein by reference from our website or any other website and no website constitutes a part of this prospectus supplement. Our common stock is listed on the NYSE under the symbol “CRC.”</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left="380" w:right="340" w:firstLine="426"/>
        <w:spacing w:after="0" w:line="264" w:lineRule="auto"/>
        <w:rPr>
          <w:sz w:val="20"/>
          <w:szCs w:val="20"/>
          <w:color w:val="auto"/>
        </w:rPr>
      </w:pPr>
      <w:r>
        <w:rPr>
          <w:rFonts w:ascii="Arial" w:cs="Arial" w:eastAsia="Arial" w:hAnsi="Arial"/>
          <w:sz w:val="18"/>
          <w:szCs w:val="18"/>
          <w:color w:val="auto"/>
        </w:rPr>
        <w:t>For additional information about us, please refer to the documents set forth under “Where You Can Find More Information” in this prospectus supplement, including our Annual Report on Form 10-K for the year ended December 31, 2017,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00"/>
          </w:cols>
          <w:pgMar w:left="24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3060" w:type="dxa"/>
            <w:vAlign w:val="bottom"/>
            <w:tcBorders>
              <w:top w:val="single" w:sz="8" w:color="auto"/>
              <w:left w:val="single" w:sz="8" w:color="auto"/>
            </w:tcBorders>
          </w:tcPr>
          <w:p>
            <w:pPr>
              <w:spacing w:after="0"/>
              <w:rPr>
                <w:sz w:val="24"/>
                <w:szCs w:val="24"/>
                <w:color w:val="auto"/>
              </w:rPr>
            </w:pPr>
          </w:p>
        </w:tc>
        <w:tc>
          <w:tcPr>
            <w:tcW w:w="7980" w:type="dxa"/>
            <w:vAlign w:val="bottom"/>
            <w:tcBorders>
              <w:top w:val="single" w:sz="8" w:color="auto"/>
              <w:right w:val="single" w:sz="8" w:color="auto"/>
            </w:tcBorders>
          </w:tcPr>
          <w:p>
            <w:pPr>
              <w:ind w:left="196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Common Stock Offered</w:t>
            </w:r>
          </w:p>
        </w:tc>
        <w:tc>
          <w:tcPr>
            <w:tcW w:w="79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An aggregate offering amount of up to 6,000,000 shares.</w:t>
            </w:r>
          </w:p>
        </w:tc>
      </w:tr>
      <w:tr>
        <w:trPr>
          <w:trHeight w:val="458"/>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9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We intend to use the net proceeds from this offering for general corporate purposes, which</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may include, among other things, (i) redeeming or repurchasing some of our outstanding</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senior notes and senior secured second lien notes or repaying other outstanding</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indebtedness, (ii) funding capital expenditures, (iii) acquisitions and (iv) additions to</w:t>
            </w:r>
          </w:p>
        </w:tc>
      </w:tr>
      <w:tr>
        <w:trPr>
          <w:trHeight w:val="230"/>
        </w:trPr>
        <w:tc>
          <w:tcPr>
            <w:tcW w:w="306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working capital. Please read “Use of Proceeds.”</w:t>
            </w:r>
          </w:p>
        </w:tc>
      </w:tr>
      <w:tr>
        <w:trPr>
          <w:trHeight w:val="459"/>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Exchange Listing</w:t>
            </w:r>
          </w:p>
        </w:tc>
        <w:tc>
          <w:tcPr>
            <w:tcW w:w="79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Our common stock is traded on the NYSE under the symbol “CRC.”</w:t>
            </w:r>
          </w:p>
        </w:tc>
      </w:tr>
      <w:tr>
        <w:trPr>
          <w:trHeight w:val="458"/>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9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There are risks associated with an investment in our common stock. You should consider</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8"/>
              </w:rPr>
              <w:t>carefully the risk factors on page S-3 of this prospectus supplement and the other risks</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identified in the documents incorporated by reference herein before making a decision to</w:t>
            </w:r>
          </w:p>
        </w:tc>
      </w:tr>
      <w:tr>
        <w:trPr>
          <w:trHeight w:val="230"/>
        </w:trPr>
        <w:tc>
          <w:tcPr>
            <w:tcW w:w="306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purchase our common stock in this offering.</w:t>
            </w:r>
          </w:p>
        </w:tc>
      </w:tr>
      <w:tr>
        <w:trPr>
          <w:trHeight w:val="240"/>
        </w:trPr>
        <w:tc>
          <w:tcPr>
            <w:tcW w:w="3060" w:type="dxa"/>
            <w:vAlign w:val="bottom"/>
            <w:tcBorders>
              <w:left w:val="single" w:sz="8" w:color="auto"/>
              <w:bottom w:val="single" w:sz="8" w:color="auto"/>
            </w:tcBorders>
          </w:tcPr>
          <w:p>
            <w:pPr>
              <w:spacing w:after="0"/>
              <w:rPr>
                <w:sz w:val="20"/>
                <w:szCs w:val="20"/>
                <w:color w:val="auto"/>
              </w:rPr>
            </w:pPr>
          </w:p>
        </w:tc>
        <w:tc>
          <w:tcPr>
            <w:tcW w:w="7980" w:type="dxa"/>
            <w:vAlign w:val="bottom"/>
            <w:tcBorders>
              <w:bottom w:val="single" w:sz="8" w:color="auto"/>
              <w:right w:val="single" w:sz="8" w:color="auto"/>
            </w:tcBorders>
          </w:tcPr>
          <w:p>
            <w:pPr>
              <w:spacing w:after="0"/>
              <w:rPr>
                <w:sz w:val="20"/>
                <w:szCs w:val="20"/>
                <w:color w:val="auto"/>
              </w:rPr>
            </w:pPr>
          </w:p>
        </w:tc>
      </w:tr>
      <w:tr>
        <w:trPr>
          <w:trHeight w:val="604"/>
        </w:trPr>
        <w:tc>
          <w:tcPr>
            <w:tcW w:w="3060" w:type="dxa"/>
            <w:vAlign w:val="bottom"/>
          </w:tcPr>
          <w:p>
            <w:pPr>
              <w:spacing w:after="0"/>
              <w:rPr>
                <w:sz w:val="24"/>
                <w:szCs w:val="24"/>
                <w:color w:val="auto"/>
              </w:rPr>
            </w:pPr>
          </w:p>
        </w:tc>
        <w:tc>
          <w:tcPr>
            <w:tcW w:w="7980" w:type="dxa"/>
            <w:vAlign w:val="bottom"/>
          </w:tcPr>
          <w:p>
            <w:pPr>
              <w:ind w:left="232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An investment in our common stock involves risk. You should carefully consider the risk factors set forth in “Item 1A. Risk Factors” of our Annual Report on Form 10-K for the year ended December 31, 2017, together with all of the other information included in, or incorporated by reference into, this prospectus supplement and the accompanying base prospectus, when evaluating an investment in our common stock. If any of these risks were to occur, our business, financial condition or results of operations could be materially adversely affected. In that case, the trading price of our common stock could decline and you could lose all or part of your investment.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Market volatility may affect the price of our common stock and the value of your investment.</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market price of our common stock may fluctuate significantly in response to a number of factors, most of which we cannot predict or control, including general market and economic conditions, disruptions, downgrades, credit events and perceived problems in the credit markets; actual or anticipated variations in our quarterly operating results or dividends; changes in our investments or asset composition; write-downs or perceived credit or liquidity issues affecting our assets; market perception of us, our business and our assets; our level of indebtedness and/or adverse market reaction to any indebtedness we incur in the future; our ability to raise capital on favorable terms or at all; loss of any major funding source; additions or departures of our key personnel; changes in market valuations of similar independent oil and natural gas exploration and production companies; and speculation in the press or investment community regarding us. Securities markets in general have experienced extreme volatility that has often been unrelated to the operating performance of particular companies. Any broad market fluctuations may adversely affect the trading price of our common stock.</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You may experience dilution of your ownership interest due to the future issuance of additional shares of our common stock.</w:t>
      </w:r>
    </w:p>
    <w:p>
      <w:pPr>
        <w:spacing w:after="0" w:line="1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are in a capital intensive business, and may not have sufficient funds to finance the growth of our business, future acquisitions or to support our projected capital expenditures. As a result, we may require additional funds from further equity or debt financings, including sales of preferred shares or convertible debt to complete future acquisitions, expansions and capital expenditures and pay the general and administrative costs of our business. In the future, we may issue our previously authorized and unissued securities, resulting in the dilution of the ownership interests of purchasers of our common stock offered hereby.</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Under our amended and restated certificate of formation, we are authorized to issue 220,000,000 shares of capital stock, of which 200,000,000 shares shall be common stock and 20,000,000 shares shall be preferred stock. The potential issuance of preferred stock, additional shares of common stock or convertible debt may create downward pressure on the trading price of our common stock. We may also issue additional shares of our common stock or other securities that are convertible into or exercisable for our common stock in future public offerings or private placements for capital raising purposes or for other business purposes, potentially at an offering price, conversion price or exercise price that is below the offering price for our common stock in this equity offering program.</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are not guaranteed to receive any particular amount of proceeds from this offering. The amount of proceeds we receive from this offering will depend upon the number of shares of our common stock sold and the market price at which they are sold.</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intend to use the net proceeds from this offering for general corporate purposes, which may include, among other things, (i) redeeming or repurchasing some of our outstanding senior notes and senior secured second lien notes or repaying other outstanding indebtedness (each as described below), (ii) funding capital expenditures, (iii) acquisitions and (iv) additions to working capital.</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As of September 30, 2018, we had (i) $342 million of borrowings outstanding under our 2014 revolving credit facility, which matures on June 30, 2021, with a weighted average interest rate of 5.9%, (ii) $1 billion of borrowings outstanding under our 2016 credit facility, which matures on December 31, 2021, with a weighted average interest rate of 12.2%, (iii) $1.3 billion of borrowings outstanding under our 2017 credit facility, with a weighted average interest rate of 6.6%, (iv) $2.12 billion aggregate principal amount of our 8% Senior Secured Second Lien Notes due 2022 outstanding, (v) $144 million aggregate principal amount of our 6% Senior Notes due 2024 outstanding, (vi) $100 million aggregate principal amount of our 5.5% Senior Notes due 2021 outstanding, and (vii) $100 million aggregate principal amount of our 5% Notes due 2020 outstanding.</w:t>
      </w:r>
    </w:p>
    <w:p>
      <w:pPr>
        <w:spacing w:after="0" w:line="178"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In November 2017, the proceeds of a term loan under the 2017 credit facility were used to repay all outstanding loans under our 2014 term loan and a portion of the outstanding revolving loans, each under the 2014 revolving credit facility. The term loan under our 2017 credit facility has an interest rate of LIBOR plus 4.75% with 1% LIBOR floor (or ABR rates in certain circumstances) and such facility will mature on December 31, 2022, subject to a springing maturity of 91 days prior to the stated maturity date of the 2016 credit facility, to the extent that more than $100 million of such loans remain outstanding on such date.</w:t>
      </w:r>
    </w:p>
    <w:p>
      <w:pPr>
        <w:spacing w:after="0" w:line="188"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Affiliates of the sales agents are lenders under our credit facilities. To the extent we use proceeds from this offering to repay indebtedness under our credit facilities, such affiliates may receive proceeds from this offering. Please read “Plan of Distribution” in this prospectus supplement for further information.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following is a summary of the material U.S. federal income tax considerations related to the purchase, ownership and disposition of our common stock by a non-U.S. holder (as defined below), that holds our common stock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possibly with retroactive effect. We have not sought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92" w:lineRule="exact"/>
        <w:rPr>
          <w:sz w:val="20"/>
          <w:szCs w:val="20"/>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qualified foreign pension funds (or any entities all of the interests of which are held by a qualified foreign pension fund);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brokers, dealers or traders in securities or foreign currencies;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acquired our common stock through the exercise of employee stock options or otherwise as compensation or through a tax-qualified retirement plan;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 and</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appreciated financial position, synthetic security, hedge, conversion transaction or other integrated investment or risk reduction transaction.</w:t>
      </w:r>
    </w:p>
    <w:p>
      <w:pPr>
        <w:spacing w:after="0" w:line="166" w:lineRule="exact"/>
        <w:rPr>
          <w:sz w:val="20"/>
          <w:szCs w:val="20"/>
          <w:color w:val="auto"/>
        </w:rPr>
      </w:pPr>
    </w:p>
    <w:p>
      <w:pPr>
        <w:ind w:left="200" w:right="220" w:firstLine="441"/>
        <w:spacing w:after="0" w:line="258" w:lineRule="auto"/>
        <w:rPr>
          <w:sz w:val="20"/>
          <w:szCs w:val="20"/>
          <w:color w:val="auto"/>
        </w:rPr>
      </w:pPr>
      <w:r>
        <w:rPr>
          <w:rFonts w:ascii="Arial" w:cs="Arial" w:eastAsia="Arial" w:hAnsi="Arial"/>
          <w:sz w:val="18"/>
          <w:szCs w:val="18"/>
          <w:b w:val="1"/>
          <w:bCs w:val="1"/>
          <w:color w:val="auto"/>
        </w:rPr>
        <w:t>PROSPECTIVE INVESTORS ARE ENCOURAGED TO CONSULT THEIR TAX ADVISORS WITH RESPECT TO THE APPLICATION OF THE U.S. FEDERAL INCOME TAX LAWS TO THEIR PARTICULAR SITUATION, AS WELL AS ANY TAX CONSEQUENCES OF THE PURCHASE, OWNERSHIP AND DISPOSITION OF OUR COMMON STOCK ARISING UNDER THE U.S. FEDERAL ESTATE OR GIFT TAX LAWS OR UNDER THE LAWS OF ANY STATE, LOCAL, NON-U.S. OR OTHER TAXING JURISDICTION OR UNDER ANY APPLICABLE INCOME TAX TREATY.</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60"/>
          </w:cols>
          <w:pgMar w:left="24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common stock that is not for U.S. federal income tax purposes a partnership or any of the following:</w:t>
      </w:r>
    </w:p>
    <w:p>
      <w:pPr>
        <w:spacing w:after="0" w:line="76"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jc w:val="both"/>
        <w:ind w:left="1060" w:right="60" w:hanging="316"/>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If a partnership (including an entity or arrangement treated as a partnership for U.S. federal income tax purposes) holds our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common stock to consult their tax advisors regarding the U.S. federal income tax considerations of the purchase, ownership and disposition of our common stock by such partnership.</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Distributions of cash or property on our common stock, if any,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See “—Gain on Disposition of Common Stock.” Subject to the withholding requirements under FATCA (as defined below) and with respect to effectively connected dividends, each of which is discussed below, any distribution made to a non-U.S. holder on our common stock generally will be subject to U.S. withholding tax at a rate of 30% of the gross amount of the distribution unless an applicable income tax treaty provides for a lower rate. To receive the benefit of a reduced treaty rate, a non-U.S. holder must provide the applicable withholding agent with an IRS Form W-8BEN or IRS Form W-8BEN-E (or other applicable or successor form) certifying qualification for the reduced rate.</w:t>
      </w:r>
    </w:p>
    <w:p>
      <w:pPr>
        <w:spacing w:after="0" w:line="182"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Dividends paid to a non-U.S. holder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Subject to the discussions below under “—Backup Withholding and Information Reporting” and “—Additional Withholding Requirements under FATCA,” a non-U.S. holder generally will not be subject to</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 federal income or withholding tax on any gain realized upon the sale or other disposition of our common stock unless:</w:t>
      </w:r>
    </w:p>
    <w:p>
      <w:pPr>
        <w:spacing w:after="0" w:line="131" w:lineRule="exact"/>
        <w:rPr>
          <w:sz w:val="20"/>
          <w:szCs w:val="20"/>
          <w:color w:val="auto"/>
        </w:rPr>
      </w:pPr>
    </w:p>
    <w:p>
      <w:pPr>
        <w:ind w:left="1060" w:right="38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75" w:lineRule="exact"/>
        <w:rPr>
          <w:rFonts w:ascii="Arial" w:cs="Arial" w:eastAsia="Arial" w:hAnsi="Arial"/>
          <w:sz w:val="18"/>
          <w:szCs w:val="18"/>
          <w:color w:val="auto"/>
        </w:rPr>
      </w:pPr>
    </w:p>
    <w:p>
      <w:pPr>
        <w:ind w:left="1060" w:right="480" w:hanging="316"/>
        <w:spacing w:after="0" w:line="342"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29" w:lineRule="exact"/>
        <w:rPr>
          <w:rFonts w:ascii="Arial" w:cs="Arial" w:eastAsia="Arial" w:hAnsi="Arial"/>
          <w:sz w:val="16"/>
          <w:szCs w:val="16"/>
          <w:color w:val="auto"/>
        </w:rPr>
      </w:pPr>
    </w:p>
    <w:p>
      <w:pPr>
        <w:ind w:left="1060" w:right="220" w:hanging="316"/>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(“USRPHC”) for U.S. federal income tax purposes and as a result such gain is treated as effectively connected with a trade or business conducted by the non-U.S. holder in the United States.</w:t>
      </w:r>
    </w:p>
    <w:p>
      <w:pPr>
        <w:spacing w:after="0" w:line="181"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124"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common stock continues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common stock, more than 5% of our common stock will be treated as disposing of a U.S. real property interest and will be taxable on gain realized on the disposition of our common stock as a result of our status as a USRPHC. If our common stock were not considered to be regularly traded on an established securities market, such holder (regardless of the percentage of stock owned) would be treated as disposing of a U.S. real property interest and would be subject to U.S. federal income tax on a taxable disposition of our common stock (as described in the preceding paragraph), and a 15% withholding tax would apply to the gross proceeds from such disposition.</w:t>
      </w:r>
    </w:p>
    <w:p>
      <w:pPr>
        <w:spacing w:after="0" w:line="17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Payments of the proceeds from a sale or other disposition by a non-U.S. holder of our common stock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w:t>
      </w:r>
    </w:p>
    <w:p>
      <w:pPr>
        <w:spacing w:after="0" w:line="17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Sections 1471 through 1474 of the Code, and the U.S. Treasury regulations and administrative guidance issued thereunder (“FATCA”), impose a 30% withholding tax on any dividends paid on our common stock and on the gross proceeds from a disposition of our common stock (if such disposition occurs after December 31, 2018),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Non-U.S. holders are encouraged to consult their own tax advisors regarding the effects of FATCA on an investment in our common stock.</w:t>
      </w:r>
    </w:p>
    <w:p>
      <w:pPr>
        <w:spacing w:after="0" w:line="18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INVESTORS CONSIDERING THE PURCHASE OF OUR COMMON STOCK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have entered into an equity distribution agreement with Merrill Lynch, Pierce, Fenner &amp; Smith Incorporated, Citigroup Global Markets Inc., HSBC Securities (USA) Inc., Mizuho Securities USA LLC and SG Americas Securities, LLC, as sales agents, under which we may offer and sell an aggregate amount of up to 6,000,000 shares of our common stock from time to time through the sales agents. We filed the equity distribution agreement as an exhibit to a Current Report on Form 8-K, which is incorporated by reference in this prospectus supplement. The sales, if any, of common stock made under the equity distribution agreement will be made by means of ordinary brokers’ transactions on the NYSE, any other national securities exchange or facility thereof, a trading facility of a national securities association or an alternate trading system, to or through a market maker or directly on or through an electronic communication network, a “dark pool” or any similar market venue, at market prices, in block transactions, or as otherwise as agreed upon by the sales agents and us. The sales agents will not engage in any transactions that stabilize the price of our common stock.</w:t>
      </w:r>
    </w:p>
    <w:p>
      <w:pPr>
        <w:spacing w:after="0" w:line="166" w:lineRule="exact"/>
        <w:rPr>
          <w:sz w:val="20"/>
          <w:szCs w:val="20"/>
          <w:color w:val="auto"/>
        </w:rPr>
      </w:pPr>
    </w:p>
    <w:p>
      <w:pPr>
        <w:jc w:val="both"/>
        <w:ind w:left="200" w:right="280" w:firstLine="441"/>
        <w:spacing w:after="0" w:line="286" w:lineRule="auto"/>
        <w:rPr>
          <w:sz w:val="20"/>
          <w:szCs w:val="20"/>
          <w:color w:val="auto"/>
        </w:rPr>
      </w:pPr>
      <w:r>
        <w:rPr>
          <w:rFonts w:ascii="Arial" w:cs="Arial" w:eastAsia="Arial" w:hAnsi="Arial"/>
          <w:sz w:val="17"/>
          <w:szCs w:val="17"/>
          <w:color w:val="auto"/>
        </w:rPr>
        <w:t>Under the terms of the equity distribution agreement, we also may sell common stock to the sales agents as principal for their own account at a price agreed upon at the time of sale. If we sell common stock to the sales agents as principal, we will enter into a separate agreement with the sales agents and we will describe that agreement in a separate prospectus supplement or pricing supplement.</w:t>
      </w:r>
    </w:p>
    <w:p>
      <w:pPr>
        <w:spacing w:after="0" w:line="166"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We will designate the maximum amount of common stock to be sold through the sales agents on a daily basis or otherwise as we and the sales agents agree and the minimum price per share of common stock at which such common stock may be sold. Subject to the terms and conditions of the equity distribution agreement, the sales agents will use their commercially reasonable efforts to sell on our behalf all of the designated common stock. We may instruct the sales agents not to sell any common stock if the sales cannot be effected at or above the price designated by us in any such instruction. We or the sales agents may suspend the offering of common stock at any time and from time to time by notifying the other party.</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sales agents will provide to us written confirmation following the close of trading on the NYSE each day in which common stock are sold by it as our agent under the equity distribution agreement. Each confirmation will include the number of shares of common stock sold on that day, the price or prices at which such shares were sold on such day, the gross sales proceeds, the net proceeds to us (before expenses) and the compensation payable by us to the sales agents. We will report at least quarterly the number of shares of common stock sold through the sales agents under the equity distribution agreement, the net proceeds to us (before expenses) and the compensation paid by us to the sales agents in connection with the sales of the common stock.</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will pay the sales agents a commission of up to 2% of the gross sales price per share of common stock sold through it as our agents under the equity distribution agreement. We have agreed to reimburse the sales agents for certain of their expenses.</w:t>
      </w:r>
    </w:p>
    <w:p>
      <w:pPr>
        <w:spacing w:after="0" w:line="170" w:lineRule="exact"/>
        <w:rPr>
          <w:sz w:val="20"/>
          <w:szCs w:val="20"/>
          <w:color w:val="auto"/>
        </w:rPr>
      </w:pPr>
    </w:p>
    <w:p>
      <w:pPr>
        <w:ind w:left="200" w:right="580" w:firstLine="441"/>
        <w:spacing w:after="0" w:line="308" w:lineRule="auto"/>
        <w:rPr>
          <w:sz w:val="20"/>
          <w:szCs w:val="20"/>
          <w:color w:val="auto"/>
        </w:rPr>
      </w:pPr>
      <w:r>
        <w:rPr>
          <w:rFonts w:ascii="Arial" w:cs="Arial" w:eastAsia="Arial" w:hAnsi="Arial"/>
          <w:sz w:val="17"/>
          <w:szCs w:val="17"/>
          <w:color w:val="auto"/>
        </w:rPr>
        <w:t>Settlement for sales of common stock will occur on the second business day following the date on which any sales were made in return for payment of the net proceeds to us. There is no arrangement for funds to be received in an escrow, trust or similar arrangement.</w:t>
      </w:r>
    </w:p>
    <w:p>
      <w:pPr>
        <w:spacing w:after="0" w:line="14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we or the sales agents have reason to believe that our common stock are no longer an “actively-traded security” as defined under Rule 101(c)(l) of Regulation M under the Securities Exchange Act of 1934, as amended (the “Exchange Act”), that party will promptly notify the others and sales of common stock pursuant to the equity distribution agreement or any terms agreement will be suspended until in our collective judgment Rule 101(c)(1) or another exemptive provision has been satisfied.</w:t>
      </w:r>
    </w:p>
    <w:p>
      <w:pPr>
        <w:spacing w:after="0" w:line="187"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The offering of common stock pursuant to the equity distribution agreement will terminate upon the earlier of (1) the sale of all common stock subject to the equity distribution agreement or (2) the termination of the equity distribution agreement by us or by the sales agents.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In connection with the sale of the common stock on our behalf, the sales agents may be deemed to be “underwriters” within the meaning of the Securities Act of 1933, as amended (the “Securities Act”), and the compensation paid to the sales agents may be deemed to be underwriting commissions or discounts. We have agreed to provide indemnification and contribution to the sales agents against certain liabilities, including civil liabilities under the Securities Act.</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sales agents and their affiliates have, from time to time, performed, and may in the future perform, various financial advisory and commercial and investment banking services for us and our affiliates, for which they have received and in the future will receive customary compensation and expense reimbursement. Affiliates of the sales agents are lenders under our credit facilities. To the extent we use proceeds from this offering to repay indebtedness under our credit facilities, such affiliates may receive proceeds from this offering.</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60"/>
          </w:cols>
          <w:pgMar w:left="24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validity of the common stock offered in this prospectus supplement will be passed upon for us by Vinson &amp; Elkins L.L.P., Houston, Texas.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Certain legal matters will be passed upon for the sales agents by Latham &amp; Watkins LLP, Houston, Texas.</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consolidated financial statements of California Resources Corporation and subsidiaries as of December 31, 2017 and 2016, and for each of the years in the three-year period ended December 31, 2017, and management’s assessment of the effectiveness of internal control over financial reporting as of December 31, 2017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Certain information incorporated by reference into this prospectus with respect to the oil and gas reserves associated with California Resources Corporation’s oil and gas properties is confirmed in a letter of Ryder Scott Company, L.P.,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file annual, quarterly and current reports and other information with the SEC pursuant to the Securities Exchange Act of 1934 (the “Exchange Act”). You may read and copy any documents that are filed at the SEC’s public reference room at 100 F Street, N.E., Washington, D.C. 20549. You may also obtain copies of these documents at prescribed rates from the public reference section of the SEC at its Washington address. Please call the SEC at 1-800-SEC-0330 for further information. Our filings are also available to the public through the SEC’s website at www.sec.gov and through our website at www.crc.com. Information contained on our website is not incorporated by reference into this prospectus supplement and you should not consider such information as part of this prospectus supplement.</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SEC allows us to “incorporate by reference” information that we file with it, which means that we can disclose important information to you by referring you to documents previously filed with the SEC. The information incorporated by reference is an important part of this prospectus supplement, and the information that we later file with the SEC will automatically update and supersede this information. The following documents that we filed with the SEC pursuant to the Exchange Act are incorporated herein by reference:</w:t>
      </w:r>
    </w:p>
    <w:p>
      <w:pPr>
        <w:spacing w:after="0" w:line="92" w:lineRule="exact"/>
        <w:rPr>
          <w:sz w:val="20"/>
          <w:szCs w:val="20"/>
          <w:color w:val="auto"/>
        </w:rPr>
      </w:pPr>
    </w:p>
    <w:p>
      <w:pPr>
        <w:ind w:left="1060" w:right="120" w:hanging="316"/>
        <w:spacing w:after="0" w:line="342"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Annual Report on Form 10-K for the year ended December 31, 2017, including information specifically incorporated by reference into such Annual Report on Form 10-K from our Proxy Statement for our 2018 Annual Meeting of Stockholders filed on March 27, 2018;</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Reports on Form 10-Q for the quarterly periods ended March 31, 2018, June 30, 2018 and September 30, 2018;</w:t>
      </w:r>
    </w:p>
    <w:p>
      <w:pPr>
        <w:spacing w:after="0" w:line="130" w:lineRule="exact"/>
        <w:rPr>
          <w:rFonts w:ascii="Arial" w:cs="Arial" w:eastAsia="Arial" w:hAnsi="Arial"/>
          <w:sz w:val="18"/>
          <w:szCs w:val="18"/>
          <w:color w:val="auto"/>
        </w:rPr>
      </w:pPr>
    </w:p>
    <w:p>
      <w:pPr>
        <w:ind w:left="1060" w:right="48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Reports on Form 8-K or Form 8-K/A filed on January 19, 2018, February 7, 2018, April 9, 2018, April 11, 2018, May 14, 2018, August 24, 2018, September 18, 2018 and November 16, 2018; and</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our capital stock contained in our information statement on Form 10 filed on October 8, 2014, including any amendment to that Form that we may file in the future for the purpose of updating the description of our capital stock.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reports contain important information about us, our financial condition and our results of operations.</w:t>
      </w:r>
    </w:p>
    <w:p>
      <w:pPr>
        <w:spacing w:after="0" w:line="225"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All documents subsequently filed pursuant to Sections 13(a), 13(c), 14 or 15(d) of the Exchange Act (excluding any information furnished pursuant to Item 2.02 or Item 7.01 on any Current Report on Form 8-K) before the termination of the offering under this prospectus supplement shall be deemed to be incorporated in this prospectus supplement by reference and to be a part hereof from the date of filing of such documents. Any statement contained herein, or in a document incorporated or deemed to be incorporated by reference herein, shall be deemed to be modified or superseded for purposes of this prospectus supplement to the extent that a statement contained herein modifies or supersedes such statement.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 and telephone number: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California Resources Corporation</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27200 Tourney Road, Suite 315</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Santa Clarita, California 91355</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Phone: (888) 848-4754</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California Resources Corporation</w:t>
      </w:r>
    </w:p>
    <w:p>
      <w:pPr>
        <w:spacing w:after="0" w:line="242"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Warrants</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Guarantees of Debt Securities of California Resources Corporation by:</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Heavy Oil, Inc.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Coles Levee, LLC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Coles Levee, L.P.</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Elk Hills, LLC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Long Beach, Inc.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Petroleum Corporation</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Production Corporation</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Tidelands, Inc.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Wilmington, LLC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Real Estate Ventures, LLC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CRC Construction Services, LLC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CRC Marketing, Inc.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CRC Services, LLC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Socal Holding, LLC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Southern San Joaquin Production, Inc.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Thums Long Beach Company</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Tidelands Oil Production Company</w:t>
      </w:r>
    </w:p>
    <w:p>
      <w:pPr>
        <w:spacing w:after="0" w:line="211" w:lineRule="exact"/>
        <w:rPr>
          <w:sz w:val="20"/>
          <w:szCs w:val="20"/>
          <w:color w:val="auto"/>
        </w:rPr>
      </w:pPr>
    </w:p>
    <w:p>
      <w:pPr>
        <w:ind w:left="200" w:firstLine="331"/>
        <w:spacing w:after="0" w:line="293" w:lineRule="auto"/>
        <w:rPr>
          <w:sz w:val="20"/>
          <w:szCs w:val="20"/>
          <w:color w:val="auto"/>
        </w:rPr>
      </w:pPr>
      <w:r>
        <w:rPr>
          <w:rFonts w:ascii="Arial" w:cs="Arial" w:eastAsia="Arial" w:hAnsi="Arial"/>
          <w:sz w:val="16"/>
          <w:szCs w:val="16"/>
          <w:color w:val="auto"/>
        </w:rPr>
        <w:t>We may offer and sell the securities listed above from time to time in one or more offerings of one or more classes or series. Any debt securities we offer pursuant to this prospectus may be fully and unconditionally guaranteed by certain of our subsidiaries.</w:t>
      </w:r>
    </w:p>
    <w:p>
      <w:pPr>
        <w:spacing w:after="0" w:line="172" w:lineRule="exact"/>
        <w:rPr>
          <w:sz w:val="20"/>
          <w:szCs w:val="20"/>
          <w:color w:val="auto"/>
        </w:rPr>
      </w:pPr>
    </w:p>
    <w:p>
      <w:pPr>
        <w:ind w:left="200" w:right="20" w:firstLine="331"/>
        <w:spacing w:after="0" w:line="297" w:lineRule="auto"/>
        <w:rPr>
          <w:sz w:val="20"/>
          <w:szCs w:val="20"/>
          <w:color w:val="auto"/>
        </w:rPr>
      </w:pPr>
      <w:r>
        <w:rPr>
          <w:rFonts w:ascii="Arial" w:cs="Arial" w:eastAsia="Arial" w:hAnsi="Arial"/>
          <w:sz w:val="15"/>
          <w:szCs w:val="15"/>
          <w:color w:val="auto"/>
        </w:rPr>
        <w:t>This prospectus provides you with a general description of the securities that may be offered. Each time securities are offered, we will provide a prospectus supplement and attach it to this prospectus. The prospectus supplement will contain more specific information about the offering and the terms of the securities being offered, including any guarantees by our subsidiaries. A prospectus supplement may also add, update or change information contained in this prospectus. This prospectus may not be used to offer or sell securities without a prospectus supplement describing the method and terms of the offering.</w:t>
      </w:r>
    </w:p>
    <w:p>
      <w:pPr>
        <w:spacing w:after="0" w:line="173" w:lineRule="exact"/>
        <w:rPr>
          <w:sz w:val="20"/>
          <w:szCs w:val="20"/>
          <w:color w:val="auto"/>
        </w:rPr>
      </w:pPr>
    </w:p>
    <w:p>
      <w:pPr>
        <w:ind w:left="200" w:right="280" w:firstLine="331"/>
        <w:spacing w:after="0" w:line="324" w:lineRule="auto"/>
        <w:rPr>
          <w:sz w:val="20"/>
          <w:szCs w:val="20"/>
          <w:color w:val="auto"/>
        </w:rPr>
      </w:pPr>
      <w:r>
        <w:rPr>
          <w:rFonts w:ascii="Arial" w:cs="Arial" w:eastAsia="Arial" w:hAnsi="Arial"/>
          <w:sz w:val="14"/>
          <w:szCs w:val="14"/>
          <w:color w:val="auto"/>
        </w:rPr>
        <w:t>We may sell these securities directly or through agents, underwriters or dealers, or through a combination of these methods. See “Plan of Distribution.” The prospectus supplement will list any agents, underwriters or dealers that may be involved and the compensation they will receive. The prospectus supplement will also show you the total amount of money that we will receive from selling the securities being offered, after the expenses of the offering. You should carefully read this prospectus and any accompanying prospectus supplement, together with the documents we incorporate by reference, before you invest in any of our securities.</w:t>
      </w:r>
    </w:p>
    <w:p>
      <w:pPr>
        <w:spacing w:after="0" w:line="144" w:lineRule="exact"/>
        <w:rPr>
          <w:sz w:val="20"/>
          <w:szCs w:val="20"/>
          <w:color w:val="auto"/>
        </w:rPr>
      </w:pPr>
    </w:p>
    <w:p>
      <w:pPr>
        <w:jc w:val="both"/>
        <w:ind w:left="200" w:right="80" w:firstLine="441"/>
        <w:spacing w:after="0" w:line="273"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any of our securities involves risk. Please read carefully the information included and incorporated by reference in this prospectus and in any applicable prospectus supplement for a discussion of the factors you should consider before deciding to purchase our securities. See “</w:t>
      </w:r>
      <w:hyperlink w:anchor="page26">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6 of this prospectus.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common stock is listed on the New York Stock Exchange under the symbol “CRC.”</w:t>
      </w:r>
    </w:p>
    <w:p>
      <w:pPr>
        <w:spacing w:after="0" w:line="231" w:lineRule="exact"/>
        <w:rPr>
          <w:sz w:val="20"/>
          <w:szCs w:val="20"/>
          <w:color w:val="auto"/>
        </w:rPr>
      </w:pPr>
    </w:p>
    <w:p>
      <w:pPr>
        <w:ind w:left="200" w:right="40" w:firstLine="331"/>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This prospectus is dated November 16, 2018.</w:t>
      </w:r>
    </w:p>
    <w:p>
      <w:pPr>
        <w:sectPr>
          <w:pgSz w:w="11900" w:h="16838" w:orient="portrait"/>
          <w:cols w:equalWidth="0" w:num="1">
            <w:col w:w="11220"/>
          </w:cols>
          <w:pgMar w:left="240" w:top="459" w:right="4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8840" w:type="dxa"/>
            <w:vAlign w:val="bottom"/>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2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2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ABOUT THIS PROSPECTUS</w:t>
              </w:r>
            </w:hyperlink>
          </w:p>
        </w:tc>
        <w:tc>
          <w:tcPr>
            <w:tcW w:w="6400" w:type="dxa"/>
            <w:vAlign w:val="bottom"/>
            <w:gridSpan w:val="7"/>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WHERE YOU CAN FIND MORE INFORMATION</w:t>
              </w:r>
            </w:hyperlink>
          </w:p>
        </w:tc>
        <w:tc>
          <w:tcPr>
            <w:tcW w:w="482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8640" w:type="dxa"/>
            <w:vAlign w:val="bottom"/>
            <w:gridSpan w:val="1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CAUTIONARY STATEMENT REGARDING FORWARD-LOOKING STATEMENTS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6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THE COMPANY</w:t>
              </w:r>
            </w:hyperlink>
          </w:p>
        </w:tc>
        <w:tc>
          <w:tcPr>
            <w:tcW w:w="23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736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8640" w:type="dxa"/>
            <w:vAlign w:val="bottom"/>
            <w:gridSpan w:val="1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640" w:type="dxa"/>
            <w:vAlign w:val="bottom"/>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DEBT SECURITIES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DESCRIPTION OF CAPITAL STOCK</w:t>
              </w:r>
            </w:hyperlink>
          </w:p>
        </w:tc>
        <w:tc>
          <w:tcPr>
            <w:tcW w:w="140" w:type="dxa"/>
            <w:vAlign w:val="bottom"/>
            <w:tcBorders>
              <w:top w:val="single" w:sz="8" w:color="0000EE"/>
            </w:tcBorders>
          </w:tcPr>
          <w:p>
            <w:pPr>
              <w:spacing w:after="0"/>
              <w:rPr>
                <w:sz w:val="17"/>
                <w:szCs w:val="17"/>
                <w:color w:val="auto"/>
              </w:rPr>
            </w:pPr>
          </w:p>
        </w:tc>
        <w:tc>
          <w:tcPr>
            <w:tcW w:w="562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8640" w:type="dxa"/>
            <w:vAlign w:val="bottom"/>
            <w:gridSpan w:val="1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DEPOSITARY SHARES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00" w:type="dxa"/>
            <w:vAlign w:val="bottom"/>
          </w:tcPr>
          <w:p>
            <w:pPr>
              <w:spacing w:after="0"/>
              <w:rPr>
                <w:sz w:val="17"/>
                <w:szCs w:val="17"/>
                <w:color w:val="auto"/>
              </w:rPr>
            </w:pPr>
          </w:p>
        </w:tc>
        <w:tc>
          <w:tcPr>
            <w:tcW w:w="33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WARRANTS</w:t>
              </w:r>
            </w:hyperlink>
          </w:p>
        </w:tc>
        <w:tc>
          <w:tcPr>
            <w:tcW w:w="532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7"/>
              </w:rPr>
            </w:pPr>
            <w:hyperlink w:anchor="page46">
              <w:r>
                <w:rPr>
                  <w:rFonts w:ascii="Arial" w:cs="Arial" w:eastAsia="Arial" w:hAnsi="Arial"/>
                  <w:sz w:val="18"/>
                  <w:szCs w:val="18"/>
                  <w:color w:val="0000EE"/>
                  <w:w w:val="97"/>
                </w:rPr>
                <w:t>PLAN OF DISTRIBUTION</w:t>
              </w:r>
            </w:hyperlink>
          </w:p>
        </w:tc>
        <w:tc>
          <w:tcPr>
            <w:tcW w:w="420" w:type="dxa"/>
            <w:vAlign w:val="bottom"/>
            <w:tcBorders>
              <w:top w:val="single" w:sz="8" w:color="0000EE"/>
            </w:tcBorders>
            <w:gridSpan w:val="2"/>
          </w:tcPr>
          <w:p>
            <w:pPr>
              <w:spacing w:after="0"/>
              <w:rPr>
                <w:sz w:val="17"/>
                <w:szCs w:val="17"/>
                <w:color w:val="auto"/>
              </w:rPr>
            </w:pPr>
          </w:p>
        </w:tc>
        <w:tc>
          <w:tcPr>
            <w:tcW w:w="616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48">
              <w:r>
                <w:rPr>
                  <w:rFonts w:ascii="Arial" w:cs="Arial" w:eastAsia="Arial" w:hAnsi="Arial"/>
                  <w:sz w:val="18"/>
                  <w:szCs w:val="18"/>
                  <w:color w:val="0000EE"/>
                  <w:w w:val="96"/>
                </w:rPr>
                <w:t>LEGAL MATTERS</w:t>
              </w:r>
            </w:hyperlink>
          </w:p>
        </w:tc>
        <w:tc>
          <w:tcPr>
            <w:tcW w:w="718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EXPERTS</w:t>
              </w:r>
            </w:hyperlink>
          </w:p>
        </w:tc>
        <w:tc>
          <w:tcPr>
            <w:tcW w:w="7860" w:type="dxa"/>
            <w:vAlign w:val="bottom"/>
            <w:gridSpan w:val="1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00" w:right="100" w:firstLine="441"/>
        <w:spacing w:after="0" w:line="271"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and any prospectus supplement. We have not authorized any dealer, salesman or other person to provide you with additional or different information. If anyone provides you with different or inconsistent information, you should not rely on it.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(the “SEC”), using a “shelf” registration process. Under this shelf registration process, we may offer and sell any combination of the securities described in this prospectus in one or more offerings. This prospectus provides you with a general description of the securities we may offer. Each time we sell securities, we will provide you with a prospectus supplement that will contain specific information about the terms of the offering and the offered securities. The prospectus supplement may also add, update or change information contained in this prospectus. Any statement that we make in this prospectus will be modified or superseded by any inconsistent statement made by us in a prospectus supplement.</w:t>
      </w:r>
    </w:p>
    <w:p>
      <w:pPr>
        <w:spacing w:after="0" w:line="17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Additional information, including our financial statements and the notes thereto, is incorporated in this prospectus by reference to our reports filed with the SEC. Please read “Where You Can Find More Information” below. You are urged to read this prospectus carefully, including “Risk Factors,” any prospectus supplement and the documents incorporated by reference in their entirety before investing in our securities.</w:t>
      </w:r>
    </w:p>
    <w:p>
      <w:pPr>
        <w:spacing w:after="0" w:line="166"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Unless the context requires otherwise or unless otherwise noted, all references in this prospectus or any accompanying prospectus supplement to “CRC,” the “Company,” “we,” “us” or “our” are to California Resources Corporation and its subsidiaries.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We file annual, quarterly and current reports and other information with the SEC (File No. 001-36478) pursuant to the Securities Exchange Act of 1934 (the “Exchange Act”). You may read and copy any documents that are filed at the SEC’s public reference room at 100 F Street, N.E., Washington, D.C. 20549. You may also obtain copies of these documents at prescribed rates from the public reference section of the SEC at its Washington address. Please call the SEC at 1-800-SEC-0330 for further information.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Our filings are also available to the public through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2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SEC allows us to “incorporate by reference” information that we file with it, which means that we can disclose important information to you by referring you to documents previously filed with the SEC. The information incorporated by reference is an important part of this prospectus, and the information that we later file with the SEC will automatically update and supersede this information. The following documents that we filed with the SEC pursuant to the Exchange Act are incorporated herein by reference:</w:t>
      </w:r>
    </w:p>
    <w:p>
      <w:pPr>
        <w:spacing w:after="0" w:line="92" w:lineRule="exact"/>
        <w:rPr>
          <w:sz w:val="20"/>
          <w:szCs w:val="20"/>
          <w:color w:val="auto"/>
        </w:rPr>
      </w:pPr>
    </w:p>
    <w:p>
      <w:pPr>
        <w:ind w:left="1060" w:right="140" w:hanging="316"/>
        <w:spacing w:after="0" w:line="34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Annual Report on Form 10-K for the year ended December 31, 2017, including information specifically incorporated by reference into such Annual Report on Form 10-K from our Proxy Statement for our 2018 Annual Meeting of Stockholders filed on March 27, 2018;</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Quarterly Reports on Form 10-Q for the quarterly periods ended March 31, 2018, June 30, 2018 and September 30, 2018;</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Reports on Form 8-K or Form 8-K/A filed on January 19, 2018, February 7, 2018, April 9, 2018, April 11, 2018, May 14, 2018, August 24, 2018 and September 18, 2018; and</w:t>
      </w:r>
    </w:p>
    <w:p>
      <w:pPr>
        <w:spacing w:after="0" w:line="75"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description of our capital stock contained in our information statement on Form 10 filed on October 8, 2014, including any amendment to that form that we may file in the future for the purpose of updating the description of our capital stock.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reports contain important information about us, our financial condition and our results of operations.</w:t>
      </w:r>
    </w:p>
    <w:p>
      <w:pPr>
        <w:spacing w:after="0" w:line="225"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All documents subsequently filed pursuant to Sections 13(a), 13(c), 14 or 15(d) of the Exchange Act (excluding any information furnished pursuant to Item 2.02 or Item 7.01 on any Current Report on Form 8-K)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before the termination of each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modifies or supersedes such statement.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 and telephone number:</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California Resources Corporation</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27200 Tourney Road, Suite 315</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Santa Clarita, CA 91355 Phone: (888) 848-4754</w:t>
      </w:r>
    </w:p>
    <w:p>
      <w:pPr>
        <w:spacing w:after="0" w:line="1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information in this prospectus, including the documents incorporated by reference herein, includes “forward-looking statements.” The factors identified in this cautionary statement are important factors (but not necessarily all of the important factors) that could cause actual results to differ materially from those expressed in any forward-looking statement made by us, or on our behalf. You can typically identify “forward-looking statements” by the use of words such as “aim,” “anticipate,” “believe,” “continue,” “could,” “estimate,” “expect,” “goal,” “intend,” “likely,” “may,” “might,” “plan,” “potential,” “project,” “seek,” “should,” “target,” “will” or “would” and other similar words. Such statements specifically include expectations as to our future financial position, liquidity, cash flows and results of operations, business prospects, transactions and projects, operating costs, value creation index metrics (which are based on certain estimates including future rates, costs and commodity prices), operations and operational results including production, hedging and capital investment, budgets and maintenance capital requirements and reserves. 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When considering forward-looking statements, you should keep in mind the risk factors and other cautionary statements described under the heading “Risk Factors” included in this prospectus.</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Factors (but not necessarily all of the factors) that could cause actual results to differ materially from those expressed in any forward-looking statement made by, or on behalf of, our company include:</w:t>
      </w:r>
    </w:p>
    <w:p>
      <w:pPr>
        <w:spacing w:after="0" w:line="76"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commodity price changes;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limitations on its financial flexibility;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debt repurchases or changes to our capital plan;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enter desirable transactions, including acquisitions, asset sales and joint ventures;</w:t>
      </w:r>
    </w:p>
    <w:p>
      <w:pPr>
        <w:spacing w:after="0" w:line="130"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its products;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joint venture and acquisition activities and our ability to achieve expected synergies;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PSC effects on production and unit production costs;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insufficient capital, including as a result of lender restrictions, unavailability of capital markets or inability to attract potential investors;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6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due to accidents, mechanical failures, transportation or storage constraints, natural disasters, labor difficulties, cyber-attacks or other catastrophic events.</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Readers are cautioned not to place undue reliance on forward-looking statements, which speak only as of the date they are made. Unless legally required, we undertake no responsibility to publicly release the result of any revision of our forward-looking statements after the date they are made. Should one or more of the risks or uncertainties described in this prospectus or the documents incorporated by reference herein occur, or should underlying assumptions prove incorrect, our actual results and plans could differ materially from those expressed in any forward-looking statements. All forward-looking statements, expressed or implied, included in this prospectus and incorporated by reference herein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are an independent oil and natural gas exploration and production company operating properties within California. We are the largest oil and gas producer in California on a gross operated basis and we believe we have the largest privately held mineral acreage position in the state, consisting of approximately 2.3 million net mineral acres spanning the state’s four major oil and gas basins. We produced approximately 136 thousand barrels of oil equivalent per day (MBoe/d) for the three months ended September 30, 2018. As of December 31, 2017, we had net proved reserves of 618 million barrels of oil equivalent (MMBoe), of which approximately 71% was categorized as proved developed reserves. Oil represented 72% of our proved reserves. We were formed in April 2014 and listed on the New York Stock Exchange on December 1, 2014.</w:t>
      </w:r>
    </w:p>
    <w:p>
      <w:pPr>
        <w:spacing w:after="0" w:line="17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Our principal executive offices are located at 27200 Tourney Road, Suite 315, Santa Clarita, CA 91355. Our telephone number is (888) 848-4754. Our website is located at www.crc.com. Unless indicated otherwise, no information is incorporated herein by reference from our website or any other website and no website constitutes a part of this prospectus. Our common stock is listed on the NYSE under the symbol “CRC.”</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An investment in our securities involves a significant degree of risk. Before you invest in our securities you should carefully consider those risk factors included in our most recent Annual Report on Form 10-K, any subsequently filed Quarterly Reports on Form 10-Q and any subsequently filed Current Reports on Form 8-K,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If any of the risks discussed in the foregoing documents were to occur, our business, financial condition, results of operations and cash flows could be materially adversely affected. Please read “Cautionary Statement Regarding Forward-Looking Statements.”</w:t>
      </w:r>
    </w:p>
    <w:p>
      <w:pPr>
        <w:spacing w:after="0" w:line="12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240" w:top="459" w:right="5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Except as may otherwise be stated in any prospectus supplement, we intend to use the net proceeds from any sales of securities by us under this prospectus for general corporate purposes, which may include, among other things, repayment or refinancing of borrowings, working capital, capital expenditures, investments and acquisitions. Pending any specific application, we may initially invest funds in short-term marketable securities or apply them to repayments of outstanding indebtedness.</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240" w:top="459" w:right="5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debt securities will be either our senior debt securities (“Senior Debt Securities”) or our subordinated debt securities (“Subordinated Debt Securities,” and together with the Senior Debt Securities, “Debt Securities”). The Senior Debt Securities and the Subordinated Debt Securities will be issued under separate indentures among us, the Subsidiary Guarantors (as defined below) of such Debt Securities, if any, and a trustee to be determined (the “Trustee”). Senior Debt Securities will be issued under a “Senior Indenture” and Subordinated Debt Securities will be issued under a “Subordinated Indenture.” Together, the Senior Indenture and the Subordinated Indenture are called “Indentures.”</w:t>
      </w:r>
    </w:p>
    <w:p>
      <w:pPr>
        <w:spacing w:after="0" w:line="173" w:lineRule="exact"/>
        <w:rPr>
          <w:sz w:val="20"/>
          <w:szCs w:val="20"/>
          <w:color w:val="auto"/>
        </w:rPr>
      </w:pPr>
    </w:p>
    <w:p>
      <w:pPr>
        <w:jc w:val="both"/>
        <w:ind w:left="200" w:right="340" w:firstLine="441"/>
        <w:spacing w:after="0" w:line="277" w:lineRule="auto"/>
        <w:rPr>
          <w:sz w:val="20"/>
          <w:szCs w:val="20"/>
          <w:color w:val="auto"/>
        </w:rPr>
      </w:pPr>
      <w:r>
        <w:rPr>
          <w:rFonts w:ascii="Arial" w:cs="Arial" w:eastAsia="Arial" w:hAnsi="Arial"/>
          <w:sz w:val="18"/>
          <w:szCs w:val="18"/>
          <w:color w:val="auto"/>
        </w:rPr>
        <w:t>The Debt Securities may be issued from time to time in one or more series. The particular terms of each series that are offered by a prospectus supplement will be described in the prospectus supplement.</w:t>
      </w:r>
    </w:p>
    <w:p>
      <w:pPr>
        <w:spacing w:after="0" w:line="170" w:lineRule="exact"/>
        <w:rPr>
          <w:sz w:val="20"/>
          <w:szCs w:val="20"/>
          <w:color w:val="auto"/>
        </w:rPr>
      </w:pPr>
    </w:p>
    <w:p>
      <w:pPr>
        <w:jc w:val="both"/>
        <w:ind w:left="200" w:right="320" w:firstLine="441"/>
        <w:spacing w:after="0" w:line="286" w:lineRule="auto"/>
        <w:rPr>
          <w:sz w:val="20"/>
          <w:szCs w:val="20"/>
          <w:color w:val="auto"/>
        </w:rPr>
      </w:pPr>
      <w:r>
        <w:rPr>
          <w:rFonts w:ascii="Arial" w:cs="Arial" w:eastAsia="Arial" w:hAnsi="Arial"/>
          <w:sz w:val="17"/>
          <w:szCs w:val="17"/>
          <w:color w:val="auto"/>
        </w:rPr>
        <w:t>Unless the Debt Securities are guaranteed by our subsidiaries as described below, the rights of CRC and our creditors, including holders of the Debt Securities, to participate in the assets of any subsidiary upon the latter’s liquidation or reorganization, will be subject to the prior claims of the subsidiary’s creditors, except to the extent that we may ourself be a creditor with recognized claims against such subsidiary.</w:t>
      </w:r>
    </w:p>
    <w:p>
      <w:pPr>
        <w:spacing w:after="0" w:line="166"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We have summarized selected provisions of the Indentures below. The summary is not complete. The form of each Indenture has been filed with the SEC as an exhibit to the registration statement of which this prospectus is a part, and you should read the Indentures for provisions that may be important to you. Capitalized terms used in the below summary but not otherwise defined herein have the meanings specified in the Indentures.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500" w:firstLine="441"/>
        <w:spacing w:after="0" w:line="259" w:lineRule="auto"/>
        <w:rPr>
          <w:sz w:val="20"/>
          <w:szCs w:val="20"/>
          <w:color w:val="auto"/>
        </w:rPr>
      </w:pPr>
      <w:r>
        <w:rPr>
          <w:rFonts w:ascii="Arial" w:cs="Arial" w:eastAsia="Arial" w:hAnsi="Arial"/>
          <w:sz w:val="18"/>
          <w:szCs w:val="18"/>
          <w:color w:val="auto"/>
        </w:rPr>
        <w:t>The Indentures provide that Debt Securities in separate series may be issued thereunder from time to time without limitation as to aggregate principal amount. We may specify a maximum aggregate principal amount for the Debt Securities of any series. We will determine the terms and conditions of the Debt Securities, including the maturity, principal and interest, but those terms must be consistent with the Indentures. The Debt Securities will be our unsecured obligations.</w:t>
      </w:r>
    </w:p>
    <w:p>
      <w:pPr>
        <w:spacing w:after="0" w:line="18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The Subordinated Debt Securities will be subordinated in right of payment to the prior payment in full of all of our Senior Debt (as defined in the Subordinated Indenture) as described under “— Subordination of Subordinated Debt Securities” and in the prospectus supplement applicable to any Subordinated Debt Securities. If the prospectus supplement so indicates, the Debt Securities will be convertible into our common stock.</w:t>
      </w:r>
    </w:p>
    <w:p>
      <w:pPr>
        <w:spacing w:after="0" w:line="166"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If specified in the prospectus supplement respecting a particular series of Debt Securities, certain of our subsidiaries named herein (each a “Subsidiary Guarantor”) will fully and unconditionally guarantee (the “Subsidiary Guarantee”) that series as described in the prospectus supplement. Each Subsidiary Guarantee will be an unsecured obligation of the Subsidiary Guarantor. A Subsidiary Guarantee of Subordinated Debt Securities will be subordinated to the Senior Debt of the Subsidiary Guarantor on the same basis as the Subordinated Debt Securities are subordinated to our Senior Debt.</w:t>
      </w:r>
    </w:p>
    <w:p>
      <w:pPr>
        <w:spacing w:after="0" w:line="15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applicable prospectus supplement will set forth the price or prices at which the Debt Securities to be issued will be offered for sale and will describe the following terms of such Debt Securities:</w:t>
      </w:r>
    </w:p>
    <w:p>
      <w:pPr>
        <w:spacing w:after="0" w:line="76" w:lineRule="exact"/>
        <w:rPr>
          <w:sz w:val="20"/>
          <w:szCs w:val="20"/>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Securities are Senior Debt Securities or Subordinated Debt Securities and, if Subordinated Debt Securities, the related subordination terms;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any Subsidiary Guarantor will provide a Subsidiary Guarantee of the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date on which the principal of the Debt Securities will be payable;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place where payments on the Debt Securities will be payable;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terms upon which the Debt Securities may be redeemed, in whole or in part, at our option;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redeem or otherwise repurchase the Debt Securities;</w:t>
      </w:r>
    </w:p>
    <w:p>
      <w:pPr>
        <w:spacing w:after="0" w:line="130" w:lineRule="exact"/>
        <w:rPr>
          <w:rFonts w:ascii="Arial" w:cs="Arial" w:eastAsia="Arial" w:hAnsi="Arial"/>
          <w:sz w:val="18"/>
          <w:szCs w:val="18"/>
          <w:color w:val="auto"/>
        </w:rPr>
      </w:pPr>
    </w:p>
    <w:p>
      <w:pPr>
        <w:ind w:left="1060" w:right="58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portion of the principal amount, if less than all, of the Debt Securities that will be payable upon declaration of acceleration of the maturity of the Debt Securities;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are defeasible;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(as defined below);</w:t>
      </w:r>
    </w:p>
    <w:p>
      <w:pPr>
        <w:spacing w:after="0" w:line="130" w:lineRule="exact"/>
        <w:rPr>
          <w:rFonts w:ascii="Arial" w:cs="Arial" w:eastAsia="Arial" w:hAnsi="Arial"/>
          <w:sz w:val="18"/>
          <w:szCs w:val="18"/>
          <w:color w:val="auto"/>
        </w:rPr>
      </w:pPr>
    </w:p>
    <w:p>
      <w:pPr>
        <w:ind w:left="1060" w:right="480" w:hanging="424"/>
        <w:spacing w:after="0" w:line="308"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whether the Debt Securities are convertible into our common stock and, if so, the terms and conditions upon which conversion will be effected, including the initial conversion price or conversion rate and any adjustments thereto and the conversion period;</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addition to or change in the covenants in the Indenture applicable to the Debt Securities;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provisions of the Indenture.</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Debt Securities, including any Debt Securities that provide for an amount less than the principal amount thereof to be due and payable upon a declaration of acceleration of the maturity thereof (“Original Issue Discount Securities”), may be sold at a substantial discount below their principal amount. Special United States federal income tax considerations applicable to Debt Securities sold at an original issue discount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12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The indebtedness evidenced by the Subordinated Debt Securities will, to the extent set forth in the Subordinated Indenture with respect to each series of Subordinated Debt Securities, be subordinated in right of payment to the prior payment in full of all of our Senior Debt, including the Senior Debt Securities, and it may also be senior or subordinated in right of payment to certain of our other Subordinated Debt. The prospectus supplement relating to any Subordinated Debt Securities will summarize the subordination provisions of the Subordinated Indenture applicable to that series including:</w:t>
      </w:r>
    </w:p>
    <w:p>
      <w:pPr>
        <w:spacing w:after="0" w:line="94" w:lineRule="exact"/>
        <w:rPr>
          <w:sz w:val="20"/>
          <w:szCs w:val="20"/>
          <w:color w:val="auto"/>
        </w:rPr>
      </w:pPr>
    </w:p>
    <w:p>
      <w:pPr>
        <w:ind w:left="1060" w:right="100" w:hanging="316"/>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applicability and effect of such provisions upon any payment or distribution respecting that series following any liquidation, dissolution or other winding-up, or any assignment for the benefit of creditors or other marshalling of assets or any bankruptcy, insolvency or similar proceedings;</w:t>
      </w:r>
    </w:p>
    <w:p>
      <w:pPr>
        <w:spacing w:after="0" w:line="86" w:lineRule="exact"/>
        <w:rPr>
          <w:rFonts w:ascii="Arial" w:cs="Arial" w:eastAsia="Arial" w:hAnsi="Arial"/>
          <w:sz w:val="18"/>
          <w:szCs w:val="18"/>
          <w:color w:val="auto"/>
        </w:rPr>
      </w:pPr>
    </w:p>
    <w:p>
      <w:pPr>
        <w:ind w:left="1060" w:right="40" w:hanging="316"/>
        <w:spacing w:after="0" w:line="342"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applicability and effect of such provisions in the event of specified defaults with respect to any Senior Debt, including the circumstances under which, and the periods during which, we will be prohibited from making payments on the Subordinated Debt Securities; and</w:t>
      </w:r>
    </w:p>
    <w:p>
      <w:pPr>
        <w:spacing w:after="0" w:line="29" w:lineRule="exact"/>
        <w:rPr>
          <w:rFonts w:ascii="Arial" w:cs="Arial" w:eastAsia="Arial" w:hAnsi="Arial"/>
          <w:sz w:val="16"/>
          <w:szCs w:val="16"/>
          <w:color w:val="auto"/>
        </w:rPr>
      </w:pPr>
    </w:p>
    <w:p>
      <w:pPr>
        <w:ind w:left="1060" w:right="2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definition of Senior Debt applicable to the Subordinated Debt Securities of that series and, if the series is issued on a senior subordinated basis, the definition of Subordinated Debt applicable to that series.</w:t>
      </w:r>
    </w:p>
    <w:p>
      <w:pPr>
        <w:spacing w:after="0" w:line="170"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The prospectus supplement will also describe as of a recent date the approximate amount of Senior Debt to which the Subordinated Debt Securities of that series will be subordinated.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The failure to make any payment on any of the Subordinated Debt Securities by reason of the subordination provisions of the Subordinated Indenture described in the prospectus supplement will not be construed as preventing the occurrence of an Event of Default with respect to the Subordinated Debt Securities arising from any such failure to make payment.</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subordination provisions described above will not be applicable to payments in respect of the Subordinated Debt Securities from a defeasance trust established in connection with any legal defeasance or covenant defeasance of the Subordinated Debt Securities as described under “— Legal Defeasance and Covenant Defeasance.”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Subsidiary Guarantee</w:t>
      </w:r>
    </w:p>
    <w:p>
      <w:pPr>
        <w:spacing w:after="0" w:line="121" w:lineRule="exact"/>
        <w:rPr>
          <w:sz w:val="20"/>
          <w:szCs w:val="20"/>
          <w:color w:val="auto"/>
        </w:rPr>
      </w:pPr>
    </w:p>
    <w:p>
      <w:pPr>
        <w:jc w:val="both"/>
        <w:ind w:left="200" w:right="660" w:firstLine="441"/>
        <w:spacing w:after="0" w:line="342" w:lineRule="auto"/>
        <w:rPr>
          <w:sz w:val="20"/>
          <w:szCs w:val="20"/>
          <w:color w:val="auto"/>
        </w:rPr>
      </w:pPr>
      <w:r>
        <w:rPr>
          <w:rFonts w:ascii="Arial" w:cs="Arial" w:eastAsia="Arial" w:hAnsi="Arial"/>
          <w:sz w:val="16"/>
          <w:szCs w:val="16"/>
          <w:color w:val="auto"/>
        </w:rPr>
        <w:t>If specified in the prospectus supplement, one or more of the Subsidiary Guarantors will guarantee the Debt Securities of a series. Unless otherwise indicated in the prospectus supplement, the following provisions will apply to the Subsidiary Guarantee of any Subsidiary Guarantor.</w:t>
      </w:r>
    </w:p>
    <w:p>
      <w:pPr>
        <w:spacing w:after="0" w:line="124"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Subject to the limitations described below and in the prospectus supplement, one or more of the Subsidiary Guarantors will jointly and severally, fully and unconditionally guarantee the punctual payment when due, whether at stated maturity, by acceleration or otherwise, of all our payment obligations under the Indentures and the Debt Securities of a series, whether for principal of, premium, if any, or interest on the Debt Securities or otherwise. The Subsidiary Guarantors will also pay all expenses (including reasonable counsel fees and expenses) incurred by the applicable Trustee in enforcing any rights under a Subsidiary Guarantee with respect to a Subsidiary Guarantor.</w:t>
      </w:r>
    </w:p>
    <w:p>
      <w:pPr>
        <w:spacing w:after="0" w:line="173"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the case of Subordinated Debt Securities, each Subsidiary Guarantee will be subordinated in right of payment to the Senior Debt of such Subsidiary Guarantor on the same basis as the Subordinated Debt Securities are subordinated to our Senior Debt. No payment will be made by any Subsidiary Guarantor under its Subsidiary Guarantee during any period in which payments by us on the Subordinated Debt Securities are suspended by the subordination provisions of the Subordinated Indenture.</w:t>
      </w:r>
    </w:p>
    <w:p>
      <w:pPr>
        <w:spacing w:after="0" w:line="187"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Each Subsidiary Guarantee will be limited in amount to an amount not to exceed the maximum amount that can be guaranteed by the relevant Subsidiary Guarantor without rendering such Subsidiary Guarantee voidable under applicable law relating to fraudulent conveyance or fraudulent transfer or similar laws affecting the rights of creditors generally.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Subsidiary Guarantee will be a continuing guarantee and will:</w:t>
      </w:r>
    </w:p>
    <w:p>
      <w:pPr>
        <w:spacing w:after="0" w:line="131" w:lineRule="exact"/>
        <w:rPr>
          <w:sz w:val="20"/>
          <w:szCs w:val="20"/>
          <w:color w:val="auto"/>
        </w:rPr>
      </w:pPr>
    </w:p>
    <w:p>
      <w:pPr>
        <w:ind w:left="1060" w:right="360" w:hanging="424"/>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remain in full force and effect until either (a) payment in full of all the applicable Debt Securities (or such Debt Securities are otherwise satisfied and discharged in accordance with the provisions of the applicable Indenture) or (b) released as described in the following paragraph;</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binding upon each Subsidiary Guarantor;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inure to the benefit of and be enforceable by the applicable Trustee, the holders and their successors, transferees and assigns.</w:t>
      </w:r>
    </w:p>
    <w:p>
      <w:pPr>
        <w:spacing w:after="0" w:line="22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the event that (a) a Subsidiary Guarantor ceases to be a subsidiary, (b) either legal defeasance or covenant defeasance occurs with respect to the series or (c) all or substantially all of the assets or all of the Capital Stock of such Subsidiary Guarantor is sold, including by way of sale, merger, consolidation or otherwise, such Subsidiary Guarantor will be released and discharged of its obligations under its Subsidiary Guarantee without any further action required on the part of the Trustee or any holder, and no other person acquiring or owning the assets or Capital Stock of such Subsidiary Guarantor will be required to enter into a Subsidiary Guarantee. In addition, the prospectus supplement may specify additional circumstances under which a Subsidiary Guarantor can be released from its Subsidiary Guarantee.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Debt Securities of each series will be issuable only in fully registered form, without coupons, and, unless otherwise specified in the applicable prospectus supplement, only in denominations of $1,000 and integral multiples thereof.</w:t>
      </w:r>
    </w:p>
    <w:p>
      <w:pPr>
        <w:spacing w:after="0" w:line="17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At the option of the holder, subject to the terms of the applicable Indenture and the limitations applicable to securities in global form (“Global Securities”), Debt Securities of each series will be exchangeable for other Debt Securities of the same series of any authorized denomination and of a like tenor and aggregate principal amount.</w:t>
      </w:r>
    </w:p>
    <w:p>
      <w:pPr>
        <w:spacing w:after="0" w:line="18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Subject to the terms of the applicable Indenture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transfer agent designated by us for such purpose. No service charge will be made for any registration of transfer or exchange of Debt Securities, but we may require payment of a sum sufficient to cover any tax or other governmental charge payable in that connection. Such transfer or exchange will be effected upon the Security Registrar or such transfer agent, as the case may be, being satisfied with the documents of title and identity of the person making the request. The Security Registrar and any other transfer agent initially designated by us for any Debt Securities will be named in the applicable prospectus supplement.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2"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If the Debt Securities of any series (or of any series and specified tenor) are to be redeemed in part, we will not be required to (1) issue, register the transfer of or exchange any Debt 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(2) register the transfer of or exchange any Debt Security so selected for redemption, in whole or in part, except the unredeemed portion of any such Debt Security being redeemed in part.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Some or all of the Debt Securities of any series may be represented, in whole or in part, by one or more Global Securities that will have an aggregate principal amount equal to that of the Debt Securities they represent. Each Global Security will be registered in the name of a Depositary or its nominee identified in the applicable prospectus supplement, will be deposited with such Depositary or nominee or its custodian and will bear a legend regarding the restrictions on exchanges and registration of transfer thereof referred to below and any such other matters as may be provided for pursuant to the applicable Indenture.</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Notwithstanding any provision of the Indentures or any Debt Security described in this prospectus,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w:t>
      </w:r>
    </w:p>
    <w:p>
      <w:pPr>
        <w:spacing w:after="0" w:line="87" w:lineRule="exact"/>
        <w:rPr>
          <w:sz w:val="20"/>
          <w:szCs w:val="20"/>
          <w:color w:val="auto"/>
        </w:rPr>
      </w:pPr>
    </w:p>
    <w:p>
      <w:pPr>
        <w:ind w:left="1060" w:right="140" w:hanging="424"/>
        <w:spacing w:after="0" w:line="342"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Depositary has notified us that it is unwilling or unable to continue as Depositary for such Global Security or has ceased to be qualified to act as such as required by the applicable Indenture, and in either case we fail to appoint a successor Depositary within 90 days;</w:t>
      </w:r>
    </w:p>
    <w:p>
      <w:pPr>
        <w:spacing w:after="0" w:line="29" w:lineRule="exact"/>
        <w:rPr>
          <w:rFonts w:ascii="Arial" w:cs="Arial" w:eastAsia="Arial" w:hAnsi="Arial"/>
          <w:sz w:val="16"/>
          <w:szCs w:val="16"/>
          <w:color w:val="auto"/>
        </w:rPr>
      </w:pPr>
    </w:p>
    <w:p>
      <w:pPr>
        <w:ind w:left="1060" w:right="18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Event of Default with respect to the Debt Securities represented by such Global Security has occurred and is continuing and the Trustee has received a written request from the Depositary to issue certificated Debt Securities;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the rules of the Depositary, we shall have elected to terminate the book-entry system through the Depositary; or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circumstances exist, in addition to or in lieu of those described above, as may be described in the applicable prospectus supplement.</w:t>
      </w:r>
    </w:p>
    <w:p>
      <w:pPr>
        <w:spacing w:after="0" w:line="24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All certificated Debt Securities issued in exchange for a Global Security or any portion thereof will be registered in such names as the Depositary may direct.</w:t>
      </w:r>
    </w:p>
    <w:p>
      <w:pPr>
        <w:spacing w:after="0" w:line="170"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As long as the Depositary, or its nominee, is the registered holder of a Global Security, the Depositary or such nominee, as the case may be, will be considered the sole owner and holder of such Global Security and the Debt Securities that it represents for all purposes under the Debt Securities and the applicable Indenture. Except in the limited circumstances referred to above, owners of beneficial interests in a Global Security will not be entitled to have such Global Security or any Debt Securities that it represents registered in their names, will not receive or be entitled to receive physical delivery of certificated Debt Securities in exchange for those interests and will not be considered to be the owners or holders of such Global Security or any Debt Securities that it represents for any purpose under the Debt Securities or the applicable Indenture. All payments on a Global Security will be made to the Depositary or its nominee, as the case may be, as the holder of the security. The laws of some jurisdictions may require that some purchasers of Debt Securities take physical delivery of such Debt Securities in certificated form. These laws may impair the ability to transfer beneficial interests in a Global Security.</w:t>
      </w:r>
    </w:p>
    <w:p>
      <w:pPr>
        <w:spacing w:after="0" w:line="19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 matters relating to beneficial interests in a Global Security may be subject to various policies and procedures adopted by the Depositary from time to time. None of us, the Subsidiary Guarantors, the Trustees or the agents of us, the Subsidiary Guarantors or the Trustees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Unless otherwise indicated in the applicable prospectus supplement, payment of interest on a Debt Security on any Interest Payment Date will be made to the Person in whose name such Debt Security (or one or more Predecessor Securities) is registered at the close of business on the Regular Record Date for such interest.</w:t>
      </w:r>
    </w:p>
    <w:p>
      <w:pPr>
        <w:spacing w:after="0" w:line="18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form may be made by check mailed to the address of the Person entitled thereto as such address appears in the Security Register. Unless otherwise indicated in the applicable prospectus supplement, the corporate trust office of the Trustee under the Senior Indenture in The City of New York will be designated as sole Paying Agent for payments with respect to Senior Debt Securities of each series, and the corporate trust office of the Trustee under the Subordinated Indenture in The City of New York will be designated as the sole Paying Agent for payment with respect to Subordinated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All money paid by us to a Paying Agent for the payment of the principal of or any premium or interest on any Debt Security which remains unclaimed at the end of two years after such principal, premium or interest has become due and payable will be repaid to us, and the holder of such Debt Security thereafter may look only to us for payment.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Unless otherwise specified in the prospectus supplement, we may not consolidate with or merge into, or transfer, lease or otherwise dispose of all or substantially all of our assets to, any Person (a “Successor Person”), and may not permit any Person to consolidate with or merge into us, unless:</w:t>
      </w:r>
    </w:p>
    <w:p>
      <w:pPr>
        <w:spacing w:after="0" w:line="29" w:lineRule="exact"/>
        <w:rPr>
          <w:sz w:val="20"/>
          <w:szCs w:val="20"/>
          <w:color w:val="auto"/>
        </w:rPr>
      </w:pPr>
    </w:p>
    <w:p>
      <w:pPr>
        <w:ind w:left="1060" w:right="50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Successor Person (if not us) is a corporation, partnership, trust or other entity organized and validly existing under the laws of any domestic jurisdiction and assumes our obligations on the Debt Securities and under the Indentures;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has occurred and is continuing; and</w:t>
      </w:r>
    </w:p>
    <w:p>
      <w:pPr>
        <w:spacing w:after="0" w:line="130"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several other conditions, including any additional conditions with respect to any particular Debt Securities specified in the applicable prospectus supplement, are met.</w:t>
      </w:r>
    </w:p>
    <w:p>
      <w:pPr>
        <w:spacing w:after="0" w:line="170"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The Successor Person (if not us) will be substituted for us under the applicable Indenture with the same effect as if it had been an original party to such Indenture, and, except in the case of a lease, we will be relieved from any further obligations under such Indenture and the Debt Securities.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Unless otherwise specified in the prospectus supplement, each of the following will constitute an “Event of Default” under the applicable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Indenture with respect to Debt Securities of any series:</w:t>
      </w:r>
    </w:p>
    <w:p>
      <w:pPr>
        <w:spacing w:after="0" w:line="116" w:lineRule="exact"/>
        <w:rPr>
          <w:sz w:val="20"/>
          <w:szCs w:val="20"/>
          <w:color w:val="auto"/>
        </w:rPr>
      </w:pPr>
    </w:p>
    <w:p>
      <w:pPr>
        <w:ind w:left="1060" w:right="24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pay principal of or any premium on any Debt Security of that series when due, whether or not, in the case of Subordinated Debt Securities, such payment is prohibited by the subordination provisions of the Subordinated Indenture;</w:t>
      </w:r>
    </w:p>
    <w:p>
      <w:pPr>
        <w:spacing w:after="0" w:line="75" w:lineRule="exact"/>
        <w:rPr>
          <w:rFonts w:ascii="Arial" w:cs="Arial" w:eastAsia="Arial" w:hAnsi="Arial"/>
          <w:sz w:val="18"/>
          <w:szCs w:val="18"/>
          <w:color w:val="auto"/>
        </w:rPr>
      </w:pPr>
    </w:p>
    <w:p>
      <w:pPr>
        <w:ind w:left="1060" w:right="300" w:hanging="424"/>
        <w:spacing w:after="0" w:line="308"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to pay any interest on any Debt Securities of that series when due, which has continued for 30 days, whether or not, in the case of Subordinated Debt Securities, such payment is prohibited by the subordination provisions of the Subordinated Indenture;</w:t>
      </w:r>
    </w:p>
    <w:p>
      <w:pPr>
        <w:spacing w:after="0" w:line="51" w:lineRule="exact"/>
        <w:rPr>
          <w:rFonts w:ascii="Arial" w:cs="Arial" w:eastAsia="Arial" w:hAnsi="Arial"/>
          <w:sz w:val="17"/>
          <w:szCs w:val="17"/>
          <w:color w:val="auto"/>
        </w:rPr>
      </w:pPr>
    </w:p>
    <w:p>
      <w:pPr>
        <w:ind w:left="1060" w:right="740" w:hanging="424"/>
        <w:spacing w:after="0" w:line="342"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to deposit any sinking fund payment, when due, in respect of any Debt Security of that series, whether or not, in the case of Subordinated Debt Securities, such deposit is prohibited by the subordination provisions of the Subordinated Indenture;</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perform or comply with the provisions described under “— Consolidation, Merger and Sale of Assets”;</w:t>
      </w:r>
    </w:p>
    <w:p>
      <w:pPr>
        <w:spacing w:after="0" w:line="130" w:lineRule="exact"/>
        <w:rPr>
          <w:rFonts w:ascii="Arial" w:cs="Arial" w:eastAsia="Arial" w:hAnsi="Arial"/>
          <w:sz w:val="18"/>
          <w:szCs w:val="18"/>
          <w:color w:val="auto"/>
        </w:rPr>
      </w:pPr>
    </w:p>
    <w:p>
      <w:pPr>
        <w:ind w:left="1060" w:right="40" w:hanging="424"/>
        <w:spacing w:after="0" w:line="276"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to perform any of our other covenants in such Indenture (other than a covenant included in such Indenture solely for the benefit of a series other than that series), which has continued for 60 days after written notice has been given by the applicable Trustee, or the holders of at least 25% in principal amount of the Outstanding Debt Securities of that series, as provided in such Indenture; provided however, that we will have 90 days following such written notice to remedy or receive a waiver for any failure to comply with our obligations under the Indenture so long as we are attempting to remedy any such failure as soon as reasonably practicable;</w:t>
      </w:r>
    </w:p>
    <w:p>
      <w:pPr>
        <w:spacing w:after="0" w:line="77" w:lineRule="exact"/>
        <w:rPr>
          <w:rFonts w:ascii="Arial" w:cs="Arial" w:eastAsia="Arial" w:hAnsi="Arial"/>
          <w:sz w:val="17"/>
          <w:szCs w:val="17"/>
          <w:color w:val="auto"/>
        </w:rPr>
      </w:pPr>
    </w:p>
    <w:p>
      <w:pPr>
        <w:ind w:left="1060" w:right="480" w:hanging="424"/>
        <w:spacing w:after="0" w:line="264"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Debt of CRC, any Significant Subsidiary or, if a Subsidiary Guarantor has guaranteed the series, such Subsidiary Guarantor, is accelerated by its holders because of a default and the total amount of such Debt unpaid or accelerated exceeds $100.0 million or such default results from the failure to pay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79" w:lineRule="auto"/>
        <w:rPr>
          <w:sz w:val="20"/>
          <w:szCs w:val="20"/>
          <w:color w:val="auto"/>
        </w:rPr>
      </w:pPr>
      <w:r>
        <w:rPr>
          <w:rFonts w:ascii="Arial" w:cs="Arial" w:eastAsia="Arial" w:hAnsi="Arial"/>
          <w:sz w:val="17"/>
          <w:szCs w:val="17"/>
          <w:color w:val="auto"/>
        </w:rPr>
        <w:t>when due principal of such Debt; provided that if such default is cured or waived or such acceleration is rescinded, or such Debt (or the overdue portion thereof) is repaid within a period of 30 days from the continuation of such default beyond any applicable grace period or the occurrence of such acceleration, as the case may be, such Event of Default or any consequent acceleration shall be rescinded, so long as such rescission does not conflict with any judgment or decree or applicable provision of law;</w:t>
      </w:r>
    </w:p>
    <w:p>
      <w:pPr>
        <w:spacing w:after="0" w:line="77" w:lineRule="exact"/>
        <w:rPr>
          <w:sz w:val="20"/>
          <w:szCs w:val="20"/>
          <w:color w:val="auto"/>
        </w:rPr>
      </w:pPr>
    </w:p>
    <w:p>
      <w:pPr>
        <w:ind w:left="1060" w:right="70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affecting us, any Significant Subsidiary or, if a Subsidiary Guarantor has guaranteed the series, such Subsidiary Guarantor; and</w:t>
      </w:r>
    </w:p>
    <w:p>
      <w:pPr>
        <w:spacing w:after="0" w:line="75" w:lineRule="exact"/>
        <w:rPr>
          <w:rFonts w:ascii="Arial" w:cs="Arial" w:eastAsia="Arial" w:hAnsi="Arial"/>
          <w:sz w:val="18"/>
          <w:szCs w:val="18"/>
          <w:color w:val="auto"/>
        </w:rPr>
      </w:pPr>
    </w:p>
    <w:p>
      <w:pPr>
        <w:ind w:left="1060" w:right="120" w:hanging="424"/>
        <w:spacing w:after="0" w:line="255"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any Subsidiary Guarantor has guaranteed such series, the Subsidiary Guarantee of any such Subsidiary Guarantor is held by a final non-appealable order or judgment of a court of competent jurisdiction to be unenforceable or invalid or ceases for any reason to be in full force and effect (other than in accordance with the terms of the applicable Indenture) or any Subsidiary Guarantor or any Person acting on behalf of any Subsidiary Guarantor denies or disaffirms such Subsidiary Guarantor’s obligations under its Subsidiary Guarantee in writing (other than by reason of a release of such Subsidiary Guarantor from its Subsidiary Guarantee in accordance with the terms of the applicable Indenture).</w:t>
      </w:r>
    </w:p>
    <w:p>
      <w:pPr>
        <w:spacing w:after="0" w:line="19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If an Event of Default (other than an Event of Default with respect to CRC described in clause (7) above) with respect to the Debt Securities of any series at the time Outstanding occurs and is continuing, either the applicable Trustee or the holders of at least 25% in principal amount of the Outstanding Debt Securities of that series by notice as provided in the Indenture may declare the unpaid principal amount of the Debt Securities of that series (or, in the case of any Debt Security that is an Original Issue Discount Security, such portion of the principal amount of such Debt Security as may be specified in the terms of such Debt Security) to be due and payable immediately, together with any accrued and unpaid interest thereon. If an Event of Default with respect to CRC described in clause (7)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together with any accrued and unpaid interest thereon. After any such acceleration, but before a judgment or decree based on acceleration, the holders of a majority in principal amount of the Outstanding Debt Securities of that series may, under certain circumstances, rescind and annul such acceleration and its consequences if all Events of Default with respect to that series, other than the non-payment of accelerated principal (or other specified amount), have been cured or waived as provided in the applicable Indenture. For information as to waiver of defaults, see “— Modification and Waiver” below.</w:t>
      </w:r>
    </w:p>
    <w:p>
      <w:pPr>
        <w:spacing w:after="0" w:line="16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Subject to the provisions of the Indentures relating to the duties of the Trustees in case an Event of Default has occurred and is continuing, no Trustee will be under any obligation to exercise any of its rights or powers under the applicable Indenture at the request or direction of any of the holders, unless such holders have offered to such Trustee reasonable security or indemnity. Subject to such provisions for the indemnification of the Trustees,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93"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No holder of a Debt Security of any series will have any right to institute any proceeding with respect to the applicable Indenture, or for the appointment of a receiver or a trustee, or for any other remedy thereunder, unless:</w:t>
      </w:r>
    </w:p>
    <w:p>
      <w:pPr>
        <w:spacing w:after="0" w:line="76" w:lineRule="exact"/>
        <w:rPr>
          <w:sz w:val="20"/>
          <w:szCs w:val="20"/>
          <w:color w:val="auto"/>
        </w:rPr>
      </w:pPr>
    </w:p>
    <w:p>
      <w:pPr>
        <w:ind w:left="1060" w:right="18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holder has previously given to the Trustee under the applicable Indenture written notice of a continuing Event of Default with respect to the Debt Securities of that series;</w:t>
      </w:r>
    </w:p>
    <w:p>
      <w:pPr>
        <w:spacing w:after="0" w:line="75" w:lineRule="exact"/>
        <w:rPr>
          <w:rFonts w:ascii="Arial" w:cs="Arial" w:eastAsia="Arial" w:hAnsi="Arial"/>
          <w:sz w:val="18"/>
          <w:szCs w:val="18"/>
          <w:color w:val="auto"/>
        </w:rPr>
      </w:pPr>
    </w:p>
    <w:p>
      <w:pPr>
        <w:ind w:left="1060" w:right="120" w:hanging="424"/>
        <w:spacing w:after="0" w:line="308"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holders of at least 25% in principal amount of the Outstanding Debt Securities of that series have made written request, and such holder or holders have offered reasonable security or indemnity, to the Trustee to institute such proceeding as trustee; and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308"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Trustee has failed to institute such proceeding and has not received from the holders of a majority in principal amount of the Outstanding Debt Securities of that series a direction inconsistent with such request within 60 days after such notice, request and offer.</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However, such limitations do not apply to a suit instituted by a holder of a Debt Security for the enforcement of payment of the principal of or any premium or interest on such Debt Security on or after the applicable due date specified in such Debt Security or, if applicable, to convert such Debt Security.</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will be required to furnish to each Trustee annually a statement by certain of our officers as to whether or not we, to their knowledge, are in default in the performance or observance of any of the terms, provisions and conditions of the applicable Indenture and, if so, specifying all such known defaults.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modify or amend an Indenture without the consent of any holders of the Debt Securities in certain circumstances, including:</w:t>
      </w:r>
    </w:p>
    <w:p>
      <w:pPr>
        <w:spacing w:after="0" w:line="131" w:lineRule="exact"/>
        <w:rPr>
          <w:sz w:val="20"/>
          <w:szCs w:val="20"/>
          <w:color w:val="auto"/>
        </w:rPr>
      </w:pPr>
    </w:p>
    <w:p>
      <w:pPr>
        <w:ind w:left="1060" w:right="8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evidence the succession under the Indenture of another Person to us or any Subsidiary Guarantor and to provide for its assumption of our or such Subsidiary Guarantor’s obligations to holders of Debt Securities;</w:t>
      </w:r>
    </w:p>
    <w:p>
      <w:pPr>
        <w:spacing w:after="0" w:line="75" w:lineRule="exact"/>
        <w:rPr>
          <w:rFonts w:ascii="Arial" w:cs="Arial" w:eastAsia="Arial" w:hAnsi="Arial"/>
          <w:sz w:val="18"/>
          <w:szCs w:val="18"/>
          <w:color w:val="auto"/>
        </w:rPr>
      </w:pPr>
    </w:p>
    <w:p>
      <w:pPr>
        <w:ind w:left="1060" w:right="440" w:hanging="424"/>
        <w:spacing w:after="0" w:line="342"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make any changes that would add any additional covenants by us or the Subsidiary Guarantors for the benefit of the holders of Debt Securities or that do not adversely affect the rights under the Indenture of the holders of Debt Securities in any material respect;</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of a successor Trustee;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add Subsidiary Guarantors; or</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Debt.</w:t>
      </w:r>
    </w:p>
    <w:p>
      <w:pPr>
        <w:spacing w:after="0" w:line="170"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Other modifications and amendments of an Indenture may be made by us, the Subsidiary Guarantors, if applicable, and the applicable Trustee with the consent of the holders of not less than a majority in principal amount of the Outstanding Debt Securities of each series affected by such modification or amendment; provided, however, that no such modification or amendment may, without the consent of the holder of each Outstanding Debt Security affected thereby:</w:t>
      </w:r>
    </w:p>
    <w:p>
      <w:pPr>
        <w:spacing w:after="0" w:line="92" w:lineRule="exact"/>
        <w:rPr>
          <w:sz w:val="20"/>
          <w:szCs w:val="20"/>
          <w:color w:val="auto"/>
        </w:rPr>
      </w:pPr>
    </w:p>
    <w:p>
      <w:pPr>
        <w:ind w:left="1060" w:right="8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percentage of principal amount of Securities of such series whose Holders must consent to an amendment, supplement or waiver of any provision of the Indenture or the Securities of such series;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rate or change the time for payment of interest, including default interest, if any, on the Securities of such series;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principal amount of any Security of such series or change the Maturity Date of the Securities of such series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amount payable upon redemption of any Security of such series;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waive any Event of Default in the payment of principal of, any premium or interest on, the Securities of such series (except a default in payment that has become due solely because of an acceleration that has been rescinded);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any Security of such series payable in money other than that stated in such Security;</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 the right of Holders of Securities of such series to receive payment of the principal of and interest on Securities on the respective due dates therefor and to institute suit for the enforcement of any such payment; or</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Securities of such series necessary to waive compliance with certain provisions of the Indenture.</w:t>
      </w:r>
    </w:p>
    <w:p>
      <w:pPr>
        <w:spacing w:after="0" w:line="17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holders of not less than a majority in principal amount of the Outstanding Debt Securities of any series may waive compliance by us with certain restrictive provisions of the applicable Indenture. The holders of not less than a majority in principal amount of the Outstanding Debt Securities of any series may waive any past default under the applicable Indenture, except a default in the payment of principal, premium or interest and certain covenants and provisions of the Indenture which cannot be amended without the consent of the holder of each Outstanding Debt Security of such series.</w:t>
      </w:r>
    </w:p>
    <w:p>
      <w:pPr>
        <w:spacing w:after="0" w:line="15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Each of the Indentures provides that in determining whether the holders of the requisite principal amount of the Outstanding Debt Securities have given or taken any direction, notice, consent, waiver or other action under such Indenture as of any date:</w:t>
      </w:r>
    </w:p>
    <w:p>
      <w:pPr>
        <w:spacing w:after="0" w:line="76" w:lineRule="exact"/>
        <w:rPr>
          <w:sz w:val="20"/>
          <w:szCs w:val="20"/>
          <w:color w:val="auto"/>
        </w:rPr>
      </w:pPr>
    </w:p>
    <w:p>
      <w:pPr>
        <w:ind w:left="1060" w:right="20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principal amount of an Original Issue Discount Security that will be deemed to be Outstanding will be the amount of the principal that would be due and payable as of such date upon acceleration of maturity to such date;</w:t>
      </w:r>
    </w:p>
    <w:p>
      <w:pPr>
        <w:spacing w:after="0" w:line="75"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w:t>
      </w:r>
    </w:p>
    <w:p>
      <w:pPr>
        <w:spacing w:after="0" w:line="86" w:lineRule="exact"/>
        <w:rPr>
          <w:rFonts w:ascii="Arial" w:cs="Arial" w:eastAsia="Arial" w:hAnsi="Arial"/>
          <w:sz w:val="18"/>
          <w:szCs w:val="18"/>
          <w:color w:val="auto"/>
        </w:rPr>
      </w:pPr>
    </w:p>
    <w:p>
      <w:pPr>
        <w:ind w:left="1060" w:right="160" w:hanging="424"/>
        <w:spacing w:after="0" w:line="259"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 Debt Security described in clause (1) or (2) above, of the amount described in such clause); and</w:t>
      </w:r>
    </w:p>
    <w:p>
      <w:pPr>
        <w:spacing w:after="0" w:line="92"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Debt Securities, including those owned by us, any Subsidiary Guarantor or any of our other Affiliates, will not be deemed to be Outstanding.</w:t>
      </w:r>
    </w:p>
    <w:p>
      <w:pPr>
        <w:spacing w:after="0" w:line="170"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Except in certain limited circumstances, we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the 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 To be effective, such action must be taken by holders of the requisite principal amount of such Debt Securities within a specified period following the record date. For any particular record date, this period will be 180 days or such other period as may be specified by us (or the Trustee, if it set the record date), and may be shortened or lengthened (but not beyond 180 days) from time to time.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154"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jc w:val="both"/>
        <w:ind w:left="1620" w:right="120" w:hanging="538"/>
        <w:spacing w:after="0" w:line="264"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86" w:lineRule="exact"/>
        <w:rPr>
          <w:rFonts w:ascii="Arial" w:cs="Arial" w:eastAsia="Arial" w:hAnsi="Arial"/>
          <w:sz w:val="18"/>
          <w:szCs w:val="18"/>
          <w:color w:val="auto"/>
        </w:rPr>
      </w:pPr>
    </w:p>
    <w:p>
      <w:pPr>
        <w:ind w:left="1620" w:right="60" w:hanging="538"/>
        <w:spacing w:after="0" w:line="255"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not delivered to the Trustee for cancellation have become due and payable or will become due and payable at their stated maturity within one year or are to be called for redemption within one year under arrangements satisfactory to the Trustee and in any case we have irrevocably deposited with the Trustee as trust funds money in an amount sufficient, without consideration of any reinvestment of interest, to pay the entire indebtedness of such Debt Securities not delivered to the Trustee for cancellation, for principal, premium, if any, and accrued interest to the stated maturity or redemption date; and</w:t>
      </w:r>
    </w:p>
    <w:p>
      <w:pPr>
        <w:spacing w:after="0" w:line="98"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conditions precedent to satisfaction and discharge set forth in the Indenture with respect to the Debt Securities of that series have been satisfied.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To the extent indicated in the applicable prospectus supplement, we may elect, at our option at any time, to have our obligations discharged under provisions relating to defeasance and discharge of indebtedness, which we call “legal defeasance,” or relating to defeasance of certain restrictive covenants applied to the Debt Securities of any series, or to any specified part of a series, which we call “covenant defeasance.”</w:t>
      </w:r>
    </w:p>
    <w:p>
      <w:pPr>
        <w:spacing w:after="0" w:line="14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u w:val="single" w:color="auto"/>
          <w:color w:val="auto"/>
        </w:rPr>
        <w:t>Legal Defeasance</w:t>
      </w:r>
      <w:r>
        <w:rPr>
          <w:rFonts w:ascii="Arial" w:cs="Arial" w:eastAsia="Arial" w:hAnsi="Arial"/>
          <w:sz w:val="16"/>
          <w:szCs w:val="16"/>
          <w:color w:val="auto"/>
        </w:rPr>
        <w:t>. The Indentures provide that, upon our exercise of our option (if any) to have the legal defeasance provisions applied to any series of Debt Securities, we and, if applicable, each Subsidiary Guarantor will be discharged from all our obligations, and, if such Debt Securities are Subordinated Debt Securities, the provisions of the Subordinated Indenture relating to subordination will cease to be effective,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both, which, through the payment of principal and interest in respect thereof in accordance with their terms, will provide money in an amount sufficient (in the opinion of a nationally recognized firm of independent public accountants) to pay the principal of and any premium and interest on such Debt Securities on the respective stated maturities in accordance with the terms of the applicable Indenture and such Debt Securities. Such defeasance or discharge may occur only if, among other things:</w:t>
      </w:r>
    </w:p>
    <w:p>
      <w:pPr>
        <w:spacing w:after="0" w:line="72" w:lineRule="exact"/>
        <w:rPr>
          <w:sz w:val="20"/>
          <w:szCs w:val="20"/>
          <w:color w:val="auto"/>
        </w:rPr>
      </w:pPr>
    </w:p>
    <w:p>
      <w:pPr>
        <w:ind w:left="1060" w:hanging="424"/>
        <w:spacing w:after="0" w:line="25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spacing w:after="0" w:line="93" w:lineRule="exact"/>
        <w:rPr>
          <w:rFonts w:ascii="Arial" w:cs="Arial" w:eastAsia="Arial" w:hAnsi="Arial"/>
          <w:sz w:val="18"/>
          <w:szCs w:val="18"/>
          <w:color w:val="auto"/>
        </w:rPr>
      </w:pPr>
    </w:p>
    <w:p>
      <w:pPr>
        <w:ind w:left="1060" w:right="180" w:hanging="424"/>
        <w:spacing w:after="0" w:line="259"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Event of Default or event that with the passing of time or the giving of notice, or both, shall constitute an Event of Default shall have occurred and be continuing at the time of such deposit or, with respect to any Event of Default described in clause (7) under “— Events of Default,” at any time until 121 days after such deposit (in each case, other than as a result of borrowing funds in connection with such defeasance or granting of liens in connection herewith);</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deposit and legal defeasance will not result in a material breach or violation of, or constitute a default under, any material agreement or material instrument (other than the applicable Indenture) to which we are a party or by which we are bound; and</w:t>
      </w:r>
    </w:p>
    <w:p>
      <w:pPr>
        <w:spacing w:after="0" w:line="75" w:lineRule="exact"/>
        <w:rPr>
          <w:rFonts w:ascii="Arial" w:cs="Arial" w:eastAsia="Arial" w:hAnsi="Arial"/>
          <w:sz w:val="18"/>
          <w:szCs w:val="18"/>
          <w:color w:val="auto"/>
        </w:rPr>
      </w:pPr>
    </w:p>
    <w:p>
      <w:pPr>
        <w:ind w:left="1060" w:right="20" w:hanging="424"/>
        <w:spacing w:after="0" w:line="259"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Subordinated Debt Securities, at the time of such deposit, no default in the payment of all or a portion of principal of (or premium, if any) or interest on any Senior Debt shall have occurred and be continuing, no event of default shall have resulted in the acceleration of any Senior Debt and no other material event of default with respect to any Senior Debt shall have occurred and be continuing permitting, after notice or the lapse of time, or both, the acceleration thereof.</w:t>
      </w:r>
    </w:p>
    <w:p>
      <w:pPr>
        <w:spacing w:after="0" w:line="187"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u w:val="single" w:color="auto"/>
          <w:color w:val="auto"/>
        </w:rPr>
        <w:t>Covenant Defeasance</w:t>
      </w:r>
      <w:r>
        <w:rPr>
          <w:rFonts w:ascii="Arial" w:cs="Arial" w:eastAsia="Arial" w:hAnsi="Arial"/>
          <w:sz w:val="17"/>
          <w:szCs w:val="17"/>
          <w:color w:val="auto"/>
        </w:rPr>
        <w:t>. The Indentures provide that, upon our exercise of our option (if any) to have the covenant defeasance provisions applied to any Debt Securities, we may fail to comply with certain restrictive covenants (but not with respect to conversion, if applicable), including those that may be described in the applicable prospectus supplement, and the occurrence of certain Events of Default, which are described above in clause (5) (with respect to such restrictive covenants) and clauses (6) and (8) under “— Events of Default” and any that may be described in the applicable prospectus supplement, will not be deemed to either be or result in an Event of Default and, if such Debt Securities are Subordinated Debt Securities, the provisions of the Subordinated Indenture relating to subordination will cease to be effective, in each case with respect to such Debt Securities. In order to exercise such option, we must deposit, in trust for the benefit of the holders of such Debt Securities, money or U.S. government obligations, or both, which, through the payment of principal and interest in respect thereof in accordance with their terms, will provide money in an amount sufficient (in the opinion of a nationally recognized firm of independent public accountants) to pay the principal of and any premium and interest on such Debt Securities on the respective stated maturities in accordance with the terms of the applicable Indenture and such Debt Securities. Such covenant defeasance may occur only if we have delivered to the applicable Trustee an Opinion of Counsel to the effect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(4) and (5) above are satisfied. If we exercised this option with respect to any series of Debt Securities and such Debt Securities were declared due and payable because of the occurrence of any Event of Default, the amount of money and U.S.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we exercise either our legal defeasance or covenant defeasance option, any related Subsidiary Guarantee will terminate.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No director, officer, employee, incorporator, stockholder, member, partner or trustee of the Company or any Subsidiary Guarantor, as such, shall have any liability for any obligations of the Company or any Subsidiary Guarantor under the Debt Securities, the Indentures or any Subsidiary Guarantees or for any claim based on, in respect of, or by reason of, such obligations or their creation. By accepting a Debt Security, each holder shall be deemed to have waived and released all such liability. The waiver and release shall be a part of the consideration for the issue of the Debt Securities. The waiver may not be effective to waive liabilities under the federal securities laws, and it is the view of the SEC that such a waiver is against public policy.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Notices to holders of Debt Securities will be given by mail to the addresses of such holders as they may appear in the Security Register.</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Title</w:t>
      </w:r>
    </w:p>
    <w:p>
      <w:pPr>
        <w:spacing w:after="0" w:line="121"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We, the Subsidiary Guarantors, the Trustees and any agent of us, the Subsidiary Guarantors or a Trustee may treat the Person in whose name a Debt Security is registered as the absolute owner of the Debt Security (whether or not such Debt Security may be overdue) for the purpose of making payment and for all other purposes.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Indentures and the Debt Securities will be governed by, and construed in accordance with, the law of the State of New York.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will enter into the Indentures with a Trustee that is qualified to act under the Trust Indenture Act of 1939, as amended (the “Trust Indenture Act”), and with any other Trustees chosen by us and appointed in a supplemental indenture for a particular series of Debt Securities. We may maintain a banking relationship in the ordinary course of business with our Trustee and one or more of its affiliates.</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u w:val="single" w:color="auto"/>
          <w:color w:val="auto"/>
        </w:rPr>
        <w:t>Resignation or Removal of Trustee</w:t>
      </w:r>
      <w:r>
        <w:rPr>
          <w:rFonts w:ascii="Arial" w:cs="Arial" w:eastAsia="Arial" w:hAnsi="Arial"/>
          <w:sz w:val="18"/>
          <w:szCs w:val="18"/>
          <w:color w:val="auto"/>
        </w:rPr>
        <w:t>. 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81" w:lineRule="exact"/>
        <w:rPr>
          <w:sz w:val="20"/>
          <w:szCs w:val="20"/>
          <w:color w:val="auto"/>
        </w:rPr>
      </w:pPr>
    </w:p>
    <w:p>
      <w:pPr>
        <w:jc w:val="both"/>
        <w:ind w:left="200" w:right="20" w:firstLine="441"/>
        <w:spacing w:after="0" w:line="342" w:lineRule="auto"/>
        <w:rPr>
          <w:sz w:val="20"/>
          <w:szCs w:val="20"/>
          <w:color w:val="auto"/>
        </w:rPr>
      </w:pPr>
      <w:r>
        <w:rPr>
          <w:rFonts w:ascii="Arial" w:cs="Arial" w:eastAsia="Arial" w:hAnsi="Arial"/>
          <w:sz w:val="16"/>
          <w:szCs w:val="16"/>
          <w:u w:val="single" w:color="auto"/>
          <w:color w:val="auto"/>
        </w:rPr>
        <w:t>Limitations on Trustee if It Is Our Creditor</w:t>
      </w:r>
      <w:r>
        <w:rPr>
          <w:rFonts w:ascii="Arial" w:cs="Arial" w:eastAsia="Arial" w:hAnsi="Arial"/>
          <w:sz w:val="16"/>
          <w:szCs w:val="16"/>
          <w:color w:val="auto"/>
        </w:rPr>
        <w:t>. Each Indenture will contain certain limitations on the right of the Trustee, in the event that it becomes our creditor, to obtain payment of claims in certain cases, or to realize on certain property received in respect of any such claim as security or otherwise.</w:t>
      </w:r>
    </w:p>
    <w:p>
      <w:pPr>
        <w:spacing w:after="0" w:line="124"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u w:val="single" w:color="auto"/>
          <w:color w:val="auto"/>
        </w:rPr>
        <w:t>Certificates and Opinions to Be Furnished to Trustee</w:t>
      </w:r>
      <w:r>
        <w:rPr>
          <w:rFonts w:ascii="Arial" w:cs="Arial" w:eastAsia="Arial" w:hAnsi="Arial"/>
          <w:sz w:val="16"/>
          <w:szCs w:val="16"/>
          <w:color w:val="auto"/>
        </w:rPr>
        <w:t>. Each Indenture will provide that, in addition to other certificates or opinions that may be specifically required by other provisions of an Indenture, certain applications by us for action by the Trustee must be accompanied by an Officers’ Certificate and an Opinion of Counsel stating that, in the opinion of the signers, all conditions precedent to such action have been complied with by us.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is a description of the material terms of our capital stock as provided in our amended and restated certificate of incorporation and amended and restated bylaws. The summaries and descriptions below do not purport to be complete statements of the relevant provisions of these documents. For a complete description, we refer you to, and the following summaries and descriptions are qualified in their entirety by reference to, our amended and restated certificate of incorporation and amended and restated bylaws, copies of which will be filed as exhibits to the registration statement of which this prospectus forms a part.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Authorized Capitalization</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authorized capital stock consists of (i) 20,000,000 shares of preferred stock, par value $0.01 per share, of which no shares were issued and outstanding as of November 16, 2018 and (ii) 200,000,000 shares of common stock, par value $0.01 per share, of which 48,600,563 shares were issued and outstanding as of November 16,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Except as provided by law or in a preferred stock designation, holders of our common stock are entitled to one vote for each share held of record on all matters submitted to a vote of the stockholders, have the exclusive right to vote for the election of directors and do not have cumulative voting rights. Directors are elected to our board if the number of the validly cast “for” votes exceeds the number of validly cast “against” or “withheld” votes, collectively, with respect to such election except, that directors are elected by a plurality of the validly cast votes represented in person or by proxy with respect to their election if the number of nominees for director exceeds the number of directors to be elected as set forth in our bylaws. Except as otherwise required by law, holders of our common stock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Delaware General Corporation Law (“DGCL”). Subject to prior rights and preferences that may be applicable to any outstanding shares or series of our preferred stock, holders of our common stock are entitled to receive ratably in proportion to the shares of our common stock held by them such dividends (payable in cash, stock or otherwise), if any, as may be declared from time to time by our board of directors out of funds legally available for dividend payments. All outstanding shares of our common stock are fully paid and non-assessable. The holders of our common stock have no preferences or rights of conversion, exchange, pre-emption or other subscription rights. There are no redemption or sinking fund provisions applicable to our common stock. In the event of any voluntary or involuntary liquidation, dissolution or winding-up of our affairs, holders of our common stock are entitled to share ratably in our assets in proportion to the shares of common stock held by then that are remaining after payment or provision for payment of all of our debts and obligations and after distribution in full of preferential amounts to be distributed to holders of outstanding shares of preferred stock, if any.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Our amended and restated certificate of incorporation authorizes our board of directors, subject to any limitations prescribed by law, without further stockholder approval, to establish and to issue from time to time one or more series of preferred stock, par value $0.01 per share, covering up to an aggregate of 20,000,000 shares of preferred stock. Each series of our preferred stock will cover the number of shares and will have the powers, preferences, rights, qualifications, limitations and restrictions determined by board of directors, which may include, among others, dividend rights, liquidation preferences, voting rights, conversion or exchange rights, preemptive rights and redemption rights. Except as provided by law or in a preferred stock designation, the holders of our preferred stock will not be entitled to vote at or receive notice of any meeting of stockholders.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8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could make acquisition of control of our company by means of a tender offer, a proxy contest or otherwise or removal of our incumbent officers and directors more difficult. These provisions may also have the effect of preventing changes in our management. It is possible that these provisions could make it more difficult to accomplish or could deter transactions that stockholders may otherwise consider to be in their best interests or in our best interests, including transactions that might result in a premium over the market price for our shares.</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These provisions are designed to discourage coercive takeover practices and inadequate takeover bids. These provisions are also designed to encourage persons seeking to acquire control of us to first negotiate with our board of directors. We believe that the benefits of increased protection and our potential ability to negotiate with the proponent of an unfriendly or unsolicited proposal to acquire control of our company outweigh the disadvantages of discouraging these proposals because, among other things, negotiation of these proposals could result in an improvement of their terms.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Delaware Law</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are subject to Section 203 of the DGCL, which generally prohibits a Delaware corporation, including those whose securities are listed for trading on the NYSE, from engaging in any business combination with any interested stockholder (which is defined generally as a person owning 15% or more of a Delaware corporation’s outstanding voting stock) or its affiliates or associates for a period of three years following the time that the stockholder became an interested stockholder, unless:</w:t>
      </w:r>
    </w:p>
    <w:p>
      <w:pPr>
        <w:spacing w:after="0" w:line="92" w:lineRule="exact"/>
        <w:rPr>
          <w:sz w:val="20"/>
          <w:szCs w:val="20"/>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time the interested stockholder attained that status;</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elect in the future to not be subject to the provisions of Section 203 of the DGCL.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Amended and Restated Certificate of Incorporation and Amended and Restated Bylaws</w:t>
      </w:r>
    </w:p>
    <w:p>
      <w:pPr>
        <w:spacing w:after="0" w:line="12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may delay or discourage transactions involving an actual or potential change in control or change in our management, or transactions that our stockholders might otherwise deem to be in their best interests or in our best interests, including transactions that might result in a premium over the market price for our shares. Therefore, these provisions could adversely affect the price of our common stock.</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w:t>
      </w:r>
    </w:p>
    <w:p>
      <w:pPr>
        <w:spacing w:after="0" w:line="131" w:lineRule="exact"/>
        <w:rPr>
          <w:sz w:val="20"/>
          <w:szCs w:val="20"/>
          <w:color w:val="auto"/>
        </w:rPr>
      </w:pPr>
    </w:p>
    <w:p>
      <w:pPr>
        <w:ind w:left="1060" w:hanging="316"/>
        <w:spacing w:after="0" w:line="259"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later than 90 days nor earlier than</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80"/>
        <w:spacing w:after="0" w:line="257" w:lineRule="auto"/>
        <w:rPr>
          <w:sz w:val="20"/>
          <w:szCs w:val="20"/>
          <w:color w:val="auto"/>
        </w:rPr>
      </w:pPr>
      <w:r>
        <w:rPr>
          <w:rFonts w:ascii="Arial" w:cs="Arial" w:eastAsia="Arial" w:hAnsi="Arial"/>
          <w:sz w:val="18"/>
          <w:szCs w:val="18"/>
          <w:color w:val="auto"/>
        </w:rPr>
        <w:t>120 days prior to the first anniversary date of the annual meeting for the preceding year. Our amended and restated bylaws specify the requirements as to form and content of all stockholder notices. These requirements may preclude stockholders from bringing matters before the stockholders at an annual or special meeting, and may discourage or deter a third party from conducting a solicitation of proxies to elect its slate of directors or to approve its proposal, without regard to whether consideration of those nominees or proposals might be harmful or beneficial to us and our stockholders;</w:t>
      </w:r>
    </w:p>
    <w:p>
      <w:pPr>
        <w:spacing w:after="0" w:line="94" w:lineRule="exact"/>
        <w:rPr>
          <w:sz w:val="20"/>
          <w:szCs w:val="20"/>
          <w:color w:val="auto"/>
        </w:rPr>
      </w:pPr>
    </w:p>
    <w:p>
      <w:pPr>
        <w:ind w:left="1060" w:right="140" w:hanging="316"/>
        <w:spacing w:after="0" w:line="259"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our board of directors the ability to authorize undesignated preferred stock. This ability makes it possible for our board of directors to issue, without stockholder approval, preferred stock with voting or other rights or preferences that could impede the success of any attempt to change control of us. These provisions may have the effect of deterring hostile takeovers or delaying changes in control or management of our company;</w:t>
      </w:r>
    </w:p>
    <w:p>
      <w:pPr>
        <w:spacing w:after="0" w:line="92" w:lineRule="exact"/>
        <w:rPr>
          <w:rFonts w:ascii="Arial" w:cs="Arial" w:eastAsia="Arial" w:hAnsi="Arial"/>
          <w:sz w:val="18"/>
          <w:szCs w:val="18"/>
          <w:color w:val="auto"/>
        </w:rPr>
      </w:pPr>
    </w:p>
    <w:p>
      <w:pPr>
        <w:ind w:left="1060" w:hanging="316"/>
        <w:spacing w:after="0" w:line="271"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provide that (x) the authorized number of directors may be changed only by resolution of the board of directors and (y) all vacancies, including newly created directorships, may, except as otherwise required by law or, if applicable, the rights of holders of a series of preferred stock, only be filled by the affirmative vote of a majority of directors then in office, even if less than a quorum. “Cause” is defined as the director’s (i) conviction of a serious felony involving moral turpitude or a violation of federal or state securities laws; (ii) the commission of any material act of dishonesty resulting or intended to result in material personal gain or enrichment of such director at the expense of CRC or any of its subsidiaries and which act, if made the subject of criminal charges, would be reasonably likely to be charged as a felony; or (iii) adjudication as legally incompetent by a court of competent jurisdiction. These provisions may have the effect of deterring hostile takeovers or delaying changes in control or management of our company;</w:t>
      </w:r>
    </w:p>
    <w:p>
      <w:pPr>
        <w:spacing w:after="0" w:line="84" w:lineRule="exact"/>
        <w:rPr>
          <w:rFonts w:ascii="Arial" w:cs="Arial" w:eastAsia="Arial" w:hAnsi="Arial"/>
          <w:sz w:val="17"/>
          <w:szCs w:val="17"/>
          <w:color w:val="auto"/>
        </w:rPr>
      </w:pPr>
    </w:p>
    <w:p>
      <w:pPr>
        <w:ind w:left="1060" w:right="120" w:hanging="316"/>
        <w:spacing w:after="0" w:line="297"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that (x)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our preferred stock with respect to such series, and (y) special meetings of our stockholders may only be called by the board of directors, the chief executive officer or the chairman of the board. These provisions regarding our stockholder meetings may have the effect of deterring hostile takeovers or delaying changes in control or management of our company; and</w:t>
      </w:r>
    </w:p>
    <w:p>
      <w:pPr>
        <w:spacing w:after="0" w:line="63" w:lineRule="exact"/>
        <w:rPr>
          <w:rFonts w:ascii="Arial" w:cs="Arial" w:eastAsia="Arial" w:hAnsi="Arial"/>
          <w:sz w:val="16"/>
          <w:szCs w:val="16"/>
          <w:color w:val="auto"/>
        </w:rPr>
      </w:pPr>
    </w:p>
    <w:p>
      <w:pPr>
        <w:ind w:left="1060" w:right="20" w:hanging="316"/>
        <w:spacing w:after="0" w:line="289"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that (x) certain provisions of our certificate of incorporation related to the voting rights of stockholders, our board of directors, special meetings of our stockholders, the ability of our stockholders to act by written consent, the forum for certain disputes related to us or our stockholders, and the applicability of Section 203 DGCL may be amended only by the affirmative vote of the holders of at least 75% of the voting power of our then outstanding common stock and that other provisions of our certificate of incorporation may be amended upon the affirmative vote of the holders of at least a majority of our then outstanding common stock, in each case, in addition to the approval of a majority of our directors then in office and (y) our bylaws can be amended or repealed at any regular or special meeting of stockholders or by the board of directors but any amendment by the stockholders will require the affirmative vote of the holders of at least 75% of the voting power of the shares of our common stock outstanding and entitled to vote thereon. These provisions regarding the amendment of our constituent documents may have the effect of deterring hostile takeovers or delaying changes in control or management of our company.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will, to the fullest extent permitted by applicable law, be the sole and exclusive forum for:</w:t>
      </w:r>
    </w:p>
    <w:p>
      <w:pPr>
        <w:spacing w:after="0" w:line="52"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72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stockholders;</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our amended and restated certificate of incorporation or our bylaws (as either may be amended from time to time); or</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in each such case subject to such Court of Chancery having personal jurisdiction over the indispensable parties named as defendants therein.</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amended and restated certificate of incorporation also provides that any person or entity purchasing or otherwise holding any interest in shares of our capital stock will be deemed to have notice of and to have consented to this forum selection provision. However, it is possible that a court could find our forum selection provision to be inapplicable or unenforceable.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240" w:top="459" w:right="5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offer depositary shares (either separately or together with other securities) representing fractional interests in our preferred stock of any series. In connection with the issuance of any depositary shares, we will enter into a depositary agreement with a bank or trust company, as depositary, which will be named in the applicable prospectus supplement. Depositary shares will be evidenced by depositary receipts issued pursuant to the related depositary agreement. If we elect to offer fractional interests in shares of preferred stock to the public, we will deposit the preferred stock with the relevant preferred stock depositary and will cause the preferred stock depositary to issue, on our behalf, the related depositary receipts. Subject to the terms of the depositary agreement, each owner of a depositary receipt will be entitled, in proportion to the fraction of a share of preferred stock represented by the related depositary share, to all the rights, preferences and privileges of, and will be subject to all of the limitations and restrictions on, the preferred stock represented by the depositary receipt (including, if applicable, dividend, voting, conversion, exchange redemption and liquidation rights). This summary of certain provisions of the depositary shares does not purport to be complete and is subject to, and is qualified in its entirety by reference to, all provisions of the depositary shares.</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may issue warrants for the purchase of our common stock. Warrants may be issued independently or together with Debt Securities, preferred stock or common stock offered by any prospectus supplement and may be attached to or separate from any such offered securities. Each series of warrants will be issued under a separate warrant agreement to be entered into between us and a bank or trust company, as warrant agent, all as set forth in the prospectus supplement relating to the particular issue of warrants. The warrant agent will act solely as our agent in connection with the warrants and will not assume any obligation or relationship of agency or trust for or with any holders of warrants or beneficial owners of warrants. The following summary of certain provisions of the warrants does not purport to be complete and is subject to, and is qualified in its entirety by reference to, all provisions of the warrant agreements.</w:t>
      </w:r>
    </w:p>
    <w:p>
      <w:pPr>
        <w:spacing w:after="0" w:line="18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You should refer to the prospectus supplement relating to a particular issue of warrants for the terms of and information relating to the warrants, including, where applicable:</w:t>
      </w:r>
    </w:p>
    <w:p>
      <w:pPr>
        <w:spacing w:after="0" w:line="76" w:lineRule="exact"/>
        <w:rPr>
          <w:sz w:val="20"/>
          <w:szCs w:val="20"/>
          <w:color w:val="auto"/>
        </w:rPr>
      </w:pPr>
    </w:p>
    <w:p>
      <w:pPr>
        <w:ind w:left="1060" w:right="6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shares of common stock purchasable upon exercise of the warrants and the price at which such number of shares of common stock may be purchased upon exercise of the warrants;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commences and the date on which such right expires (the “Expiration Date”);</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of the warrants outstanding as of the most recent practicable date;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warrants.</w:t>
      </w:r>
    </w:p>
    <w:p>
      <w:pPr>
        <w:spacing w:after="0" w:line="225"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Prior to the exercise of any warrants, holders of the warrants will not have any of the rights of holders of common stock, including the right to receive payments of any dividends on the common stock purchasable upon exercise of the warrants, or to exercise any right to vote.</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We may sell the offered securities in and outside the United States (1) through underwriters or dealers, (2) directly to purchasers, including our affiliates and stockholders, (3) through agents, (4) in “at the market offerings” to or through a market maker or into an existing trading market, or a securities exchange or otherwise or (5) through a combination of any of these methods. The prospectus supplement will include the following information:</w:t>
      </w:r>
    </w:p>
    <w:p>
      <w:pPr>
        <w:spacing w:after="0" w:line="92" w:lineRule="exact"/>
        <w:rPr>
          <w:sz w:val="20"/>
          <w:szCs w:val="20"/>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estimated net proceeds to us from the sale of the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21"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If underwriters are used in the sale, the underwriters will acquire the securities for their own account for resale to the public, either on a firm commitment basis or a best efforts basis.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The underwriters may change from time to time any offering price and any discounts or concessions allowed or reallowed or paid to dealers.</w:t>
      </w:r>
    </w:p>
    <w:p>
      <w:pPr>
        <w:spacing w:after="0" w:line="165"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65"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If dealers are used, we will sell the securities to them as principals. The dealers may then resell those securities to the public at varying prices determined by the dealers at the time of resale. We will include in the prospectus supplement the names of the dealers and the terms of the transaction.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sell the securities directly. In this case, no underwriters or agents would be involved. We may also sell the securities through agents designated from time to time. In the prospectus supplement, we will name any agent involved in the offer or sale of the offered securities, and we will describe any commissions payable to the agent. Unless we inform you otherwise in the prospectus supplement, any agent will agree to use its reasonable best efforts to solicit purchases for the period of its appointment.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securities. We will describe the terms of any such sales in the prospectus supplement.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Remarketing Arrangements</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Offered 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 Remarketing firms may be deemed to be underwriters, as that term is defined in the Securities Act, in connection with the securities remarketed.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Delayed Delivery Contracts</w:t>
      </w:r>
    </w:p>
    <w:p>
      <w:pPr>
        <w:spacing w:after="0" w:line="12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underwriters or remarketing firms may be required to make. Agents, dealers, underwriters and remarketing firms may be customers of, engage in transactions with, or perform services for us in the ordinary course of their businesses.</w:t>
      </w:r>
    </w:p>
    <w:p>
      <w:pPr>
        <w:spacing w:after="0" w:line="18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Unless otherwise specified in the applicable prospectus supplement each series of securities will be a new issue and will have no established trading market, other than our common stock, which is listed on the NYSE. We may elect to list any series of securities on an exchange, but we are not obligated to do so.</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Certain legal matters in connection with the securities will be passed upon by Vinson &amp; Elkins L.L.P., Houston, Texas, as our counsel. Any underwriter or agent will be advised about other issues relating to any offering by its own legal counsel.</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consolidated financial statements of California Resources Corporation and subsidiaries as of December 31, 2017 and 2016, and for each of the years in the three-year period ended December 31, 2017 and management’s assessment of the effectiveness of internal control over financial reporting as of December 31, 2017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Certain information incorporated by reference into this prospectus with respect to the oil and gas reserves associated with California Resources Corporation’s oil and gas properties is confirmed in a letter of Ryder Scott Company, L.P.,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1112520</wp:posOffset>
            </wp:positionV>
            <wp:extent cx="2280920" cy="5918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80920" cy="59182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California Resources Corporation</w:t>
      </w:r>
    </w:p>
    <w:p>
      <w:pPr>
        <w:spacing w:after="0" w:line="72"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Up to 6,000,000</w:t>
      </w:r>
    </w:p>
    <w:p>
      <w:pPr>
        <w:spacing w:after="0" w:line="1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706120</wp:posOffset>
            </wp:positionV>
            <wp:extent cx="14662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BofA Merrill Lynch</w:t>
      </w:r>
    </w:p>
    <w:p>
      <w:pPr>
        <w:spacing w:after="0" w:line="112"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Citigroup</w:t>
      </w:r>
    </w:p>
    <w:p>
      <w:pPr>
        <w:spacing w:after="0" w:line="112"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HSBC</w:t>
      </w:r>
    </w:p>
    <w:p>
      <w:pPr>
        <w:spacing w:after="0" w:line="112"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Mizuho Securities</w:t>
      </w:r>
    </w:p>
    <w:p>
      <w:pPr>
        <w:spacing w:after="0" w:line="112" w:lineRule="exact"/>
        <w:rPr>
          <w:sz w:val="20"/>
          <w:szCs w:val="20"/>
          <w:color w:val="auto"/>
        </w:rPr>
      </w:pPr>
    </w:p>
    <w:p>
      <w:pPr>
        <w:jc w:val="center"/>
        <w:ind w:right="-1200"/>
        <w:spacing w:after="0"/>
        <w:rPr>
          <w:sz w:val="20"/>
          <w:szCs w:val="20"/>
          <w:color w:val="auto"/>
        </w:rPr>
      </w:pPr>
      <w:r>
        <w:rPr>
          <w:rFonts w:ascii="Arial" w:cs="Arial" w:eastAsia="Arial" w:hAnsi="Arial"/>
          <w:sz w:val="26"/>
          <w:szCs w:val="26"/>
          <w:b w:val="1"/>
          <w:bCs w:val="1"/>
          <w:color w:val="auto"/>
        </w:rPr>
        <w:t>SG Americas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756920</wp:posOffset>
            </wp:positionV>
            <wp:extent cx="14662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November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1286510</wp:posOffset>
            </wp:positionV>
            <wp:extent cx="6997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1337945</wp:posOffset>
            </wp:positionV>
            <wp:extent cx="699770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5"/>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4"/>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7"/>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3"/>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5"/>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lvl w:ilvl="1">
      <w:lvlJc w:val="left"/>
      <w:lvlText w:val="(%2)"/>
      <w:numFmt w:val="lowerLetter"/>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3"/>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2019-12-08T11:55:44Z</dcterms:created>
  <dcterms:modified xsi:type="dcterms:W3CDTF">2019-12-08T11:55:44Z</dcterms:modified>
</cp:coreProperties>
</file>