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#13057Q305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3,046,449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18,669,003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18,669,003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22.329%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18,669,003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18,669,003</w:t>
      </w:r>
    </w:p>
    <w:p>
      <w:pPr>
        <w:spacing w:after="0" w:line="237" w:lineRule="auto"/>
        <w:rPr>
          <w:sz w:val="20"/>
          <w:szCs w:val="20"/>
          <w:color w:val="auto"/>
        </w:rPr>
      </w:pPr>
      <w:r>
        <w:rPr>
          <w:rFonts w:ascii="Courier New" w:cs="Courier New" w:eastAsia="Courier New" w:hAnsi="Courier New"/>
          <w:sz w:val="18"/>
          <w:szCs w:val="18"/>
          <w:color w:val="auto"/>
        </w:rPr>
        <w:t>Item 11: 22.329%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Capital &amp; Income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6,065,715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6,065,715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7.255%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13057Q305</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18,669,003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22.329%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3,046,449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18,669,003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1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14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38" w:orient="portrait"/>
          <w:cols w:equalWidth="0" w:num="2">
            <w:col w:w="5580" w:space="220"/>
            <w:col w:w="4339"/>
          </w:cols>
          <w:pgMar w:left="320" w:top="344" w:right="1440" w:bottom="140" w:gutter="0" w:footer="0" w:header="0"/>
          <w:type w:val="continuous"/>
        </w:sectPr>
      </w:pPr>
    </w:p>
    <w:p>
      <w:pPr>
        <w:spacing w:after="0" w:line="209"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November 9, 2020, agree and consent to the joint filing on their behalf of this Schedule 13G in connection with their beneficial ownership of the COMMON STOCK of California Resources Corp at October 30,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Capital &amp; Income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10"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2020-11-10T09:29:34Z</dcterms:created>
  <dcterms:modified xsi:type="dcterms:W3CDTF">2020-11-10T09:29:34Z</dcterms:modified>
</cp:coreProperties>
</file>