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October 27, 2020</w:t>
      </w:r>
    </w:p>
    <w:p>
      <w:pPr>
        <w:spacing w:after="0" w:line="138" w:lineRule="exact"/>
        <w:rPr>
          <w:sz w:val="24"/>
          <w:szCs w:val="24"/>
          <w:color w:val="auto"/>
        </w:rPr>
      </w:pPr>
    </w:p>
    <w:p>
      <w:pPr>
        <w:ind w:left="8540"/>
        <w:spacing w:after="0"/>
        <w:rPr>
          <w:sz w:val="20"/>
          <w:szCs w:val="20"/>
          <w:color w:val="auto"/>
        </w:rPr>
      </w:pPr>
      <w:r>
        <w:rPr>
          <w:rFonts w:ascii="Times New Roman" w:cs="Times New Roman" w:eastAsia="Times New Roman" w:hAnsi="Times New Roman"/>
          <w:sz w:val="16"/>
          <w:szCs w:val="16"/>
          <w:b w:val="1"/>
          <w:bCs w:val="1"/>
          <w:color w:val="auto"/>
        </w:rPr>
        <w:t>Registration Statement No. 333-200610</w:t>
      </w:r>
    </w:p>
    <w:p>
      <w:pPr>
        <w:jc w:val="right"/>
        <w:spacing w:after="0" w:line="211" w:lineRule="auto"/>
        <w:rPr>
          <w:sz w:val="20"/>
          <w:szCs w:val="20"/>
          <w:color w:val="auto"/>
        </w:rPr>
      </w:pPr>
      <w:r>
        <w:rPr>
          <w:rFonts w:ascii="Times New Roman" w:cs="Times New Roman" w:eastAsia="Times New Roman" w:hAnsi="Times New Roman"/>
          <w:sz w:val="16"/>
          <w:szCs w:val="16"/>
          <w:b w:val="1"/>
          <w:bCs w:val="1"/>
          <w:color w:val="auto"/>
        </w:rPr>
        <w:t>Registration Statement No. 333-200611</w:t>
      </w:r>
    </w:p>
    <w:p>
      <w:pPr>
        <w:ind w:left="8560"/>
        <w:spacing w:after="0" w:line="211" w:lineRule="auto"/>
        <w:rPr>
          <w:sz w:val="20"/>
          <w:szCs w:val="20"/>
          <w:color w:val="auto"/>
        </w:rPr>
      </w:pPr>
      <w:r>
        <w:rPr>
          <w:rFonts w:ascii="Times New Roman" w:cs="Times New Roman" w:eastAsia="Times New Roman" w:hAnsi="Times New Roman"/>
          <w:sz w:val="16"/>
          <w:szCs w:val="16"/>
          <w:b w:val="1"/>
          <w:bCs w:val="1"/>
          <w:color w:val="auto"/>
        </w:rPr>
        <w:t>Registration Statement No. 333-211106</w:t>
      </w:r>
    </w:p>
    <w:p>
      <w:pPr>
        <w:ind w:left="8560"/>
        <w:spacing w:after="0" w:line="211" w:lineRule="auto"/>
        <w:rPr>
          <w:sz w:val="20"/>
          <w:szCs w:val="20"/>
          <w:color w:val="auto"/>
        </w:rPr>
      </w:pPr>
      <w:r>
        <w:rPr>
          <w:rFonts w:ascii="Times New Roman" w:cs="Times New Roman" w:eastAsia="Times New Roman" w:hAnsi="Times New Roman"/>
          <w:sz w:val="16"/>
          <w:szCs w:val="16"/>
          <w:b w:val="1"/>
          <w:bCs w:val="1"/>
          <w:color w:val="auto"/>
        </w:rPr>
        <w:t>Registration Statement No. 333-211107</w:t>
      </w:r>
    </w:p>
    <w:p>
      <w:pPr>
        <w:ind w:left="8540"/>
        <w:spacing w:after="0" w:line="212" w:lineRule="auto"/>
        <w:rPr>
          <w:sz w:val="20"/>
          <w:szCs w:val="20"/>
          <w:color w:val="auto"/>
        </w:rPr>
      </w:pPr>
      <w:r>
        <w:rPr>
          <w:rFonts w:ascii="Times New Roman" w:cs="Times New Roman" w:eastAsia="Times New Roman" w:hAnsi="Times New Roman"/>
          <w:sz w:val="16"/>
          <w:szCs w:val="16"/>
          <w:b w:val="1"/>
          <w:bCs w:val="1"/>
          <w:color w:val="auto"/>
        </w:rPr>
        <w:t>Registration Statement No. 333-226616</w:t>
      </w:r>
    </w:p>
    <w:p>
      <w:pPr>
        <w:ind w:left="8540"/>
        <w:spacing w:after="0"/>
        <w:rPr>
          <w:sz w:val="20"/>
          <w:szCs w:val="20"/>
          <w:color w:val="auto"/>
        </w:rPr>
      </w:pPr>
      <w:r>
        <w:rPr>
          <w:rFonts w:ascii="Times New Roman" w:cs="Times New Roman" w:eastAsia="Times New Roman" w:hAnsi="Times New Roman"/>
          <w:sz w:val="16"/>
          <w:szCs w:val="16"/>
          <w:b w:val="1"/>
          <w:bCs w:val="1"/>
          <w:color w:val="auto"/>
        </w:rPr>
        <w:t>Registration Statement No. 333-231314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spacing w:after="0" w:line="216"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14"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333-200610</w:t>
      </w:r>
    </w:p>
    <w:p>
      <w:pPr>
        <w:ind w:left="1460"/>
        <w:spacing w:after="0" w:line="226"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333-200611</w:t>
      </w:r>
    </w:p>
    <w:p>
      <w:pPr>
        <w:ind w:left="1460"/>
        <w:spacing w:after="0" w:line="219"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333-211106</w:t>
      </w:r>
    </w:p>
    <w:p>
      <w:pPr>
        <w:ind w:left="1460"/>
        <w:spacing w:after="0" w:line="219"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333-211107</w:t>
      </w:r>
    </w:p>
    <w:p>
      <w:pPr>
        <w:ind w:left="1460"/>
        <w:spacing w:after="0" w:line="219"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333-226616</w:t>
      </w: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333-231314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8" w:lineRule="exact"/>
        <w:rPr>
          <w:sz w:val="24"/>
          <w:szCs w:val="24"/>
          <w:color w:val="auto"/>
        </w:rPr>
      </w:pPr>
    </w:p>
    <w:tbl>
      <w:tblPr>
        <w:tblLayout w:type="fixed"/>
        <w:tblInd w:w="140" w:type="dxa"/>
        <w:tblCellMar>
          <w:top w:w="0" w:type="dxa"/>
          <w:left w:w="0" w:type="dxa"/>
          <w:bottom w:w="0" w:type="dxa"/>
          <w:right w:w="0" w:type="dxa"/>
        </w:tblCellMar>
      </w:tblPr>
      <w:tr>
        <w:trPr>
          <w:trHeight w:val="212"/>
        </w:trPr>
        <w:tc>
          <w:tcPr>
            <w:tcW w:w="5840" w:type="dxa"/>
            <w:vAlign w:val="bottom"/>
          </w:tcPr>
          <w:p>
            <w:pPr>
              <w:jc w:val="center"/>
              <w:ind w:right="18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3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46-5670947</w:t>
            </w:r>
          </w:p>
        </w:tc>
      </w:tr>
      <w:tr>
        <w:trPr>
          <w:trHeight w:val="256"/>
        </w:trPr>
        <w:tc>
          <w:tcPr>
            <w:tcW w:w="5840" w:type="dxa"/>
            <w:vAlign w:val="bottom"/>
          </w:tcPr>
          <w:p>
            <w:pPr>
              <w:jc w:val="center"/>
              <w:ind w:right="189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4340" w:type="dxa"/>
            <w:vAlign w:val="bottom"/>
          </w:tcPr>
          <w:p>
            <w:pPr>
              <w:jc w:val="center"/>
              <w:ind w:left="19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422"/>
        </w:trPr>
        <w:tc>
          <w:tcPr>
            <w:tcW w:w="5840" w:type="dxa"/>
            <w:vAlign w:val="bottom"/>
          </w:tcPr>
          <w:p>
            <w:pPr>
              <w:jc w:val="center"/>
              <w:ind w:right="1899"/>
              <w:spacing w:after="0"/>
              <w:rPr>
                <w:sz w:val="20"/>
                <w:szCs w:val="20"/>
                <w:color w:val="auto"/>
              </w:rPr>
            </w:pPr>
            <w:r>
              <w:rPr>
                <w:rFonts w:ascii="Times New Roman" w:cs="Times New Roman" w:eastAsia="Times New Roman" w:hAnsi="Times New Roman"/>
                <w:sz w:val="16"/>
                <w:szCs w:val="16"/>
                <w:b w:val="1"/>
                <w:bCs w:val="1"/>
                <w:color w:val="auto"/>
              </w:rPr>
              <w:t>27200 Tourney Road, Suite 200</w:t>
            </w:r>
          </w:p>
        </w:tc>
        <w:tc>
          <w:tcPr>
            <w:tcW w:w="4340" w:type="dxa"/>
            <w:vAlign w:val="bottom"/>
          </w:tcPr>
          <w:p>
            <w:pPr>
              <w:spacing w:after="0"/>
              <w:rPr>
                <w:sz w:val="24"/>
                <w:szCs w:val="24"/>
                <w:color w:val="auto"/>
              </w:rPr>
            </w:pPr>
          </w:p>
        </w:tc>
      </w:tr>
      <w:tr>
        <w:trPr>
          <w:trHeight w:val="212"/>
        </w:trPr>
        <w:tc>
          <w:tcPr>
            <w:tcW w:w="5840" w:type="dxa"/>
            <w:vAlign w:val="bottom"/>
          </w:tcPr>
          <w:p>
            <w:pPr>
              <w:jc w:val="center"/>
              <w:ind w:right="1919"/>
              <w:spacing w:after="0"/>
              <w:rPr>
                <w:sz w:val="20"/>
                <w:szCs w:val="20"/>
                <w:color w:val="auto"/>
              </w:rPr>
            </w:pPr>
            <w:r>
              <w:rPr>
                <w:rFonts w:ascii="Times New Roman" w:cs="Times New Roman" w:eastAsia="Times New Roman" w:hAnsi="Times New Roman"/>
                <w:sz w:val="16"/>
                <w:szCs w:val="16"/>
                <w:b w:val="1"/>
                <w:bCs w:val="1"/>
                <w:color w:val="auto"/>
              </w:rPr>
              <w:t>Santa Clarita, California</w:t>
            </w:r>
          </w:p>
        </w:tc>
        <w:tc>
          <w:tcPr>
            <w:tcW w:w="434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91355</w:t>
            </w:r>
          </w:p>
        </w:tc>
      </w:tr>
      <w:tr>
        <w:trPr>
          <w:trHeight w:val="257"/>
        </w:trPr>
        <w:tc>
          <w:tcPr>
            <w:tcW w:w="5840" w:type="dxa"/>
            <w:vAlign w:val="bottom"/>
          </w:tcPr>
          <w:p>
            <w:pPr>
              <w:jc w:val="center"/>
              <w:ind w:right="19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34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California Resources Corporation 2014 Employee Stock Purchase Plan</w:t>
      </w:r>
    </w:p>
    <w:p>
      <w:pPr>
        <w:jc w:val="center"/>
        <w:spacing w:after="0" w:line="229" w:lineRule="auto"/>
        <w:rPr>
          <w:sz w:val="20"/>
          <w:szCs w:val="20"/>
          <w:color w:val="auto"/>
        </w:rPr>
      </w:pPr>
      <w:r>
        <w:rPr>
          <w:rFonts w:ascii="Times New Roman" w:cs="Times New Roman" w:eastAsia="Times New Roman" w:hAnsi="Times New Roman"/>
          <w:sz w:val="18"/>
          <w:szCs w:val="18"/>
          <w:b w:val="1"/>
          <w:bCs w:val="1"/>
          <w:color w:val="auto"/>
        </w:rPr>
        <w:t>California Resources Corporation Long-Term Incentive Plan</w:t>
      </w:r>
    </w:p>
    <w:p>
      <w:pPr>
        <w:ind w:left="4920"/>
        <w:spacing w:after="0"/>
        <w:rPr>
          <w:sz w:val="20"/>
          <w:szCs w:val="20"/>
          <w:color w:val="auto"/>
        </w:rPr>
      </w:pPr>
      <w:r>
        <w:rPr>
          <w:rFonts w:ascii="Times New Roman" w:cs="Times New Roman" w:eastAsia="Times New Roman" w:hAnsi="Times New Roman"/>
          <w:sz w:val="16"/>
          <w:szCs w:val="16"/>
          <w:color w:val="auto"/>
        </w:rPr>
        <w:t>(Full title of the plan)</w:t>
      </w:r>
    </w:p>
    <w:p>
      <w:pPr>
        <w:spacing w:after="0" w:line="11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Michael L. Preston</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Senior Executive Vice President, Chief Administrative Officer and General Counsel</w:t>
      </w:r>
    </w:p>
    <w:p>
      <w:pPr>
        <w:jc w:val="center"/>
        <w:spacing w:after="0" w:line="211" w:lineRule="auto"/>
        <w:rPr>
          <w:sz w:val="20"/>
          <w:szCs w:val="20"/>
          <w:color w:val="auto"/>
        </w:rPr>
      </w:pPr>
      <w:r>
        <w:rPr>
          <w:rFonts w:ascii="Times New Roman" w:cs="Times New Roman" w:eastAsia="Times New Roman" w:hAnsi="Times New Roman"/>
          <w:sz w:val="16"/>
          <w:szCs w:val="16"/>
          <w:color w:val="auto"/>
        </w:rPr>
        <w:t>27200 Tourney Road, Suite 200</w:t>
      </w:r>
    </w:p>
    <w:p>
      <w:pPr>
        <w:jc w:val="center"/>
        <w:spacing w:after="0" w:line="211" w:lineRule="auto"/>
        <w:rPr>
          <w:sz w:val="20"/>
          <w:szCs w:val="20"/>
          <w:color w:val="auto"/>
        </w:rPr>
      </w:pPr>
      <w:r>
        <w:rPr>
          <w:rFonts w:ascii="Times New Roman" w:cs="Times New Roman" w:eastAsia="Times New Roman" w:hAnsi="Times New Roman"/>
          <w:sz w:val="16"/>
          <w:szCs w:val="16"/>
          <w:color w:val="auto"/>
        </w:rPr>
        <w:t>Santa Clarita, California 91355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and address of agent for service)</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(888) 848-4754</w:t>
      </w:r>
    </w:p>
    <w:p>
      <w:pPr>
        <w:jc w:val="center"/>
        <w:spacing w:after="0"/>
        <w:rPr>
          <w:sz w:val="20"/>
          <w:szCs w:val="20"/>
          <w:color w:val="auto"/>
        </w:rPr>
      </w:pPr>
      <w:r>
        <w:rPr>
          <w:rFonts w:ascii="Times New Roman" w:cs="Times New Roman" w:eastAsia="Times New Roman" w:hAnsi="Times New Roman"/>
          <w:sz w:val="16"/>
          <w:szCs w:val="16"/>
          <w:color w:val="auto"/>
        </w:rPr>
        <w:t>(Telephone number, including area code, of agent for service)</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Sarah K. Morgan</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Scott D. Rubinsky</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Vinson &amp; Elkins L.L.P.</w:t>
      </w:r>
    </w:p>
    <w:p>
      <w:pPr>
        <w:jc w:val="center"/>
        <w:spacing w:after="0" w:line="211" w:lineRule="auto"/>
        <w:rPr>
          <w:sz w:val="20"/>
          <w:szCs w:val="20"/>
          <w:color w:val="auto"/>
        </w:rPr>
      </w:pPr>
      <w:r>
        <w:rPr>
          <w:rFonts w:ascii="Times New Roman" w:cs="Times New Roman" w:eastAsia="Times New Roman" w:hAnsi="Times New Roman"/>
          <w:sz w:val="16"/>
          <w:szCs w:val="16"/>
          <w:color w:val="auto"/>
        </w:rPr>
        <w:t>1001 Fannin, Suite 2500</w:t>
      </w:r>
    </w:p>
    <w:p>
      <w:pPr>
        <w:jc w:val="center"/>
        <w:spacing w:after="0" w:line="212" w:lineRule="auto"/>
        <w:rPr>
          <w:sz w:val="20"/>
          <w:szCs w:val="20"/>
          <w:color w:val="auto"/>
        </w:rPr>
      </w:pPr>
      <w:r>
        <w:rPr>
          <w:rFonts w:ascii="Times New Roman" w:cs="Times New Roman" w:eastAsia="Times New Roman" w:hAnsi="Times New Roman"/>
          <w:sz w:val="16"/>
          <w:szCs w:val="16"/>
          <w:color w:val="auto"/>
        </w:rPr>
        <w:t>Houston, Texas 77002-6760</w:t>
      </w:r>
    </w:p>
    <w:p>
      <w:pPr>
        <w:jc w:val="center"/>
        <w:spacing w:after="0"/>
        <w:rPr>
          <w:sz w:val="20"/>
          <w:szCs w:val="20"/>
          <w:color w:val="auto"/>
        </w:rPr>
      </w:pPr>
      <w:r>
        <w:rPr>
          <w:rFonts w:ascii="Times New Roman" w:cs="Times New Roman" w:eastAsia="Times New Roman" w:hAnsi="Times New Roman"/>
          <w:sz w:val="16"/>
          <w:szCs w:val="16"/>
          <w:color w:val="auto"/>
        </w:rPr>
        <w:t>(713) 758-2222</w:t>
      </w:r>
    </w:p>
    <w:p>
      <w:pPr>
        <w:spacing w:after="0" w:line="284" w:lineRule="exact"/>
        <w:rPr>
          <w:sz w:val="24"/>
          <w:szCs w:val="24"/>
          <w:color w:val="auto"/>
        </w:rPr>
      </w:pPr>
    </w:p>
    <w:p>
      <w:pPr>
        <w:ind w:right="1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6" w:right="339" w:bottom="1440" w:gutter="0" w:footer="0" w:header="0"/>
        </w:sectPr>
      </w:pPr>
    </w:p>
    <w:p>
      <w:pPr>
        <w:spacing w:after="0" w:line="80" w:lineRule="exact"/>
        <w:rPr>
          <w:sz w:val="24"/>
          <w:szCs w:val="24"/>
          <w:color w:val="auto"/>
        </w:rPr>
      </w:pPr>
    </w:p>
    <w:p>
      <w:pPr>
        <w:ind w:left="1460"/>
        <w:spacing w:after="0" w:line="230"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jc w:val="center"/>
        <w:ind w:right="3360"/>
        <w:spacing w:after="0" w:line="230"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20"/>
          <w:szCs w:val="20"/>
          <w:color w:val="auto"/>
        </w:rPr>
        <w:t>☐</w:t>
      </w:r>
    </w:p>
    <w:p>
      <w:pPr>
        <w:spacing w:after="0" w:line="108" w:lineRule="exact"/>
        <w:rPr>
          <w:sz w:val="24"/>
          <w:szCs w:val="24"/>
          <w:color w:val="auto"/>
        </w:rPr>
      </w:pPr>
    </w:p>
    <w:p>
      <w:pPr>
        <w:sectPr>
          <w:pgSz w:w="11900" w:h="16838" w:orient="portrait"/>
          <w:cols w:equalWidth="0" w:num="2">
            <w:col w:w="5840" w:space="720"/>
            <w:col w:w="4680"/>
          </w:cols>
          <w:pgMar w:left="320" w:top="866" w:right="339" w:bottom="1440" w:gutter="0" w:footer="0" w:header="0"/>
          <w:type w:val="continuous"/>
        </w:sectPr>
      </w:pPr>
    </w:p>
    <w:p>
      <w:pPr>
        <w:ind w:left="1460"/>
        <w:spacing w:after="0" w:line="230"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21"/>
          <w:szCs w:val="21"/>
          <w:color w:val="auto"/>
        </w:rPr>
        <w:t>☐</w:t>
      </w:r>
    </w:p>
    <w:p>
      <w:pPr>
        <w:spacing w:after="0" w:line="70"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21"/>
          <w:szCs w:val="21"/>
          <w:color w:val="auto"/>
        </w:rPr>
        <w:t>☐</w:t>
      </w:r>
    </w:p>
    <w:p>
      <w:pPr>
        <w:spacing w:after="0" w:line="169" w:lineRule="exact"/>
        <w:rPr>
          <w:sz w:val="24"/>
          <w:szCs w:val="24"/>
          <w:color w:val="auto"/>
        </w:rPr>
      </w:pPr>
    </w:p>
    <w:p>
      <w:pPr>
        <w:sectPr>
          <w:pgSz w:w="11900" w:h="16838" w:orient="portrait"/>
          <w:cols w:equalWidth="0" w:num="2">
            <w:col w:w="5840" w:space="720"/>
            <w:col w:w="4680"/>
          </w:cols>
          <w:pgMar w:left="320" w:top="866" w:right="339" w:bottom="1440" w:gutter="0" w:footer="0" w:header="0"/>
          <w:type w:val="continuous"/>
        </w:sectPr>
      </w:pPr>
    </w:p>
    <w:p>
      <w:pPr>
        <w:ind w:right="58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NOTE/DEREGISTRATION OF SECURITIES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California Resources Corporation, a Delaware corporation (the “Registrant”), is filing these post-effective amendments (the “Post-Effective Amendments”) to the following Registration Statements on Form S-8 (the “Registration Statements”), which have been previously filed with the Securities and Exchange Commission (the “SEC”), to deregister any and all shares of the Registrant’s common stock, par value $0.01 per share (“Common Stock”), registered but unsold or otherwise unissued under each such Registration Statement as of the date hereof (note that the share numbers listed below do not take into account corporate actions, such as stock splits, taken in the interim):</w:t>
      </w:r>
    </w:p>
    <w:p>
      <w:pPr>
        <w:spacing w:after="0" w:line="156" w:lineRule="exact"/>
        <w:rPr>
          <w:sz w:val="20"/>
          <w:szCs w:val="20"/>
          <w:color w:val="auto"/>
        </w:rPr>
      </w:pPr>
    </w:p>
    <w:p>
      <w:pPr>
        <w:ind w:left="660" w:right="140" w:hanging="328"/>
        <w:spacing w:after="0" w:line="266"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333-200610, filed with the SEC on November 26, 2014, registering 5,000,000 shares of Common Stock issuable pursuant to the California Resources Corporation 2014 Employee Stock Purchase Plan, as amended and restated (the “Employee Stock Purchase Plan”);</w:t>
      </w:r>
    </w:p>
    <w:p>
      <w:pPr>
        <w:spacing w:after="0" w:line="13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333-200611, filed with the SEC on November 26, 2014, registering 27,500,000 shares of Common Stock issuable pursuant to the California Resources Corporation Long-Term Incentive Plan, as amended and restated (the “LTIP”);</w:t>
      </w:r>
    </w:p>
    <w:p>
      <w:pPr>
        <w:spacing w:after="0" w:line="12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333-211106, filed with the SEC on May 4, 2016, registering 5,000,000 shares of Common Stock issuable pursuant to the Employee Stock Purchase Plan;</w:t>
      </w:r>
    </w:p>
    <w:p>
      <w:pPr>
        <w:spacing w:after="0" w:line="13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333-211107, filed with the SEC on May 4, 2016, registering 22,000,000 shares of Common Stock issuable pursuant to the LTIP;</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333-226616, filed with the SEC on August 6, 2018, registering 500,000 shares of Common Stock issuable pursuant to the Employee Stock Purchase Plan; and</w:t>
      </w:r>
    </w:p>
    <w:p>
      <w:pPr>
        <w:spacing w:after="0" w:line="12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333-231314, filed with the SEC on May 9, 2019, registering 2,575,000 shares of Common Stock issuable pursuant to the LTIP.</w:t>
      </w:r>
    </w:p>
    <w:p>
      <w:pPr>
        <w:spacing w:after="0" w:line="13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previously disclosed, on July 15, 2020, the Registrant and certain of its subsidiaries (collectively with the Registrant, the “Debtors”) filed voluntary petitions for reorganization under chapter 11 of the United States Bankruptcy Code in the United States Bankruptcy Court for the Southern District of Texas, Houston Division (the “Bankruptcy Court”). The Debtors obtained joint administration of their chapter 11 cases under the caption </w:t>
      </w:r>
      <w:r>
        <w:rPr>
          <w:rFonts w:ascii="Times New Roman" w:cs="Times New Roman" w:eastAsia="Times New Roman" w:hAnsi="Times New Roman"/>
          <w:sz w:val="18"/>
          <w:szCs w:val="18"/>
          <w:i w:val="1"/>
          <w:iCs w:val="1"/>
          <w:color w:val="auto"/>
        </w:rPr>
        <w:t>In 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California Resources Corporation, et al., Case No. 20-33568 (DRJ)</w:t>
      </w:r>
      <w:r>
        <w:rPr>
          <w:rFonts w:ascii="Times New Roman" w:cs="Times New Roman" w:eastAsia="Times New Roman" w:hAnsi="Times New Roman"/>
          <w:sz w:val="18"/>
          <w:szCs w:val="18"/>
          <w:color w:val="auto"/>
        </w:rPr>
        <w:t>. The Registrant’s plan of reorganization (the “Plan”) was confirmed by the Bankruptcy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on October 13, 2020, and the Registrant emerged from the bankruptcy proceedings on October 27, 2020 (the “Effective Date”). On the Effective Date, all equity securities of the Registrant were cancelled pursuant to the Plan. These Post-Effective Amendments are being filed as a result of the Registrant’s reorganization and the cancellation of its equity securities.</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Registrant, by filing these Post-Effective Amendments, hereby terminates the effectiveness of the Registration Statements and removes from registration any and all shares of Common Stock registered but unsold or otherwise unissued under the Registration Statements as of the date hereof. This filing is made in accordance with an undertaking made by the Registrant in Part II of each Registration Statement to remove from registration by means of a post-effective amendment any securities that had been registered for issuance but remain unsold at the termination of the offering.</w:t>
      </w:r>
    </w:p>
    <w:p>
      <w:pPr>
        <w:sectPr>
          <w:pgSz w:w="11900" w:h="16838" w:orient="portrait"/>
          <w:cols w:equalWidth="0" w:num="1">
            <w:col w:w="11200"/>
          </w:cols>
          <w:pgMar w:left="320" w:top="1413" w:right="37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Santa Clarita, State of California, on October 27, 2020.</w:t>
      </w:r>
    </w:p>
    <w:p>
      <w:pPr>
        <w:spacing w:after="0" w:line="19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Roy M.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34290</wp:posOffset>
            </wp:positionV>
            <wp:extent cx="27343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Roy M. Pineci</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30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in reliance on Rule 478 of the Securities Act of 1933, as amended.</w:t>
      </w:r>
    </w:p>
    <w:sectPr>
      <w:pgSz w:w="11900" w:h="16838" w:orient="portrait"/>
      <w:cols w:equalWidth="0" w:num="1">
        <w:col w:w="11100"/>
      </w:cols>
      <w:pgMar w:left="320" w:top="141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2020-10-28T05:15:04Z</dcterms:created>
  <dcterms:modified xsi:type="dcterms:W3CDTF">2020-10-28T05:15:04Z</dcterms:modified>
</cp:coreProperties>
</file>