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576580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47"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Date of report (Date of earliest event reported): February 24, 2022</w:t>
      </w:r>
    </w:p>
    <w:p>
      <w:pPr>
        <w:spacing w:after="0" w:line="20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1"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California Resources Corporation</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393" w:right="499" w:bottom="1440" w:gutter="0" w:footer="0" w:header="0"/>
        </w:sectPr>
      </w:pPr>
    </w:p>
    <w:p>
      <w:pPr>
        <w:spacing w:after="0" w:line="118"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4"/>
          <w:szCs w:val="24"/>
          <w:color w:val="auto"/>
        </w:r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14"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001-36478</w:t>
      </w:r>
    </w:p>
    <w:p>
      <w:pPr>
        <w:spacing w:after="0" w:line="24"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(Commission</w:t>
      </w:r>
    </w:p>
    <w:p>
      <w:pPr>
        <w:spacing w:after="0" w:line="14"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5"/>
          <w:szCs w:val="15"/>
          <w:color w:val="auto"/>
        </w:rPr>
        <w:t>Identification No.)</w:t>
      </w:r>
    </w:p>
    <w:p>
      <w:pPr>
        <w:spacing w:after="0" w:line="125" w:lineRule="exact"/>
        <w:rPr>
          <w:sz w:val="24"/>
          <w:szCs w:val="24"/>
          <w:color w:val="auto"/>
        </w:rPr>
      </w:pPr>
    </w:p>
    <w:p>
      <w:pPr>
        <w:sectPr>
          <w:pgSz w:w="11900" w:h="16838" w:orient="portrait"/>
          <w:cols w:equalWidth="0" w:num="3">
            <w:col w:w="4380" w:space="720"/>
            <w:col w:w="2880" w:space="720"/>
            <w:col w:w="2380"/>
          </w:cols>
          <w:pgMar w:left="320" w:top="1393" w:right="499" w:bottom="1440" w:gutter="0" w:footer="0" w:header="0"/>
          <w:type w:val="continuous"/>
        </w:sectPr>
      </w:pPr>
    </w:p>
    <w:p>
      <w:pPr>
        <w:jc w:val="center"/>
        <w:ind w:right="1700"/>
        <w:spacing w:after="0"/>
        <w:rPr>
          <w:sz w:val="20"/>
          <w:szCs w:val="20"/>
          <w:color w:val="auto"/>
        </w:rPr>
      </w:pPr>
      <w:r>
        <w:rPr>
          <w:rFonts w:ascii="Arial" w:cs="Arial" w:eastAsia="Arial" w:hAnsi="Arial"/>
          <w:sz w:val="18"/>
          <w:szCs w:val="18"/>
          <w:b w:val="1"/>
          <w:bCs w:val="1"/>
          <w:color w:val="auto"/>
        </w:rPr>
        <w:t>27200 Tourney Road</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Suite 200</w:t>
      </w:r>
    </w:p>
    <w:p>
      <w:pPr>
        <w:spacing w:after="0" w:line="1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Santa Clarita</w:t>
      </w:r>
    </w:p>
    <w:p>
      <w:pPr>
        <w:spacing w:after="0" w:line="1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p>
    <w:p>
      <w:pPr>
        <w:jc w:val="center"/>
        <w:ind w:right="170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91355</w:t>
      </w:r>
    </w:p>
    <w:p>
      <w:pPr>
        <w:spacing w:after="0" w:line="24" w:lineRule="exact"/>
        <w:rPr>
          <w:sz w:val="24"/>
          <w:szCs w:val="24"/>
          <w:color w:val="auto"/>
        </w:rPr>
      </w:pPr>
    </w:p>
    <w:p>
      <w:pPr>
        <w:jc w:val="center"/>
        <w:ind w:right="2280"/>
        <w:spacing w:after="0"/>
        <w:rPr>
          <w:sz w:val="20"/>
          <w:szCs w:val="20"/>
          <w:color w:val="auto"/>
        </w:rPr>
      </w:pPr>
      <w:r>
        <w:rPr>
          <w:rFonts w:ascii="Arial" w:cs="Arial" w:eastAsia="Arial" w:hAnsi="Arial"/>
          <w:sz w:val="15"/>
          <w:szCs w:val="15"/>
          <w:color w:val="auto"/>
        </w:rPr>
        <w:t>(Zip Code)</w:t>
      </w:r>
    </w:p>
    <w:p>
      <w:pPr>
        <w:spacing w:after="0" w:line="193" w:lineRule="exact"/>
        <w:rPr>
          <w:sz w:val="24"/>
          <w:szCs w:val="24"/>
          <w:color w:val="auto"/>
        </w:rPr>
      </w:pPr>
    </w:p>
    <w:p>
      <w:pPr>
        <w:sectPr>
          <w:pgSz w:w="11900" w:h="16838" w:orient="portrait"/>
          <w:cols w:equalWidth="0" w:num="2">
            <w:col w:w="7300" w:space="720"/>
            <w:col w:w="3060"/>
          </w:cols>
          <w:pgMar w:left="320" w:top="1393" w:right="499" w:bottom="1440" w:gutter="0" w:footer="0" w:header="0"/>
          <w:type w:val="continuous"/>
        </w:sectPr>
      </w:pPr>
    </w:p>
    <w:p>
      <w:pPr>
        <w:ind w:left="300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Written communications pursuant to Rule 425 under the Securities Act (17 CFR 230.425)</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Soliciting material pursuant to Rule 14a-12 under the Exchange Act (17 CFR 240.14a-12)</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Pre-commencement communications pursuant to Rule 14d-2(b) under the Exchange Act (17 CFR 240.14d-2(b))</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Pre-commencement communications pursuant to Rule 13e-4(c) under the Exchange Act (17 CFR 240.13e-4(c))</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1393" w:right="499" w:bottom="1440" w:gutter="0" w:footer="0" w:header="0"/>
          <w:type w:val="continuous"/>
        </w:sectPr>
      </w:pPr>
    </w:p>
    <w:p>
      <w:pPr>
        <w:spacing w:after="0" w:line="118"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Title of each class</w:t>
      </w:r>
    </w:p>
    <w:p>
      <w:pPr>
        <w:spacing w:after="0" w:line="5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860"/>
        <w:spacing w:after="0"/>
        <w:rPr>
          <w:sz w:val="20"/>
          <w:szCs w:val="20"/>
          <w:color w:val="auto"/>
        </w:rPr>
      </w:pPr>
      <w:r>
        <w:rPr>
          <w:rFonts w:ascii="Arial" w:cs="Arial" w:eastAsia="Arial" w:hAnsi="Arial"/>
          <w:sz w:val="15"/>
          <w:szCs w:val="15"/>
          <w:b w:val="1"/>
          <w:bCs w:val="1"/>
          <w:color w:val="auto"/>
        </w:rPr>
        <w:t>Trading Symbol(s)</w:t>
      </w:r>
    </w:p>
    <w:p>
      <w:pPr>
        <w:spacing w:after="0" w:line="5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60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9"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New York Stock Exchange</w:t>
      </w:r>
    </w:p>
    <w:p>
      <w:pPr>
        <w:spacing w:after="0" w:line="164" w:lineRule="exact"/>
        <w:rPr>
          <w:sz w:val="24"/>
          <w:szCs w:val="24"/>
          <w:color w:val="auto"/>
        </w:rPr>
      </w:pPr>
    </w:p>
    <w:p>
      <w:pPr>
        <w:sectPr>
          <w:pgSz w:w="11900" w:h="16838" w:orient="portrait"/>
          <w:cols w:equalWidth="0" w:num="3">
            <w:col w:w="3500" w:space="720"/>
            <w:col w:w="2260" w:space="720"/>
            <w:col w:w="3880"/>
          </w:cols>
          <w:pgMar w:left="320" w:top="1393" w:right="499" w:bottom="1440" w:gutter="0" w:footer="0" w:header="0"/>
          <w:type w:val="continuous"/>
        </w:sect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07"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762000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210820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236220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80"/>
          </w:cols>
          <w:pgMar w:left="320" w:top="1393" w:right="499" w:bottom="1440" w:gutter="0" w:footer="0" w:header="0"/>
          <w:type w:val="continuous"/>
        </w:sectPr>
      </w:pPr>
    </w:p>
    <w:bookmarkStart w:id="1" w:name="page2"/>
    <w:bookmarkEnd w:id="1"/>
    <w:p>
      <w:pPr>
        <w:spacing w:after="0" w:line="2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24, 2022, California Resources Corporation (the “Company”) issued a press release announcing its financial condition and results of operations for the three and twelve months ended December 31, 2021. A copy of the press release is furnished as Exhibit 99.1 to this report on Form 8-K, and is incorporated herein by reference.</w:t>
      </w:r>
    </w:p>
    <w:p>
      <w:pPr>
        <w:spacing w:after="0" w:line="14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97"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51" w:lineRule="exact"/>
        <w:rPr>
          <w:sz w:val="20"/>
          <w:szCs w:val="20"/>
          <w:color w:val="auto"/>
        </w:rPr>
      </w:pPr>
    </w:p>
    <w:p>
      <w:pPr>
        <w:jc w:val="both"/>
        <w:ind w:right="120"/>
        <w:spacing w:after="0" w:line="330" w:lineRule="auto"/>
        <w:rPr>
          <w:sz w:val="20"/>
          <w:szCs w:val="20"/>
          <w:color w:val="auto"/>
        </w:rPr>
      </w:pPr>
      <w:r>
        <w:rPr>
          <w:rFonts w:ascii="Arial" w:cs="Arial" w:eastAsia="Arial" w:hAnsi="Arial"/>
          <w:sz w:val="15"/>
          <w:szCs w:val="15"/>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2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71"/>
        </w:trPr>
        <w:tc>
          <w:tcPr>
            <w:tcW w:w="21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Exhibit No.</w:t>
            </w:r>
          </w:p>
        </w:tc>
        <w:tc>
          <w:tcPr>
            <w:tcW w:w="2720" w:type="dxa"/>
            <w:vAlign w:val="bottom"/>
          </w:tcPr>
          <w:p>
            <w:pPr>
              <w:spacing w:after="0"/>
              <w:rPr>
                <w:sz w:val="24"/>
                <w:szCs w:val="24"/>
                <w:color w:val="auto"/>
              </w:rPr>
            </w:pPr>
          </w:p>
        </w:tc>
        <w:tc>
          <w:tcPr>
            <w:tcW w:w="2240" w:type="dxa"/>
            <w:vAlign w:val="bottom"/>
          </w:tcPr>
          <w:p>
            <w:pPr>
              <w:ind w:left="1360"/>
              <w:spacing w:after="0"/>
              <w:rPr>
                <w:sz w:val="20"/>
                <w:szCs w:val="20"/>
                <w:color w:val="auto"/>
              </w:rPr>
            </w:pPr>
            <w:r>
              <w:rPr>
                <w:rFonts w:ascii="Arial" w:cs="Arial" w:eastAsia="Arial" w:hAnsi="Arial"/>
                <w:sz w:val="18"/>
                <w:szCs w:val="18"/>
                <w:b w:val="1"/>
                <w:bCs w:val="1"/>
                <w:color w:val="auto"/>
                <w:w w:val="86"/>
              </w:rPr>
              <w:t>Description</w:t>
            </w:r>
          </w:p>
        </w:tc>
      </w:tr>
      <w:tr>
        <w:trPr>
          <w:trHeight w:val="240"/>
        </w:trPr>
        <w:tc>
          <w:tcPr>
            <w:tcW w:w="2180" w:type="dxa"/>
            <w:vAlign w:val="bottom"/>
          </w:tcPr>
          <w:p>
            <w:pPr>
              <w:jc w:val="right"/>
              <w:ind w:right="972"/>
              <w:spacing w:after="0"/>
              <w:rPr>
                <w:sz w:val="20"/>
                <w:szCs w:val="20"/>
                <w:color w:val="auto"/>
              </w:rPr>
            </w:pPr>
            <w:r>
              <w:rPr>
                <w:rFonts w:ascii="Arial" w:cs="Arial" w:eastAsia="Arial" w:hAnsi="Arial"/>
                <w:sz w:val="18"/>
                <w:szCs w:val="18"/>
                <w:color w:val="auto"/>
              </w:rPr>
              <w:t>99.1</w:t>
            </w:r>
          </w:p>
        </w:tc>
        <w:tc>
          <w:tcPr>
            <w:tcW w:w="49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dated February 24, </w:t>
              </w:r>
            </w:hyperlink>
            <w:r>
              <w:rPr>
                <w:rFonts w:ascii="Arial" w:cs="Arial" w:eastAsia="Arial" w:hAnsi="Arial"/>
                <w:sz w:val="18"/>
                <w:szCs w:val="18"/>
                <w:color w:val="0000FF"/>
              </w:rPr>
              <w:t>2022.</w:t>
            </w:r>
          </w:p>
        </w:tc>
      </w:tr>
      <w:tr>
        <w:trPr>
          <w:trHeight w:val="20"/>
        </w:trPr>
        <w:tc>
          <w:tcPr>
            <w:tcW w:w="21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54" w:lineRule="exact"/>
        <w:rPr>
          <w:sz w:val="20"/>
          <w:szCs w:val="20"/>
          <w:color w:val="auto"/>
        </w:rPr>
      </w:pPr>
    </w:p>
    <w:p>
      <w:pPr>
        <w:ind w:left="2180" w:hanging="1346"/>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3" w:lineRule="exact"/>
        <w:rPr>
          <w:sz w:val="20"/>
          <w:szCs w:val="20"/>
          <w:color w:val="auto"/>
        </w:rPr>
      </w:pPr>
    </w:p>
    <w:p>
      <w:pPr>
        <w:ind w:right="520" w:firstLine="636"/>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6" w:lineRule="exact"/>
        <w:rPr>
          <w:sz w:val="20"/>
          <w:szCs w:val="20"/>
          <w:color w:val="auto"/>
        </w:rPr>
      </w:pPr>
    </w:p>
    <w:tbl>
      <w:tblPr>
        <w:tblLayout w:type="fixed"/>
        <w:tblInd w:w="4800" w:type="dxa"/>
        <w:tblCellMar>
          <w:top w:w="0" w:type="dxa"/>
          <w:left w:w="0" w:type="dxa"/>
          <w:bottom w:w="0" w:type="dxa"/>
          <w:right w:w="0" w:type="dxa"/>
        </w:tblCellMar>
      </w:tblPr>
      <w:tr>
        <w:trPr>
          <w:trHeight w:val="220"/>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37"/>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0"/>
              </w:rPr>
              <w:t>Executive Vice President, Chief 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2022</w:t>
      </w:r>
    </w:p>
    <w:p>
      <w:pPr>
        <w:sectPr>
          <w:pgSz w:w="11900" w:h="16838" w:orient="portrait"/>
          <w:cols w:equalWidth="0" w:num="1">
            <w:col w:w="11240"/>
          </w:cols>
          <w:pgMar w:left="320" w:top="139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5726430</wp:posOffset>
            </wp:positionH>
            <wp:positionV relativeFrom="page">
              <wp:posOffset>720090</wp:posOffset>
            </wp:positionV>
            <wp:extent cx="1615440"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5440" cy="47117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246" w:lineRule="exact"/>
        <w:rPr>
          <w:sz w:val="20"/>
          <w:szCs w:val="20"/>
          <w:color w:val="auto"/>
        </w:rPr>
      </w:pPr>
    </w:p>
    <w:p>
      <w:pPr>
        <w:jc w:val="center"/>
        <w:spacing w:after="0" w:line="238" w:lineRule="auto"/>
        <w:rPr>
          <w:sz w:val="20"/>
          <w:szCs w:val="20"/>
          <w:color w:val="auto"/>
        </w:rPr>
      </w:pPr>
      <w:r>
        <w:rPr>
          <w:rFonts w:ascii="Arial" w:cs="Arial" w:eastAsia="Arial" w:hAnsi="Arial"/>
          <w:sz w:val="21"/>
          <w:szCs w:val="21"/>
          <w:b w:val="1"/>
          <w:bCs w:val="1"/>
          <w:u w:val="single" w:color="auto"/>
          <w:color w:val="auto"/>
        </w:rPr>
        <w:t>California Resources Generates a Record $466 Million of Free Cash Flow</w:t>
      </w:r>
      <w:r>
        <w:rPr>
          <w:rFonts w:ascii="Arial" w:cs="Arial" w:eastAsia="Arial" w:hAnsi="Arial"/>
          <w:sz w:val="27"/>
          <w:szCs w:val="27"/>
          <w:b w:val="1"/>
          <w:bCs w:val="1"/>
          <w:u w:val="single" w:color="auto"/>
          <w:color w:val="auto"/>
          <w:vertAlign w:val="superscript"/>
        </w:rPr>
        <w:t>1</w:t>
      </w:r>
      <w:r>
        <w:rPr>
          <w:rFonts w:ascii="Arial" w:cs="Arial" w:eastAsia="Arial" w:hAnsi="Arial"/>
          <w:sz w:val="21"/>
          <w:szCs w:val="21"/>
          <w:b w:val="1"/>
          <w:bCs w:val="1"/>
          <w:color w:val="auto"/>
        </w:rPr>
        <w:t xml:space="preserve"> in 2021, Reports $660 Million of </w:t>
      </w:r>
      <w:r>
        <w:rPr>
          <w:rFonts w:ascii="Arial" w:cs="Arial" w:eastAsia="Arial" w:hAnsi="Arial"/>
          <w:sz w:val="21"/>
          <w:szCs w:val="21"/>
          <w:b w:val="1"/>
          <w:bCs w:val="1"/>
          <w:u w:val="single" w:color="auto"/>
          <w:color w:val="auto"/>
        </w:rPr>
        <w:t>Operating Cash Flow, Increases its Share Repurchase Program by 40% and Continues to Advance its Low Carbon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-350520</wp:posOffset>
            </wp:positionV>
            <wp:extent cx="204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216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Santa Clarita, February 24, 2022 - California Resources Corporation (NYSE: CRC), an independent oil and natural gas company committed to energy transition in the sector, today reported fourth quarter and full year 2021 operational and financial results.</w:t>
      </w:r>
    </w:p>
    <w:p>
      <w:pPr>
        <w:spacing w:after="0" w:line="217" w:lineRule="exact"/>
        <w:rPr>
          <w:sz w:val="20"/>
          <w:szCs w:val="20"/>
          <w:color w:val="auto"/>
        </w:rPr>
      </w:pPr>
    </w:p>
    <w:p>
      <w:pPr>
        <w:jc w:val="both"/>
        <w:ind w:firstLine="318"/>
        <w:spacing w:after="0" w:line="220" w:lineRule="auto"/>
        <w:rPr>
          <w:sz w:val="20"/>
          <w:szCs w:val="20"/>
          <w:color w:val="auto"/>
        </w:rPr>
      </w:pPr>
      <w:r>
        <w:rPr>
          <w:rFonts w:ascii="Arial" w:cs="Arial" w:eastAsia="Arial" w:hAnsi="Arial"/>
          <w:sz w:val="21"/>
          <w:szCs w:val="21"/>
          <w:color w:val="auto"/>
        </w:rPr>
        <w:t>"2021 was a transformative year for CRC. We optimized our portfolio, maintained operational excellence, generated record free cash flow and advanced our Carbon Management Business," said Mac McFarland, President and Chief Executive Officer. "Our strong execution throughout the year and excellent financial results have allowed us to continue to demonstrate our commitment to shareholder returns. I am pleased to announce that the Board has authorized a $100 million, or 40%, increase to our share repurchase program and extended the term through 2022. Operationally, we plan to sustain our oil and gas operations with a four drilling rig program throughout 2022. We expect to exit 2022 with net production of ~58,000 barrels of oil per day, similar to the rate that we exited 2021, even after the divestitures of the remaining Ventura assets and our non-operated Lost Hills working interest. Given this outlook, we expect to generate significant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in 2022 after fully funding our plans to deploy approximately $85 million into our Carbon Management Business."</w:t>
      </w:r>
    </w:p>
    <w:p>
      <w:pPr>
        <w:spacing w:after="0" w:line="214"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21"/>
          <w:szCs w:val="21"/>
          <w:color w:val="auto"/>
        </w:rPr>
        <w:t>Mr. McFarland continued, "CRC continues to see robust interest and incredible need for our Carbon Management Business. In 2022, we continue to target emitter contracts and are filing additional permit applications for our Carbon TerraVault projects. CRC remains focused on safely, responsibly and sustainably meeting California’s energy demand today, and leveraging its position to help decarbonize California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Primary Highlights</w:t>
      </w:r>
    </w:p>
    <w:p>
      <w:pPr>
        <w:spacing w:after="0" w:line="275" w:lineRule="exact"/>
        <w:rPr>
          <w:sz w:val="20"/>
          <w:szCs w:val="20"/>
          <w:color w:val="auto"/>
        </w:rPr>
      </w:pPr>
    </w:p>
    <w:p>
      <w:pPr>
        <w:jc w:val="both"/>
        <w:ind w:left="320" w:hanging="195"/>
        <w:spacing w:after="0" w:line="233"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Reported net income attributable to common stock of $612 million, or $7.37 per diluted share. When adjusted for items analysts typically exclude from estimates including the release of the tax valuation allowance, noncash mark-to-market losses and gains on asset divestitures, the Company’s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$506 million, or $6.10 per diluted share</w:t>
      </w:r>
    </w:p>
    <w:p>
      <w:pPr>
        <w:spacing w:after="0" w:line="2" w:lineRule="exact"/>
        <w:rPr>
          <w:rFonts w:ascii="Arial" w:cs="Arial" w:eastAsia="Arial" w:hAnsi="Arial"/>
          <w:sz w:val="21"/>
          <w:szCs w:val="21"/>
          <w:color w:val="auto"/>
        </w:rPr>
      </w:pPr>
    </w:p>
    <w:p>
      <w:pPr>
        <w:ind w:left="320" w:hanging="195"/>
        <w:spacing w:after="0" w:line="194"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$660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$860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$466 million in 2021</w:t>
      </w:r>
    </w:p>
    <w:p>
      <w:pPr>
        <w:spacing w:after="0" w:line="1" w:lineRule="exact"/>
        <w:rPr>
          <w:rFonts w:ascii="Arial" w:cs="Arial" w:eastAsia="Arial" w:hAnsi="Arial"/>
          <w:sz w:val="21"/>
          <w:szCs w:val="21"/>
          <w:color w:val="auto"/>
        </w:rPr>
      </w:pPr>
    </w:p>
    <w:p>
      <w:pPr>
        <w:ind w:left="260" w:hanging="135"/>
        <w:spacing w:after="0"/>
        <w:tabs>
          <w:tab w:leader="none" w:pos="260" w:val="left"/>
        </w:tabs>
        <w:numPr>
          <w:ilvl w:val="0"/>
          <w:numId w:val="3"/>
        </w:numPr>
        <w:rPr>
          <w:rFonts w:ascii="Arial" w:cs="Arial" w:eastAsia="Arial" w:hAnsi="Arial"/>
          <w:sz w:val="21"/>
          <w:szCs w:val="21"/>
          <w:color w:val="auto"/>
        </w:rPr>
      </w:pPr>
      <w:r>
        <w:rPr>
          <w:rFonts w:ascii="Arial" w:cs="Arial" w:eastAsia="Arial" w:hAnsi="Arial"/>
          <w:sz w:val="21"/>
          <w:szCs w:val="21"/>
          <w:color w:val="auto"/>
        </w:rPr>
        <w:t>Produced approximately 60,000 barrels of oil per day, with total capital expenditures of $194 million in 2021</w:t>
      </w:r>
    </w:p>
    <w:p>
      <w:pPr>
        <w:spacing w:after="0" w:line="10" w:lineRule="exact"/>
        <w:rPr>
          <w:rFonts w:ascii="Arial" w:cs="Arial" w:eastAsia="Arial" w:hAnsi="Arial"/>
          <w:sz w:val="21"/>
          <w:szCs w:val="21"/>
          <w:color w:val="auto"/>
        </w:rPr>
      </w:pPr>
    </w:p>
    <w:p>
      <w:pPr>
        <w:jc w:val="both"/>
        <w:ind w:left="320" w:hanging="195"/>
        <w:spacing w:after="0" w:line="250"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Declared a quarterly dividend of $0.17 per share of common stock, totaling $13 million payable on March 16, 2022, to shareholders of record on March 7, 2022, with subsequent quarterly dividends subject to final determination and Board approval</w:t>
      </w:r>
    </w:p>
    <w:p>
      <w:pPr>
        <w:ind w:left="320" w:hanging="195"/>
        <w:spacing w:after="0" w:line="264"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Repurchased an aggregate 5,023,188 shares for $188 million through February 18, 2022, under the share repurchase program for an average price of $37.29 per share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jc w:val="both"/>
        <w:ind w:left="320" w:hanging="195"/>
        <w:spacing w:after="0" w:line="245"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2022, increased the share repurchase program by $100 million to $350 million in aggregate and extended the term of the program through December 31, 2022. After the repurchases through February 18, 2022, and the $100 million increase, CRC has $162 million available for future repurchases</w:t>
      </w:r>
    </w:p>
    <w:p>
      <w:pPr>
        <w:spacing w:after="0" w:line="2" w:lineRule="exact"/>
        <w:rPr>
          <w:rFonts w:ascii="Arial" w:cs="Arial" w:eastAsia="Arial" w:hAnsi="Arial"/>
          <w:sz w:val="21"/>
          <w:szCs w:val="21"/>
          <w:color w:val="auto"/>
        </w:rPr>
      </w:pPr>
    </w:p>
    <w:p>
      <w:pPr>
        <w:ind w:left="260" w:hanging="135"/>
        <w:spacing w:after="0"/>
        <w:tabs>
          <w:tab w:leader="none" w:pos="260" w:val="left"/>
        </w:tabs>
        <w:numPr>
          <w:ilvl w:val="0"/>
          <w:numId w:val="4"/>
        </w:numPr>
        <w:rPr>
          <w:rFonts w:ascii="Arial" w:cs="Arial" w:eastAsia="Arial" w:hAnsi="Arial"/>
          <w:sz w:val="21"/>
          <w:szCs w:val="21"/>
          <w:color w:val="auto"/>
        </w:rPr>
      </w:pPr>
      <w:r>
        <w:rPr>
          <w:rFonts w:ascii="Arial" w:cs="Arial" w:eastAsia="Arial" w:hAnsi="Arial"/>
          <w:sz w:val="21"/>
          <w:szCs w:val="21"/>
          <w:color w:val="auto"/>
        </w:rPr>
        <w:t>Sold non-operated working interest in certain horizons within the Lost Hills field for cash proceeds of $55 million</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Fourth Quarter 2021 Highlights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w:t>
      </w:r>
    </w:p>
    <w:p>
      <w:pPr>
        <w:spacing w:after="0" w:line="36" w:lineRule="exact"/>
        <w:rPr>
          <w:sz w:val="20"/>
          <w:szCs w:val="20"/>
          <w:color w:val="auto"/>
        </w:rPr>
      </w:pPr>
    </w:p>
    <w:p>
      <w:pPr>
        <w:jc w:val="both"/>
        <w:ind w:left="320" w:hanging="195"/>
        <w:spacing w:after="0" w:line="233"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Reported net income attributable to common stock of $714 million, or $8.71 per diluted share. When adjusted for items analysts typically exclude from estimates including the release of the tax valuation allowance, noncash mark-to-market losses and gains on asset divestitures, the Company's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$175 million, or $2.13 per diluted share</w:t>
      </w:r>
    </w:p>
    <w:p>
      <w:pPr>
        <w:spacing w:after="0" w:line="2" w:lineRule="exact"/>
        <w:rPr>
          <w:rFonts w:ascii="Arial" w:cs="Arial" w:eastAsia="Arial" w:hAnsi="Arial"/>
          <w:sz w:val="21"/>
          <w:szCs w:val="21"/>
          <w:color w:val="auto"/>
        </w:rPr>
      </w:pPr>
    </w:p>
    <w:p>
      <w:pPr>
        <w:ind w:left="320" w:hanging="195"/>
        <w:spacing w:after="0" w:line="194"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$204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$260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$138 million</w:t>
      </w:r>
    </w:p>
    <w:p>
      <w:pPr>
        <w:spacing w:after="0" w:line="1" w:lineRule="exact"/>
        <w:rPr>
          <w:rFonts w:ascii="Arial" w:cs="Arial" w:eastAsia="Arial" w:hAnsi="Arial"/>
          <w:sz w:val="21"/>
          <w:szCs w:val="21"/>
          <w:color w:val="auto"/>
        </w:rPr>
      </w:pPr>
    </w:p>
    <w:p>
      <w:pPr>
        <w:ind w:left="260" w:hanging="135"/>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Closed the quarter with $305 million of cash on hand, an undrawn credit facility and $672 million of liquidity</w:t>
      </w:r>
      <w:r>
        <w:rPr>
          <w:rFonts w:ascii="Arial" w:cs="Arial" w:eastAsia="Arial" w:hAnsi="Arial"/>
          <w:sz w:val="27"/>
          <w:szCs w:val="27"/>
          <w:color w:val="auto"/>
          <w:vertAlign w:val="superscript"/>
        </w:rPr>
        <w:t>2</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Operations</w:t>
      </w:r>
    </w:p>
    <w:p>
      <w:pPr>
        <w:spacing w:after="0" w:line="36" w:lineRule="exact"/>
        <w:rPr>
          <w:sz w:val="20"/>
          <w:szCs w:val="20"/>
          <w:color w:val="auto"/>
        </w:rPr>
      </w:pPr>
    </w:p>
    <w:p>
      <w:pPr>
        <w:ind w:left="320" w:hanging="195"/>
        <w:spacing w:after="0" w:line="250"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Produced an average of 97,000 net barrels of oil equivalent (BOE) per day, including 59,000 barrels per day of oil, with quarterly capital expenditures of $66 million</w:t>
      </w:r>
    </w:p>
    <w:p>
      <w:pPr>
        <w:ind w:left="320" w:hanging="195"/>
        <w:spacing w:after="0" w:line="250"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three drilling rigs in the San Joaquin Basin and one drilling rig in the Los Angeles Basin; drilled 39 wells (35 online in 4Q21)</w:t>
      </w:r>
    </w:p>
    <w:p>
      <w:pPr>
        <w:ind w:left="260" w:hanging="135"/>
        <w:spacing w:after="0"/>
        <w:tabs>
          <w:tab w:leader="none" w:pos="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34 maintenance rigs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902" w:right="339" w:bottom="1440" w:gutter="0" w:footer="0" w:header="0"/>
        </w:sectPr>
      </w:pPr>
    </w:p>
    <w:bookmarkStart w:id="5" w:name="page6"/>
    <w:bookmarkEnd w:id="5"/>
    <w:p>
      <w:pPr>
        <w:ind w:left="120"/>
        <w:spacing w:after="0"/>
        <w:rPr>
          <w:sz w:val="20"/>
          <w:szCs w:val="20"/>
          <w:color w:val="auto"/>
        </w:rPr>
      </w:pPr>
      <w:r>
        <w:rPr>
          <w:rFonts w:ascii="Arial" w:cs="Arial" w:eastAsia="Arial" w:hAnsi="Arial"/>
          <w:sz w:val="21"/>
          <w:szCs w:val="21"/>
          <w:b w:val="1"/>
          <w:bCs w:val="1"/>
          <w:u w:val="single" w:color="auto"/>
          <w:color w:val="auto"/>
        </w:rPr>
        <w:t>2022 Production Guidance &amp; Capital Program</w:t>
      </w:r>
      <w:r>
        <w:rPr>
          <w:rFonts w:ascii="Arial" w:cs="Arial" w:eastAsia="Arial" w:hAnsi="Arial"/>
          <w:sz w:val="11"/>
          <w:szCs w:val="11"/>
          <w:color w:val="auto"/>
        </w:rPr>
        <w:t>3</w:t>
      </w:r>
    </w:p>
    <w:p>
      <w:pPr>
        <w:spacing w:after="0" w:line="262"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21"/>
          <w:szCs w:val="21"/>
          <w:color w:val="auto"/>
        </w:rPr>
        <w:t>During the first quarter of 2022, CRC's Elk Hills cryogenic gas plant (CGP1) will undergo maintenance that will result in a shut down for approximately six to eight weeks. CGP1 is approaching a 10-year inspection and CRC elected to pursue the plant turnaround in the first quarter to benefit from lower costs of materials and to optimize commodity yields throughout the summer of 2022. As a result of this turnaround, CRC expects a decrease in production of approximately 6,000 BOE per day (56% NGLs) in the first quarter of 2022, returning to pre-turnaround production levels in the second quarter of 2022. CRC also estimates a decrease in total daily production of ~2,000 BOE per day in 2022.</w:t>
      </w:r>
    </w:p>
    <w:p>
      <w:pPr>
        <w:spacing w:after="0" w:line="214"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21"/>
          <w:szCs w:val="21"/>
          <w:color w:val="auto"/>
        </w:rPr>
        <w:t xml:space="preserve">In February 2022, CRC sold its non-operated working interest in certain horizons within the Lost Hills field which had full year 2021 net production of approximately 1,900 barrels of oil per day (100% oil). See </w:t>
      </w:r>
      <w:r>
        <w:rPr>
          <w:rFonts w:ascii="Arial" w:cs="Arial" w:eastAsia="Arial" w:hAnsi="Arial"/>
          <w:sz w:val="21"/>
          <w:szCs w:val="21"/>
          <w:b w:val="1"/>
          <w:bCs w:val="1"/>
          <w:color w:val="auto"/>
        </w:rPr>
        <w:t>Acquisitions and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Divestitures </w:t>
      </w:r>
      <w:r>
        <w:rPr>
          <w:rFonts w:ascii="Arial" w:cs="Arial" w:eastAsia="Arial" w:hAnsi="Arial"/>
          <w:sz w:val="21"/>
          <w:szCs w:val="21"/>
          <w:color w:val="auto"/>
        </w:rPr>
        <w:t>for additional information on this transaction.</w:t>
      </w:r>
    </w:p>
    <w:p>
      <w:pPr>
        <w:spacing w:after="0" w:line="196" w:lineRule="exact"/>
        <w:rPr>
          <w:sz w:val="20"/>
          <w:szCs w:val="20"/>
          <w:color w:val="auto"/>
        </w:rPr>
      </w:pPr>
    </w:p>
    <w:p>
      <w:pPr>
        <w:jc w:val="both"/>
        <w:ind w:firstLine="318"/>
        <w:spacing w:after="0" w:line="214" w:lineRule="auto"/>
        <w:rPr>
          <w:sz w:val="20"/>
          <w:szCs w:val="20"/>
          <w:color w:val="auto"/>
        </w:rPr>
      </w:pPr>
      <w:r>
        <w:rPr>
          <w:rFonts w:ascii="Arial" w:cs="Arial" w:eastAsia="Arial" w:hAnsi="Arial"/>
          <w:sz w:val="21"/>
          <w:szCs w:val="21"/>
          <w:color w:val="auto"/>
        </w:rPr>
        <w:t>CRC expects to produce between 90,000 and 93,000 BOE per day</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(~62% oil) in 2022. This range takes into account the full impact of the CGP1 turnaround as well as the Ventura and Lost Hills divestitures.</w:t>
      </w:r>
    </w:p>
    <w:p>
      <w:pPr>
        <w:spacing w:after="0" w:line="197" w:lineRule="exact"/>
        <w:rPr>
          <w:sz w:val="20"/>
          <w:szCs w:val="20"/>
          <w:color w:val="auto"/>
        </w:rPr>
      </w:pPr>
    </w:p>
    <w:p>
      <w:pPr>
        <w:jc w:val="both"/>
        <w:ind w:firstLine="318"/>
        <w:spacing w:after="0" w:line="218" w:lineRule="auto"/>
        <w:rPr>
          <w:sz w:val="20"/>
          <w:szCs w:val="20"/>
          <w:color w:val="auto"/>
        </w:rPr>
      </w:pPr>
      <w:r>
        <w:rPr>
          <w:rFonts w:ascii="Arial" w:cs="Arial" w:eastAsia="Arial" w:hAnsi="Arial"/>
          <w:sz w:val="21"/>
          <w:szCs w:val="21"/>
          <w:color w:val="auto"/>
        </w:rPr>
        <w:t>CRC's 2022 capital program</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targets a range of $330 to $375 million. The program includes $300 to $335 million for oil and gas operations, representing a ~64% increase over 2021 at the midpoint, and $30 to $40 million for carbon management projects. This level of expected spending is consistent with CRC's strategy of investing up to approximately 50% of its operating cash flow back into its exploration and production business</w:t>
      </w:r>
      <w:r>
        <w:rPr>
          <w:rFonts w:ascii="Arial" w:cs="Arial" w:eastAsia="Arial" w:hAnsi="Arial"/>
          <w:sz w:val="17"/>
          <w:szCs w:val="17"/>
          <w:color w:val="auto"/>
        </w:rPr>
        <w:t>.</w:t>
      </w:r>
    </w:p>
    <w:p>
      <w:pPr>
        <w:spacing w:after="0" w:line="212"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21"/>
          <w:szCs w:val="21"/>
          <w:color w:val="auto"/>
        </w:rPr>
        <w:t>At this level of spending, CRC expects to maintain oil production from exit to exit despite asset sales. CRC plans to run four drilling rigs in the Mount Poso, Elk Hills, Buena Vista and Wilmington fields, and will focus on high return opportunities and build off of the success of the 2021 drilling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270510</wp:posOffset>
            </wp:positionV>
            <wp:extent cx="7067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80" w:type="dxa"/>
            <w:vAlign w:val="bottom"/>
            <w:tcBorders>
              <w:top w:val="single" w:sz="8" w:color="auto"/>
            </w:tcBorders>
          </w:tcPr>
          <w:p>
            <w:pPr>
              <w:ind w:left="20"/>
              <w:spacing w:after="0" w:line="199"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3</w:t>
            </w:r>
          </w:p>
        </w:tc>
        <w:tc>
          <w:tcPr>
            <w:tcW w:w="2620" w:type="dxa"/>
            <w:vAlign w:val="bottom"/>
            <w:tcBorders>
              <w:top w:val="single" w:sz="8" w:color="auto"/>
            </w:tcBorders>
            <w:gridSpan w:val="3"/>
          </w:tcPr>
          <w:p>
            <w:pPr>
              <w:jc w:val="center"/>
              <w:ind w:left="729"/>
              <w:spacing w:after="0"/>
              <w:rPr>
                <w:sz w:val="20"/>
                <w:szCs w:val="20"/>
                <w:color w:val="auto"/>
              </w:rPr>
            </w:pPr>
            <w:r>
              <w:rPr>
                <w:rFonts w:ascii="Arial" w:cs="Arial" w:eastAsia="Arial" w:hAnsi="Arial"/>
                <w:sz w:val="14"/>
                <w:szCs w:val="14"/>
                <w:b w:val="1"/>
                <w:bCs w:val="1"/>
                <w:color w:val="auto"/>
              </w:rPr>
              <w:t>E&amp;P 2022E</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CMB</w:t>
            </w: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2022E</w:t>
            </w: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2022E</w:t>
            </w:r>
          </w:p>
        </w:tc>
      </w:tr>
      <w:tr>
        <w:trPr>
          <w:trHeight w:val="179"/>
        </w:trPr>
        <w:tc>
          <w:tcPr>
            <w:tcW w:w="51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Total Production (Mboe/d)</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- 90</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- 90</w:t>
            </w:r>
          </w:p>
        </w:tc>
      </w:tr>
      <w:tr>
        <w:trPr>
          <w:trHeight w:val="185"/>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- 56</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- 56</w:t>
            </w:r>
          </w:p>
        </w:tc>
      </w:tr>
      <w:tr>
        <w:trPr>
          <w:trHeight w:val="185"/>
        </w:trPr>
        <w:tc>
          <w:tcPr>
            <w:tcW w:w="518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$640</w:t>
            </w:r>
          </w:p>
        </w:tc>
        <w:tc>
          <w:tcPr>
            <w:tcW w:w="860" w:type="dxa"/>
            <w:vAlign w:val="bottom"/>
          </w:tcPr>
          <w:p>
            <w:pPr>
              <w:ind w:left="20"/>
              <w:spacing w:after="0"/>
              <w:rPr>
                <w:sz w:val="20"/>
                <w:szCs w:val="20"/>
                <w:color w:val="auto"/>
              </w:rPr>
            </w:pPr>
            <w:r>
              <w:rPr>
                <w:rFonts w:ascii="Arial" w:cs="Arial" w:eastAsia="Arial" w:hAnsi="Arial"/>
                <w:sz w:val="14"/>
                <w:szCs w:val="14"/>
                <w:color w:val="auto"/>
              </w:rPr>
              <w:t>- $670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$640</w:t>
            </w:r>
          </w:p>
        </w:tc>
        <w:tc>
          <w:tcPr>
            <w:tcW w:w="860" w:type="dxa"/>
            <w:vAlign w:val="bottom"/>
          </w:tcPr>
          <w:p>
            <w:pPr>
              <w:ind w:left="20"/>
              <w:spacing w:after="0"/>
              <w:rPr>
                <w:sz w:val="20"/>
                <w:szCs w:val="20"/>
                <w:color w:val="auto"/>
              </w:rPr>
            </w:pPr>
            <w:r>
              <w:rPr>
                <w:rFonts w:ascii="Arial" w:cs="Arial" w:eastAsia="Arial" w:hAnsi="Arial"/>
                <w:sz w:val="14"/>
                <w:szCs w:val="14"/>
                <w:color w:val="auto"/>
              </w:rPr>
              <w:t>- $670</w:t>
            </w:r>
          </w:p>
        </w:tc>
      </w:tr>
      <w:tr>
        <w:trPr>
          <w:trHeight w:val="185"/>
        </w:trPr>
        <w:tc>
          <w:tcPr>
            <w:tcW w:w="5180" w:type="dxa"/>
            <w:vAlign w:val="bottom"/>
            <w:shd w:val="clear" w:color="auto" w:fill="DBDBDB"/>
          </w:tcPr>
          <w:p>
            <w:pPr>
              <w:ind w:left="140"/>
              <w:spacing w:after="0" w:line="186" w:lineRule="exact"/>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 millions)</w:t>
            </w:r>
          </w:p>
        </w:tc>
        <w:tc>
          <w:tcPr>
            <w:tcW w:w="16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$40</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$40</w:t>
            </w:r>
          </w:p>
        </w:tc>
      </w:tr>
      <w:tr>
        <w:trPr>
          <w:trHeight w:val="186"/>
        </w:trPr>
        <w:tc>
          <w:tcPr>
            <w:tcW w:w="5180" w:type="dxa"/>
            <w:vAlign w:val="bottom"/>
          </w:tcPr>
          <w:p>
            <w:pPr>
              <w:ind w:left="140"/>
              <w:spacing w:after="0" w:line="186"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$155</w:t>
            </w:r>
          </w:p>
        </w:tc>
        <w:tc>
          <w:tcPr>
            <w:tcW w:w="860" w:type="dxa"/>
            <w:vAlign w:val="bottom"/>
          </w:tcPr>
          <w:p>
            <w:pPr>
              <w:ind w:left="20"/>
              <w:spacing w:after="0"/>
              <w:rPr>
                <w:sz w:val="20"/>
                <w:szCs w:val="20"/>
                <w:color w:val="auto"/>
              </w:rPr>
            </w:pPr>
            <w:r>
              <w:rPr>
                <w:rFonts w:ascii="Arial" w:cs="Arial" w:eastAsia="Arial" w:hAnsi="Arial"/>
                <w:sz w:val="14"/>
                <w:szCs w:val="14"/>
                <w:color w:val="auto"/>
              </w:rPr>
              <w:t>- $175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60" w:type="dxa"/>
            <w:vAlign w:val="bottom"/>
          </w:tcPr>
          <w:p>
            <w:pPr>
              <w:ind w:left="20"/>
              <w:spacing w:after="0"/>
              <w:rPr>
                <w:sz w:val="20"/>
                <w:szCs w:val="20"/>
                <w:color w:val="auto"/>
              </w:rPr>
            </w:pPr>
            <w:r>
              <w:rPr>
                <w:rFonts w:ascii="Arial" w:cs="Arial" w:eastAsia="Arial" w:hAnsi="Arial"/>
                <w:sz w:val="14"/>
                <w:szCs w:val="14"/>
                <w:color w:val="auto"/>
              </w:rPr>
              <w:t>- $15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$165</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r>
      <w:tr>
        <w:trPr>
          <w:trHeight w:val="185"/>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$335</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$40</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$375</w:t>
            </w:r>
          </w:p>
        </w:tc>
      </w:tr>
      <w:tr>
        <w:trPr>
          <w:trHeight w:val="185"/>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Drilling &amp; Completions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$215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$215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$225</w:t>
            </w:r>
          </w:p>
        </w:tc>
      </w:tr>
      <w:tr>
        <w:trPr>
          <w:trHeight w:val="185"/>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Workovers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$35</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$35</w:t>
            </w:r>
          </w:p>
        </w:tc>
      </w:tr>
      <w:tr>
        <w:trPr>
          <w:trHeight w:val="185"/>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Facilities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$65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$65</w:t>
            </w:r>
          </w:p>
        </w:tc>
      </w:tr>
      <w:tr>
        <w:trPr>
          <w:trHeight w:val="185"/>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Corporate &amp; Other</w:t>
            </w:r>
          </w:p>
        </w:tc>
        <w:tc>
          <w:tcPr>
            <w:tcW w:w="2520" w:type="dxa"/>
            <w:vAlign w:val="bottom"/>
            <w:gridSpan w:val="2"/>
            <w:shd w:val="clear" w:color="auto" w:fill="DBDBDB"/>
          </w:tcPr>
          <w:p>
            <w:pPr>
              <w:jc w:val="right"/>
              <w:ind w:right="489"/>
              <w:spacing w:after="0"/>
              <w:rPr>
                <w:sz w:val="20"/>
                <w:szCs w:val="20"/>
                <w:color w:val="auto"/>
              </w:rPr>
            </w:pPr>
            <w:r>
              <w:rPr>
                <w:rFonts w:ascii="Arial" w:cs="Arial" w:eastAsia="Arial" w:hAnsi="Arial"/>
                <w:sz w:val="14"/>
                <w:szCs w:val="14"/>
                <w:i w:val="1"/>
                <w:iCs w:val="1"/>
                <w:color w:val="auto"/>
              </w:rPr>
              <w:t>$5 - $10</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20" w:type="dxa"/>
            <w:vAlign w:val="bottom"/>
            <w:gridSpan w:val="2"/>
            <w:shd w:val="clear" w:color="auto" w:fill="DBDBDB"/>
          </w:tcPr>
          <w:p>
            <w:pPr>
              <w:jc w:val="right"/>
              <w:ind w:right="489"/>
              <w:spacing w:after="0"/>
              <w:rPr>
                <w:sz w:val="20"/>
                <w:szCs w:val="20"/>
                <w:color w:val="auto"/>
              </w:rPr>
            </w:pPr>
            <w:r>
              <w:rPr>
                <w:rFonts w:ascii="Arial" w:cs="Arial" w:eastAsia="Arial" w:hAnsi="Arial"/>
                <w:sz w:val="14"/>
                <w:szCs w:val="14"/>
                <w:i w:val="1"/>
                <w:iCs w:val="1"/>
                <w:color w:val="auto"/>
              </w:rPr>
              <w:t>$5 - $10</w:t>
            </w:r>
          </w:p>
        </w:tc>
      </w:tr>
      <w:tr>
        <w:trPr>
          <w:trHeight w:val="186"/>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w:t>
            </w:r>
          </w:p>
        </w:tc>
        <w:tc>
          <w:tcPr>
            <w:tcW w:w="1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$30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$40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$30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$40</w:t>
            </w:r>
          </w:p>
        </w:tc>
      </w:tr>
      <w:tr>
        <w:trPr>
          <w:trHeight w:val="185"/>
        </w:trPr>
        <w:tc>
          <w:tcPr>
            <w:tcW w:w="5180" w:type="dxa"/>
            <w:vAlign w:val="bottom"/>
            <w:shd w:val="clear" w:color="auto" w:fill="DBDBDB"/>
          </w:tcPr>
          <w:p>
            <w:pPr>
              <w:ind w:left="140"/>
              <w:spacing w:after="0" w:line="186"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$940</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$900</w:t>
            </w:r>
          </w:p>
        </w:tc>
      </w:tr>
      <w:tr>
        <w:trPr>
          <w:trHeight w:val="185"/>
        </w:trPr>
        <w:tc>
          <w:tcPr>
            <w:tcW w:w="5180" w:type="dxa"/>
            <w:vAlign w:val="bottom"/>
          </w:tcPr>
          <w:p>
            <w:pPr>
              <w:ind w:left="140"/>
              <w:spacing w:after="0" w:line="186"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1,5</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$350</w:t>
            </w:r>
          </w:p>
        </w:tc>
        <w:tc>
          <w:tcPr>
            <w:tcW w:w="860" w:type="dxa"/>
            <w:vAlign w:val="bottom"/>
          </w:tcPr>
          <w:p>
            <w:pPr>
              <w:ind w:left="20"/>
              <w:spacing w:after="0"/>
              <w:rPr>
                <w:sz w:val="20"/>
                <w:szCs w:val="20"/>
                <w:color w:val="auto"/>
              </w:rPr>
            </w:pPr>
            <w:r>
              <w:rPr>
                <w:rFonts w:ascii="Arial" w:cs="Arial" w:eastAsia="Arial" w:hAnsi="Arial"/>
                <w:sz w:val="14"/>
                <w:szCs w:val="14"/>
                <w:color w:val="auto"/>
              </w:rPr>
              <w:t>- $450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860" w:type="dxa"/>
            <w:vAlign w:val="bottom"/>
          </w:tcPr>
          <w:p>
            <w:pPr>
              <w:ind w:left="20"/>
              <w:spacing w:after="0"/>
              <w:rPr>
                <w:sz w:val="20"/>
                <w:szCs w:val="20"/>
                <w:color w:val="auto"/>
              </w:rPr>
            </w:pPr>
            <w:r>
              <w:rPr>
                <w:rFonts w:ascii="Arial" w:cs="Arial" w:eastAsia="Arial" w:hAnsi="Arial"/>
                <w:sz w:val="14"/>
                <w:szCs w:val="14"/>
                <w:color w:val="auto"/>
              </w:rPr>
              <w:t>- ($95)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w:t>
            </w:r>
          </w:p>
        </w:tc>
        <w:tc>
          <w:tcPr>
            <w:tcW w:w="860" w:type="dxa"/>
            <w:vAlign w:val="bottom"/>
          </w:tcPr>
          <w:p>
            <w:pPr>
              <w:ind w:left="20"/>
              <w:spacing w:after="0"/>
              <w:rPr>
                <w:sz w:val="20"/>
                <w:szCs w:val="20"/>
                <w:color w:val="auto"/>
              </w:rPr>
            </w:pPr>
            <w:r>
              <w:rPr>
                <w:rFonts w:ascii="Arial" w:cs="Arial" w:eastAsia="Arial" w:hAnsi="Arial"/>
                <w:sz w:val="14"/>
                <w:szCs w:val="14"/>
                <w:color w:val="auto"/>
              </w:rPr>
              <w:t>- $380</w:t>
            </w:r>
          </w:p>
        </w:tc>
      </w:tr>
      <w:tr>
        <w:trPr>
          <w:trHeight w:val="185"/>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Cash Tax as % of Pre-Tax Income</w:t>
            </w:r>
          </w:p>
        </w:tc>
        <w:tc>
          <w:tcPr>
            <w:tcW w:w="16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101"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Acquisitions and Divestitures</w:t>
      </w:r>
    </w:p>
    <w:p>
      <w:pPr>
        <w:spacing w:after="0" w:line="26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CRC divested the vast majority of its Ventura basin assets in the second half of 2021 and recognized a gain of $120 million during the year ended December 31, 2021. CRC expects to divest its remaining assets in the Ventura basin during the first half of 2022.</w:t>
      </w:r>
    </w:p>
    <w:p>
      <w:pPr>
        <w:spacing w:after="0" w:line="217"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21"/>
          <w:szCs w:val="21"/>
          <w:color w:val="auto"/>
        </w:rPr>
        <w:t>In February 2022, CRC sold its 50% non-operated working interest in certain horizons of the Lost Hills field located in the San Joaquin Basin for cash proceeds of $55 million (before transaction costs and purchase price adjustments) which will be used for general corporate purposes. CRC retained an option to capture, transport and store 100% of the carbon emissions from steam generators across the Lost Hills field for future carbon management projects. CRC also retained 100% of the deep rights and related seismic data.</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Sustainability Update</w:t>
      </w:r>
    </w:p>
    <w:p>
      <w:pPr>
        <w:spacing w:after="0" w:line="262"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21"/>
          <w:szCs w:val="21"/>
          <w:color w:val="auto"/>
        </w:rPr>
        <w:t>In December 2021, CRC was recognized at the Leadership Level ranking for 2021 climate disclosure by CDP for the third year in a row. Once again, CRC received the highest ranking among all U.S. oil and gas companies, tying for first with one other U.S.-based E&amp;P with global operations. Scoring at CDP’s Leadership Level for three years in a row further highlights CRC’s value of ESG leadership in its transparent environmental reporting and disclosure practices as it values being a differentiated and reputable low carbon intensity E&amp;P producer in California.</w:t>
      </w:r>
    </w:p>
    <w:p>
      <w:pPr>
        <w:spacing w:after="0" w:line="213" w:lineRule="exact"/>
        <w:rPr>
          <w:sz w:val="20"/>
          <w:szCs w:val="20"/>
          <w:color w:val="auto"/>
        </w:rPr>
      </w:pPr>
    </w:p>
    <w:p>
      <w:pPr>
        <w:jc w:val="both"/>
        <w:ind w:firstLine="318"/>
        <w:spacing w:after="0" w:line="220" w:lineRule="auto"/>
        <w:rPr>
          <w:sz w:val="20"/>
          <w:szCs w:val="20"/>
          <w:color w:val="auto"/>
        </w:rPr>
      </w:pPr>
      <w:r>
        <w:rPr>
          <w:rFonts w:ascii="Arial" w:cs="Arial" w:eastAsia="Arial" w:hAnsi="Arial"/>
          <w:sz w:val="21"/>
          <w:szCs w:val="21"/>
          <w:color w:val="auto"/>
        </w:rPr>
        <w:t>CRC also continues to prioritize its ESG initiatives and making progress toward its Full-Scope Net Zero goal by 2045. CRC defines Full-Scope Net Zero as achieving permanent storage of captured or removed carbon emissions in a volume equal to all of its scope 1, 2, and 3 emissions by 2045. CRC intends to achieve this goal by targeting investing approximately 25% of its operating cash flows in carbon management projects. These projects include Carbon TerraVault, which is in the early stages of permitting and developing several carbon capture and permanent storage projects in suitable reservoirs. Separately, CRC is evaluating the feasibility of its CalCapture project which utilizes the Elk Hills power plant as the emissions source for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enhanced oil recovery in its Elk Hills field. The Company is also pursuing multiple front-of-the-meter and behind-the-meter solar projects. CRC remains committed to advancing emissions reducing projects that are aligned with the state of California's 2045 net zero ambitions and puts it ahead of the net zero goals in the Paris Agreement. The Company believes that its Full-Scope Net Zero goal and its cash flow prioritization are a significant ESG differentiator.</w:t>
      </w:r>
    </w:p>
    <w:p>
      <w:pPr>
        <w:spacing w:after="0" w:line="218" w:lineRule="exact"/>
        <w:rPr>
          <w:sz w:val="20"/>
          <w:szCs w:val="20"/>
          <w:color w:val="auto"/>
        </w:rPr>
      </w:pPr>
    </w:p>
    <w:p>
      <w:pPr>
        <w:jc w:val="both"/>
        <w:ind w:firstLine="318"/>
        <w:spacing w:after="0" w:line="217" w:lineRule="auto"/>
        <w:rPr>
          <w:sz w:val="20"/>
          <w:szCs w:val="20"/>
          <w:color w:val="auto"/>
        </w:rPr>
      </w:pPr>
      <w:r>
        <w:rPr>
          <w:rFonts w:ascii="Arial" w:cs="Arial" w:eastAsia="Arial" w:hAnsi="Arial"/>
          <w:sz w:val="21"/>
          <w:szCs w:val="21"/>
          <w:color w:val="auto"/>
        </w:rPr>
        <w:t xml:space="preserve">During 2022, CRC plans to apply for additional permits to meet the near-term focus of 200 million metric tons of permanent CO </w:t>
      </w:r>
      <w:r>
        <w:rPr>
          <w:rFonts w:ascii="Arial" w:cs="Arial" w:eastAsia="Arial" w:hAnsi="Arial"/>
          <w:sz w:val="27"/>
          <w:szCs w:val="27"/>
          <w:color w:val="auto"/>
          <w:vertAlign w:val="subscript"/>
        </w:rPr>
        <w:t>2</w:t>
      </w:r>
      <w:r>
        <w:rPr>
          <w:rFonts w:ascii="Arial" w:cs="Arial" w:eastAsia="Arial" w:hAnsi="Arial"/>
          <w:sz w:val="21"/>
          <w:szCs w:val="21"/>
          <w:color w:val="auto"/>
        </w:rPr>
        <w:t xml:space="preserve"> storage target for Carbon TerraVault projects. The Company expects to provide additional details about these ongoing permitting efforts and Carbon TerraVault project participants by the end of 2022. Additionally, CRC continues to progress its behind-the-meter solar projects for a total capacity of ~39 megawatts. These solar projects are expected to begin commercial operations sometime in 2023.</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Board Enhancement</w:t>
      </w:r>
    </w:p>
    <w:p>
      <w:pPr>
        <w:spacing w:after="0" w:line="262"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21"/>
          <w:szCs w:val="21"/>
          <w:color w:val="auto"/>
        </w:rPr>
        <w:t>On December 14, 2021, CRC's Board of Directors elected one new Board member, Alejandra (Ale) Veltmann. Ms. Veltmann will serve as the Chair of the Audit Committee of the Board and qualifies as an independent director and audit committee financial expert.</w:t>
      </w:r>
    </w:p>
    <w:p>
      <w:pPr>
        <w:spacing w:after="0" w:line="208"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21"/>
          <w:szCs w:val="21"/>
          <w:color w:val="auto"/>
        </w:rPr>
        <w:t>Ms. Veltmann has over 28 years of experience as a global financial leader of publicly traded entities, private entrepreneurial companies and global accounting firms. Since 2018, she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14" w:right="339" w:bottom="1440" w:gutter="0" w:footer="0" w:header="0"/>
        </w:sectPr>
      </w:pPr>
    </w:p>
    <w:bookmarkStart w:id="7" w:name="page8"/>
    <w:bookmarkEnd w:id="7"/>
    <w:p>
      <w:pPr>
        <w:jc w:val="both"/>
        <w:spacing w:after="0" w:line="239" w:lineRule="auto"/>
        <w:rPr>
          <w:sz w:val="20"/>
          <w:szCs w:val="20"/>
          <w:color w:val="auto"/>
        </w:rPr>
      </w:pPr>
      <w:r>
        <w:rPr>
          <w:rFonts w:ascii="Arial" w:cs="Arial" w:eastAsia="Arial" w:hAnsi="Arial"/>
          <w:sz w:val="21"/>
          <w:szCs w:val="21"/>
          <w:color w:val="auto"/>
        </w:rPr>
        <w:t>has served as founder, CEO and sole director of ESG Lynk, a leading sustainability reporting company. From 2010 to 2018, she worked in various roles including Vice President and Chief Accounting Officer and Corporate Controller. Prior to that, Ms. Veltmann worked in various capacities at KPMG LLP from 1995 to 2002 and before that at Arthur Andersen LLP from 1992 to 1995. Since 2021, she has served as a director and chair of the Audit Committee for Structural Integrity Associates, a provider of life cycle engineering solutions. Ms. Veltmann has served as a Board member of The University of New Mexico Robert O. Anderson School of Management since 2018, and as an Advisory Council member of the K.B. Hutchison Center for Energy, Law &amp; Business at The University of Texas at Austin since 2019. Please see www.crc.com for more details.</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Fresh Start Accounting and Predecessor and Successor Periods</w:t>
      </w:r>
    </w:p>
    <w:p>
      <w:pPr>
        <w:spacing w:after="0" w:line="2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21"/>
          <w:szCs w:val="21"/>
          <w:color w:val="auto"/>
        </w:rPr>
        <w:t>CRC qualified for and adopted fresh start accounting upon its emergence from bankruptcy on October 27, 2020, at which point CRC became a new entity for financial reporting purposes. CRC adopted an accounting convenience date of October 31, 2020, for the application of fresh start accounting. As a result of the application of fresh start accounting and the effects of the implementation of the joint plan of reorganization,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ending on or prior to October 31, 2020, and references to “Successor” refer to the Company for periods subsequent to October 31, 2020.</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Fourth Quarter 2021 Results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760" w:type="dxa"/>
            <w:vAlign w:val="bottom"/>
            <w:tcBorders>
              <w:top w:val="single" w:sz="8" w:color="DBDBDB"/>
              <w:bottom w:val="single" w:sz="8" w:color="DBDBDB"/>
            </w:tcBorders>
            <w:shd w:val="clear" w:color="auto" w:fill="DBDBDB"/>
          </w:tcPr>
          <w:p>
            <w:pPr>
              <w:spacing w:after="0"/>
              <w:rPr>
                <w:sz w:val="17"/>
                <w:szCs w:val="17"/>
                <w:color w:val="auto"/>
              </w:rPr>
            </w:pPr>
          </w:p>
        </w:tc>
        <w:tc>
          <w:tcPr>
            <w:tcW w:w="43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0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9"/>
              </w:rPr>
              <w:t>Predecessor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100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760" w:type="dxa"/>
            <w:vAlign w:val="bottom"/>
            <w:shd w:val="clear" w:color="auto" w:fill="DBDBDB"/>
          </w:tcPr>
          <w:p>
            <w:pPr>
              <w:spacing w:after="0"/>
              <w:rPr>
                <w:sz w:val="15"/>
                <w:szCs w:val="15"/>
                <w:color w:val="auto"/>
              </w:rPr>
            </w:pPr>
          </w:p>
        </w:tc>
        <w:tc>
          <w:tcPr>
            <w:tcW w:w="43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center"/>
              <w:ind w:right="49"/>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tcBorders>
              <w:right w:val="single" w:sz="8" w:color="auto"/>
            </w:tcBorders>
            <w:gridSpan w:val="2"/>
            <w:shd w:val="clear" w:color="auto" w:fill="DBDBDB"/>
          </w:tcPr>
          <w:p>
            <w:pPr>
              <w:jc w:val="center"/>
              <w:ind w:right="280"/>
              <w:spacing w:after="0"/>
              <w:rPr>
                <w:sz w:val="20"/>
                <w:szCs w:val="20"/>
                <w:color w:val="auto"/>
              </w:rPr>
            </w:pPr>
            <w:r>
              <w:rPr>
                <w:rFonts w:ascii="Arial" w:cs="Arial" w:eastAsia="Arial" w:hAnsi="Arial"/>
                <w:sz w:val="14"/>
                <w:szCs w:val="14"/>
                <w:color w:val="auto"/>
                <w:w w:val="98"/>
              </w:rPr>
              <w:t>4th Quarter</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color w:val="auto"/>
                <w:w w:val="98"/>
              </w:rPr>
              <w:t>4th Quarter</w:t>
            </w:r>
          </w:p>
        </w:tc>
        <w:tc>
          <w:tcPr>
            <w:tcW w:w="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0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606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1760" w:type="dxa"/>
            <w:vAlign w:val="bottom"/>
            <w:tcBorders>
              <w:top w:val="single" w:sz="8" w:color="auto"/>
              <w:bottom w:val="single" w:sz="8" w:color="DBDBDB"/>
            </w:tcBorders>
          </w:tcPr>
          <w:p>
            <w:pPr>
              <w:spacing w:after="0"/>
              <w:rPr>
                <w:sz w:val="20"/>
                <w:szCs w:val="20"/>
                <w:color w:val="auto"/>
              </w:rPr>
            </w:pPr>
            <w:r>
              <w:rPr>
                <w:rFonts w:ascii="Arial" w:cs="Arial" w:eastAsia="Arial" w:hAnsi="Arial"/>
                <w:sz w:val="14"/>
                <w:szCs w:val="14"/>
                <w:b w:val="1"/>
                <w:bCs w:val="1"/>
                <w:color w:val="auto"/>
              </w:rPr>
              <w:t>Revenues</w:t>
            </w:r>
          </w:p>
        </w:tc>
        <w:tc>
          <w:tcPr>
            <w:tcW w:w="43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606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634</w:t>
            </w:r>
          </w:p>
        </w:tc>
        <w:tc>
          <w:tcPr>
            <w:tcW w:w="1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71"/>
        </w:trPr>
        <w:tc>
          <w:tcPr>
            <w:tcW w:w="20" w:type="dxa"/>
            <w:vAlign w:val="bottom"/>
            <w:tcBorders>
              <w:bottom w:val="single" w:sz="8" w:color="DBDBDB"/>
            </w:tcBorders>
          </w:tcPr>
          <w:p>
            <w:pPr>
              <w:spacing w:after="0"/>
              <w:rPr>
                <w:sz w:val="23"/>
                <w:szCs w:val="23"/>
                <w:color w:val="auto"/>
              </w:rPr>
            </w:pPr>
          </w:p>
        </w:tc>
        <w:tc>
          <w:tcPr>
            <w:tcW w:w="606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DBDBDB"/>
              <w:right w:val="single" w:sz="8" w:color="auto"/>
            </w:tcBorders>
          </w:tcPr>
          <w:p>
            <w:pPr>
              <w:spacing w:after="0"/>
              <w:rPr>
                <w:sz w:val="23"/>
                <w:szCs w:val="23"/>
                <w:color w:val="auto"/>
              </w:rPr>
            </w:pPr>
          </w:p>
        </w:tc>
        <w:tc>
          <w:tcPr>
            <w:tcW w:w="80" w:type="dxa"/>
            <w:vAlign w:val="bottom"/>
            <w:tcBorders>
              <w:bottom w:val="single" w:sz="8" w:color="DBDBDB"/>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DBDBDB"/>
              <w:right w:val="single" w:sz="8" w:color="auto"/>
            </w:tcBorders>
          </w:tcPr>
          <w:p>
            <w:pPr>
              <w:spacing w:after="0"/>
              <w:rPr>
                <w:sz w:val="23"/>
                <w:szCs w:val="23"/>
                <w:color w:val="auto"/>
              </w:rPr>
            </w:pPr>
          </w:p>
        </w:tc>
        <w:tc>
          <w:tcPr>
            <w:tcW w:w="80" w:type="dxa"/>
            <w:vAlign w:val="bottom"/>
            <w:tcBorders>
              <w:bottom w:val="single" w:sz="8" w:color="DBDBDB"/>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DBDBDB"/>
              <w:right w:val="single" w:sz="8" w:color="auto"/>
            </w:tcBorders>
          </w:tcPr>
          <w:p>
            <w:pPr>
              <w:spacing w:after="0"/>
              <w:rPr>
                <w:sz w:val="23"/>
                <w:szCs w:val="23"/>
                <w:color w:val="auto"/>
              </w:rPr>
            </w:pPr>
          </w:p>
        </w:tc>
        <w:tc>
          <w:tcPr>
            <w:tcW w:w="60" w:type="dxa"/>
            <w:vAlign w:val="bottom"/>
            <w:tcBorders>
              <w:bottom w:val="single" w:sz="8" w:color="DBDBDB"/>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606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422</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79"/>
        </w:trPr>
        <w:tc>
          <w:tcPr>
            <w:tcW w:w="20" w:type="dxa"/>
            <w:vAlign w:val="bottom"/>
            <w:tcBorders>
              <w:bottom w:val="single" w:sz="8" w:color="DBDBDB"/>
            </w:tcBorders>
          </w:tcPr>
          <w:p>
            <w:pPr>
              <w:spacing w:after="0"/>
              <w:rPr>
                <w:sz w:val="15"/>
                <w:szCs w:val="15"/>
                <w:color w:val="auto"/>
              </w:rPr>
            </w:pPr>
          </w:p>
        </w:tc>
        <w:tc>
          <w:tcPr>
            <w:tcW w:w="606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color w:val="auto"/>
              </w:rPr>
              <w:t>Gain on asset divestitures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bottom w:val="single" w:sz="8" w:color="DBDBDB"/>
              <w:right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right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right w:val="single" w:sz="8" w:color="auto"/>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606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Operating Income (Loss)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332</w:t>
            </w:r>
          </w:p>
        </w:tc>
        <w:tc>
          <w:tcPr>
            <w:tcW w:w="120" w:type="dxa"/>
            <w:vAlign w:val="bottom"/>
            <w:tcBorders>
              <w:right w:val="single" w:sz="8" w:color="auto"/>
            </w:tcBorders>
            <w:shd w:val="clear" w:color="auto" w:fill="DBDBDB"/>
          </w:tcPr>
          <w:p>
            <w:pPr>
              <w:spacing w:after="0"/>
              <w:rPr>
                <w:sz w:val="17"/>
                <w:szCs w:val="17"/>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606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20" w:type="dxa"/>
            <w:vAlign w:val="bottom"/>
            <w:tcBorders>
              <w:right w:val="single" w:sz="8" w:color="auto"/>
            </w:tcBorders>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3,985</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3,862</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60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8.91</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80.20</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8.71</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6060" w:type="dxa"/>
            <w:vAlign w:val="bottom"/>
            <w:gridSpan w:val="2"/>
            <w:shd w:val="clear" w:color="auto" w:fill="DBDBDB"/>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gridSpan w:val="2"/>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60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80.1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83.3</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6060" w:type="dxa"/>
            <w:vAlign w:val="bottom"/>
            <w:gridSpan w:val="2"/>
            <w:shd w:val="clear" w:color="auto" w:fill="DBDBDB"/>
          </w:tcPr>
          <w:p>
            <w:pPr>
              <w:spacing w:after="0" w:line="186"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260</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100" w:type="dxa"/>
            <w:vAlign w:val="bottom"/>
            <w:tcBorders>
              <w:top w:val="single" w:sz="8" w:color="DBDBDB"/>
              <w:bottom w:val="single" w:sz="8" w:color="DBDBDB"/>
            </w:tcBorders>
            <w:shd w:val="clear" w:color="auto" w:fill="DBDBDB"/>
          </w:tcPr>
          <w:p>
            <w:pPr>
              <w:spacing w:after="0"/>
              <w:rPr>
                <w:sz w:val="17"/>
                <w:szCs w:val="17"/>
                <w:color w:val="auto"/>
              </w:rPr>
            </w:pPr>
          </w:p>
        </w:tc>
        <w:tc>
          <w:tcPr>
            <w:tcW w:w="496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0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9"/>
              </w:rPr>
              <w:t>Predecessor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100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49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center"/>
              <w:ind w:right="49"/>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tcBorders>
              <w:right w:val="single" w:sz="8" w:color="auto"/>
            </w:tcBorders>
            <w:gridSpan w:val="2"/>
            <w:shd w:val="clear" w:color="auto" w:fill="DBDBDB"/>
          </w:tcPr>
          <w:p>
            <w:pPr>
              <w:jc w:val="center"/>
              <w:ind w:right="280"/>
              <w:spacing w:after="0"/>
              <w:rPr>
                <w:sz w:val="20"/>
                <w:szCs w:val="20"/>
                <w:color w:val="auto"/>
              </w:rPr>
            </w:pPr>
            <w:r>
              <w:rPr>
                <w:rFonts w:ascii="Arial" w:cs="Arial" w:eastAsia="Arial" w:hAnsi="Arial"/>
                <w:sz w:val="14"/>
                <w:szCs w:val="14"/>
                <w:color w:val="auto"/>
                <w:w w:val="98"/>
              </w:rPr>
              <w:t>4th Quarter</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color w:val="auto"/>
                <w:w w:val="98"/>
              </w:rPr>
              <w:t>4th Quarter</w:t>
            </w:r>
          </w:p>
        </w:tc>
        <w:tc>
          <w:tcPr>
            <w:tcW w:w="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0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606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204</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cash provided (used) by operating activities</w:t>
            </w:r>
          </w:p>
        </w:tc>
        <w:tc>
          <w:tcPr>
            <w:tcW w:w="1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60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cash (used) provided by financing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Full Year 2021 Results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10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DBDBDB"/>
              <w:bottom w:val="single" w:sz="8" w:color="DBDBDB"/>
            </w:tcBorders>
            <w:shd w:val="clear" w:color="auto" w:fill="DBDBDB"/>
          </w:tcPr>
          <w:p>
            <w:pPr>
              <w:spacing w:after="0"/>
              <w:rPr>
                <w:sz w:val="17"/>
                <w:szCs w:val="17"/>
                <w:color w:val="auto"/>
              </w:rPr>
            </w:pPr>
          </w:p>
        </w:tc>
        <w:tc>
          <w:tcPr>
            <w:tcW w:w="430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9"/>
              </w:rPr>
              <w:t>Predecessor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3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7"/>
              </w:rPr>
              <w:t>Total Year</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tcBorders>
              <w:right w:val="single" w:sz="8" w:color="auto"/>
            </w:tcBorders>
            <w:gridSpan w:val="2"/>
            <w:shd w:val="clear" w:color="auto" w:fill="DBDBDB"/>
          </w:tcPr>
          <w:p>
            <w:pPr>
              <w:jc w:val="center"/>
              <w:ind w:right="280"/>
              <w:spacing w:after="0"/>
              <w:rPr>
                <w:sz w:val="20"/>
                <w:szCs w:val="20"/>
                <w:color w:val="auto"/>
              </w:rPr>
            </w:pPr>
            <w:r>
              <w:rPr>
                <w:rFonts w:ascii="Arial" w:cs="Arial" w:eastAsia="Arial" w:hAnsi="Arial"/>
                <w:sz w:val="14"/>
                <w:szCs w:val="14"/>
                <w:color w:val="auto"/>
                <w:w w:val="95"/>
              </w:rPr>
              <w:t>Total Year</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color w:val="auto"/>
                <w:w w:val="95"/>
              </w:rPr>
              <w:t>Total Year</w:t>
            </w:r>
          </w:p>
        </w:tc>
        <w:tc>
          <w:tcPr>
            <w:tcW w:w="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w w:val="95"/>
              </w:rPr>
              <w:t>Total Year</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606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176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43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606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1,889</w:t>
            </w:r>
          </w:p>
        </w:tc>
        <w:tc>
          <w:tcPr>
            <w:tcW w:w="1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1,407</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272"/>
        </w:trPr>
        <w:tc>
          <w:tcPr>
            <w:tcW w:w="20" w:type="dxa"/>
            <w:vAlign w:val="bottom"/>
            <w:tcBorders>
              <w:bottom w:val="single" w:sz="8" w:color="DBDBDB"/>
            </w:tcBorders>
          </w:tcPr>
          <w:p>
            <w:pPr>
              <w:spacing w:after="0"/>
              <w:rPr>
                <w:sz w:val="23"/>
                <w:szCs w:val="23"/>
                <w:color w:val="auto"/>
              </w:rPr>
            </w:pPr>
          </w:p>
        </w:tc>
        <w:tc>
          <w:tcPr>
            <w:tcW w:w="606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b w:val="1"/>
                <w:bCs w:val="1"/>
                <w:color w:val="auto"/>
              </w:rPr>
              <w:t>Costs</w:t>
            </w:r>
          </w:p>
        </w:tc>
        <w:tc>
          <w:tcPr>
            <w:tcW w:w="1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DBDBDB"/>
              <w:right w:val="single" w:sz="8" w:color="auto"/>
            </w:tcBorders>
          </w:tcPr>
          <w:p>
            <w:pPr>
              <w:spacing w:after="0"/>
              <w:rPr>
                <w:sz w:val="23"/>
                <w:szCs w:val="23"/>
                <w:color w:val="auto"/>
              </w:rPr>
            </w:pPr>
          </w:p>
        </w:tc>
        <w:tc>
          <w:tcPr>
            <w:tcW w:w="80" w:type="dxa"/>
            <w:vAlign w:val="bottom"/>
            <w:tcBorders>
              <w:bottom w:val="single" w:sz="8" w:color="DBDBDB"/>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DBDBDB"/>
              <w:right w:val="single" w:sz="8" w:color="auto"/>
            </w:tcBorders>
          </w:tcPr>
          <w:p>
            <w:pPr>
              <w:spacing w:after="0"/>
              <w:rPr>
                <w:sz w:val="23"/>
                <w:szCs w:val="23"/>
                <w:color w:val="auto"/>
              </w:rPr>
            </w:pPr>
          </w:p>
        </w:tc>
        <w:tc>
          <w:tcPr>
            <w:tcW w:w="80" w:type="dxa"/>
            <w:vAlign w:val="bottom"/>
            <w:tcBorders>
              <w:bottom w:val="single" w:sz="8" w:color="DBDBDB"/>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DBDBDB"/>
              <w:right w:val="single" w:sz="8" w:color="auto"/>
            </w:tcBorders>
          </w:tcPr>
          <w:p>
            <w:pPr>
              <w:spacing w:after="0"/>
              <w:rPr>
                <w:sz w:val="23"/>
                <w:szCs w:val="23"/>
                <w:color w:val="auto"/>
              </w:rPr>
            </w:pPr>
          </w:p>
        </w:tc>
        <w:tc>
          <w:tcPr>
            <w:tcW w:w="60" w:type="dxa"/>
            <w:vAlign w:val="bottom"/>
            <w:tcBorders>
              <w:bottom w:val="single" w:sz="8" w:color="DBDBDB"/>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606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operating costs</w:t>
            </w:r>
          </w:p>
        </w:tc>
        <w:tc>
          <w:tcPr>
            <w:tcW w:w="1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1,720</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3,186</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3,444</w:t>
            </w:r>
          </w:p>
        </w:tc>
        <w:tc>
          <w:tcPr>
            <w:tcW w:w="0" w:type="dxa"/>
            <w:vAlign w:val="bottom"/>
          </w:tcPr>
          <w:p>
            <w:pPr>
              <w:spacing w:after="0"/>
              <w:rPr>
                <w:sz w:val="1"/>
                <w:szCs w:val="1"/>
                <w:color w:val="auto"/>
              </w:rPr>
            </w:pPr>
          </w:p>
        </w:tc>
      </w:tr>
      <w:tr>
        <w:trPr>
          <w:trHeight w:val="179"/>
        </w:trPr>
        <w:tc>
          <w:tcPr>
            <w:tcW w:w="20" w:type="dxa"/>
            <w:vAlign w:val="bottom"/>
            <w:tcBorders>
              <w:bottom w:val="single" w:sz="8" w:color="DBDBDB"/>
            </w:tcBorders>
          </w:tcPr>
          <w:p>
            <w:pPr>
              <w:spacing w:after="0"/>
              <w:rPr>
                <w:sz w:val="15"/>
                <w:szCs w:val="15"/>
                <w:color w:val="auto"/>
              </w:rPr>
            </w:pPr>
          </w:p>
        </w:tc>
        <w:tc>
          <w:tcPr>
            <w:tcW w:w="606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Gain on asset divestitures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w:t>
            </w:r>
          </w:p>
        </w:tc>
        <w:tc>
          <w:tcPr>
            <w:tcW w:w="120" w:type="dxa"/>
            <w:vAlign w:val="bottom"/>
            <w:tcBorders>
              <w:bottom w:val="single" w:sz="8" w:color="DBDBDB"/>
              <w:right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right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right w:val="single" w:sz="8" w:color="auto"/>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6060" w:type="dxa"/>
            <w:vAlign w:val="bottom"/>
            <w:gridSpan w:val="3"/>
            <w:shd w:val="clear" w:color="auto" w:fill="DBDBDB"/>
          </w:tcPr>
          <w:p>
            <w:pPr>
              <w:spacing w:after="0"/>
              <w:rPr>
                <w:sz w:val="20"/>
                <w:szCs w:val="20"/>
                <w:color w:val="auto"/>
              </w:rPr>
            </w:pPr>
            <w:r>
              <w:rPr>
                <w:rFonts w:ascii="Arial" w:cs="Arial" w:eastAsia="Arial" w:hAnsi="Arial"/>
                <w:sz w:val="14"/>
                <w:szCs w:val="14"/>
                <w:b w:val="1"/>
                <w:bCs w:val="1"/>
                <w:color w:val="auto"/>
              </w:rPr>
              <w:t>Operating Income (Loss)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293</w:t>
            </w:r>
          </w:p>
        </w:tc>
        <w:tc>
          <w:tcPr>
            <w:tcW w:w="120" w:type="dxa"/>
            <w:vAlign w:val="bottom"/>
            <w:tcBorders>
              <w:right w:val="single" w:sz="8" w:color="auto"/>
            </w:tcBorders>
            <w:shd w:val="clear" w:color="auto" w:fill="DBDBDB"/>
          </w:tcPr>
          <w:p>
            <w:pPr>
              <w:spacing w:after="0"/>
              <w:rPr>
                <w:sz w:val="17"/>
                <w:szCs w:val="17"/>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(1,779)</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6060" w:type="dxa"/>
            <w:vAlign w:val="bottom"/>
            <w:tcBorders>
              <w:top w:val="single" w:sz="8" w:color="DBDBDB"/>
              <w:bottom w:val="single" w:sz="8" w:color="DBDBDB"/>
            </w:tcBorders>
            <w:gridSpan w:val="3"/>
            <w:vMerge w:val="restart"/>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gridSpan w:val="3"/>
            <w:vMerge w:val="continue"/>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612</w:t>
            </w:r>
          </w:p>
        </w:tc>
        <w:tc>
          <w:tcPr>
            <w:tcW w:w="120" w:type="dxa"/>
            <w:vAlign w:val="bottom"/>
            <w:tcBorders>
              <w:right w:val="single" w:sz="8" w:color="auto"/>
            </w:tcBorders>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1,889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606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7.46</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40.59</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7.37</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40.42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6060" w:type="dxa"/>
            <w:vAlign w:val="bottom"/>
            <w:gridSpan w:val="3"/>
            <w:shd w:val="clear" w:color="auto" w:fill="DBDBDB"/>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506</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gridSpan w:val="3"/>
          </w:tcPr>
          <w:p>
            <w:pPr>
              <w:spacing w:after="0" w:line="186"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6.10</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606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83.3</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49.4</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83.0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6060" w:type="dxa"/>
            <w:vAlign w:val="bottom"/>
            <w:gridSpan w:val="3"/>
            <w:shd w:val="clear" w:color="auto" w:fill="DBDBDB"/>
          </w:tcPr>
          <w:p>
            <w:pPr>
              <w:spacing w:after="0" w:line="186"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860</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344"/>
        </w:trPr>
        <w:tc>
          <w:tcPr>
            <w:tcW w:w="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spacing w:after="0"/>
              <w:rPr>
                <w:sz w:val="24"/>
                <w:szCs w:val="24"/>
                <w:color w:val="auto"/>
              </w:rPr>
            </w:pPr>
          </w:p>
        </w:tc>
        <w:tc>
          <w:tcPr>
            <w:tcW w:w="430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43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bottom w:val="single" w:sz="8" w:color="DBDBDB"/>
              <w:right w:val="single" w:sz="8" w:color="auto"/>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Successor</w:t>
            </w:r>
          </w:p>
        </w:tc>
        <w:tc>
          <w:tcPr>
            <w:tcW w:w="120" w:type="dxa"/>
            <w:vAlign w:val="bottom"/>
            <w:tcBorders>
              <w:bottom w:val="single" w:sz="8" w:color="DBDBDB"/>
              <w:right w:val="single" w:sz="8" w:color="auto"/>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9"/>
              </w:rPr>
              <w:t>Predecessor</w:t>
            </w:r>
          </w:p>
        </w:tc>
        <w:tc>
          <w:tcPr>
            <w:tcW w:w="120" w:type="dxa"/>
            <w:vAlign w:val="bottom"/>
            <w:tcBorders>
              <w:bottom w:val="single" w:sz="8" w:color="DBDBDB"/>
              <w:right w:val="single" w:sz="8" w:color="auto"/>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3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7"/>
              </w:rPr>
              <w:t>Total Year</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tcBorders>
              <w:right w:val="single" w:sz="8" w:color="auto"/>
            </w:tcBorders>
            <w:gridSpan w:val="2"/>
            <w:shd w:val="clear" w:color="auto" w:fill="DBDBDB"/>
          </w:tcPr>
          <w:p>
            <w:pPr>
              <w:jc w:val="center"/>
              <w:ind w:right="280"/>
              <w:spacing w:after="0"/>
              <w:rPr>
                <w:sz w:val="20"/>
                <w:szCs w:val="20"/>
                <w:color w:val="auto"/>
              </w:rPr>
            </w:pPr>
            <w:r>
              <w:rPr>
                <w:rFonts w:ascii="Arial" w:cs="Arial" w:eastAsia="Arial" w:hAnsi="Arial"/>
                <w:sz w:val="14"/>
                <w:szCs w:val="14"/>
                <w:color w:val="auto"/>
                <w:w w:val="95"/>
              </w:rPr>
              <w:t>Total Year</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tcBorders>
              <w:right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4"/>
                <w:szCs w:val="14"/>
                <w:color w:val="auto"/>
                <w:w w:val="95"/>
              </w:rPr>
              <w:t>Total Year</w:t>
            </w:r>
          </w:p>
        </w:tc>
        <w:tc>
          <w:tcPr>
            <w:tcW w:w="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w w:val="95"/>
              </w:rPr>
              <w:t>Total Year</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606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Net cash provided (used) by operating activities</w:t>
            </w: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606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(161)</w:t>
            </w:r>
          </w:p>
        </w:tc>
        <w:tc>
          <w:tcPr>
            <w:tcW w:w="1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Net cash (used) provided by financing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Review of Operating and Financial Results</w:t>
      </w:r>
    </w:p>
    <w:p>
      <w:pPr>
        <w:spacing w:after="0" w:line="262"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Total daily net production volumes decreased 6% from 103,000 BOE per day for the combined fourth quarter of 2020 to 97,000 BOE per day for the fourth quarter of 2021. Total daily net production volumes decreased 10% from 111,000 BOE per day for the combined year ended December 31, 2020 to 100,000 BOE per day for the same period in 2021. The decrease for both periods was largely a result of natural production declines. CRC suspended its drilling activity in the first quarter of 2020 and temporarily shut-in production in the second quarter of 2020 in response to the economic conditions at that time. CRC increased its capital investment and re-started its drilling program during 2021. PSCs at CRC's Long Beach assets negatively impacted oil production by approximately 3,000 barrels per day in both the quarter and the year ended December 31, 2021, compared to the same prior-year periods. CRC divested the vast majority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901" w:right="339" w:bottom="1440" w:gutter="0" w:footer="0" w:header="0"/>
        </w:sectPr>
      </w:pPr>
    </w:p>
    <w:bookmarkStart w:id="9" w:name="page10"/>
    <w:bookmarkEnd w:id="9"/>
    <w:p>
      <w:pPr>
        <w:jc w:val="both"/>
        <w:ind w:right="100"/>
        <w:spacing w:after="0" w:line="229" w:lineRule="auto"/>
        <w:rPr>
          <w:sz w:val="20"/>
          <w:szCs w:val="20"/>
          <w:color w:val="auto"/>
        </w:rPr>
      </w:pPr>
      <w:r>
        <w:rPr>
          <w:rFonts w:ascii="Arial" w:cs="Arial" w:eastAsia="Arial" w:hAnsi="Arial"/>
          <w:sz w:val="21"/>
          <w:szCs w:val="21"/>
          <w:color w:val="auto"/>
        </w:rPr>
        <w:t>its assets in the Ventura basin which resulted in a decrease of 2,000 BOE per day beginning in the fourth quarter of 2021. This decrease was partially offset by improved operational results from CRC's 2021 drilling program and its acquisition of the working interests in certain joint venture wells held by Macquarie Infrastructure and Real Assets Inc. (MIRA) in the third quarter of 2021 which increased oil production by 1,000 barrels per day. See Attachment 3 for further information on production.</w:t>
      </w:r>
    </w:p>
    <w:p>
      <w:pPr>
        <w:spacing w:after="0" w:line="226"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21"/>
          <w:szCs w:val="21"/>
          <w:color w:val="auto"/>
        </w:rPr>
        <w:t>Realized oil prices, including the effect of settled hedges, increased by $16.61 per barrel from $44.39 per barrel in the combined fourth quarter of 2020 to $61.00 per barrel in the fourth quarter of 2021. For the year ended December 31, 2021, realized oil prices, including the effect of settled hedges, increased by $12.52 to $56.05 from $43.53 in the same period of 2020. Realized oil prices were higher in the fourth quarter and full year of 2021 compared to the same prior-year periods as oil demand was bolstered by the re-opening of economies and the easing of mobility restrictions related to the COVID-19 pandemic. Prices also increased due to a rise in domestic demand and lower supply caused by reduced investment in the U.S. upstream oil and gas sector as well as supply management by OPEC members. See Attachment 4 for further information on prices.</w:t>
      </w:r>
    </w:p>
    <w:p>
      <w:pPr>
        <w:spacing w:after="0" w:line="198" w:lineRule="exact"/>
        <w:rPr>
          <w:sz w:val="20"/>
          <w:szCs w:val="20"/>
          <w:color w:val="auto"/>
        </w:rPr>
      </w:pPr>
    </w:p>
    <w:p>
      <w:pPr>
        <w:jc w:val="both"/>
        <w:ind w:right="100" w:firstLine="318"/>
        <w:spacing w:after="0" w:line="223" w:lineRule="auto"/>
        <w:rPr>
          <w:sz w:val="20"/>
          <w:szCs w:val="20"/>
          <w:color w:val="auto"/>
        </w:rPr>
      </w:pPr>
      <w:r>
        <w:rPr>
          <w:rFonts w:ascii="Arial" w:cs="Arial" w:eastAsia="Arial" w:hAnsi="Arial"/>
          <w:sz w:val="21"/>
          <w:szCs w:val="21"/>
          <w:color w:val="auto"/>
        </w:rPr>
        <w:t>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fourth quarter of 2021 and for the year ended December 31, 2021, was $260 million and $860 million, respectively. See table below for further information on the Company's net cash provided by operating activities, capital investments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during the same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100330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125730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8"/>
          <w:szCs w:val="18"/>
          <w:b w:val="1"/>
          <w:bCs w:val="1"/>
          <w:color w:val="auto"/>
          <w:vertAlign w:val="superscript"/>
        </w:rPr>
        <w:t>1</w:t>
      </w:r>
    </w:p>
    <w:p>
      <w:pPr>
        <w:spacing w:after="0" w:line="90" w:lineRule="exact"/>
        <w:rPr>
          <w:sz w:val="20"/>
          <w:szCs w:val="20"/>
          <w:color w:val="auto"/>
        </w:rPr>
      </w:pPr>
    </w:p>
    <w:p>
      <w:pPr>
        <w:jc w:val="both"/>
        <w:ind w:left="340" w:right="20" w:firstLine="318"/>
        <w:spacing w:after="0" w:line="216"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bankruptcy related fees during 2021 and 2020 a supplemental measure of free cash flow.</w:t>
      </w:r>
    </w:p>
    <w:p>
      <w:pPr>
        <w:spacing w:after="0" w:line="84"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454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1060" w:type="dxa"/>
            <w:vAlign w:val="bottom"/>
            <w:tcBorders>
              <w:top w:val="single" w:sz="8" w:color="auto"/>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Combined</w:t>
            </w:r>
          </w:p>
        </w:tc>
        <w:tc>
          <w:tcPr>
            <w:tcW w:w="240" w:type="dxa"/>
            <w:vAlign w:val="bottom"/>
            <w:tcBorders>
              <w:top w:val="single" w:sz="8" w:color="DBDBDB"/>
              <w:bottom w:val="single" w:sz="8" w:color="DBDBDB"/>
            </w:tcBorders>
            <w:shd w:val="clear" w:color="auto" w:fill="DBDBDB"/>
          </w:tcPr>
          <w:p>
            <w:pPr>
              <w:spacing w:after="0"/>
              <w:rPr>
                <w:sz w:val="17"/>
                <w:szCs w:val="17"/>
                <w:color w:val="auto"/>
              </w:rPr>
            </w:pP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74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Combined</w:t>
            </w:r>
          </w:p>
        </w:tc>
      </w:tr>
      <w:tr>
        <w:trPr>
          <w:trHeight w:val="179"/>
        </w:trPr>
        <w:tc>
          <w:tcPr>
            <w:tcW w:w="45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rPr>
              <w:t>4th Quarter</w:t>
            </w:r>
          </w:p>
        </w:tc>
        <w:tc>
          <w:tcPr>
            <w:tcW w:w="2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40" w:type="dxa"/>
            <w:vAlign w:val="bottom"/>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w w:val="97"/>
              </w:rPr>
              <w:t>Total Year</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7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5"/>
              </w:rPr>
              <w:t>Total Year</w:t>
            </w:r>
          </w:p>
        </w:tc>
      </w:tr>
      <w:tr>
        <w:trPr>
          <w:trHeight w:val="185"/>
        </w:trPr>
        <w:tc>
          <w:tcPr>
            <w:tcW w:w="454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4"/>
                <w:szCs w:val="14"/>
                <w:color w:val="auto"/>
              </w:rPr>
              <w:t>($ millions)</w:t>
            </w:r>
          </w:p>
        </w:tc>
        <w:tc>
          <w:tcPr>
            <w:tcW w:w="12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6"/>
              </w:rPr>
              <w:t>2020</w:t>
            </w:r>
          </w:p>
        </w:tc>
      </w:tr>
      <w:tr>
        <w:trPr>
          <w:trHeight w:val="378"/>
        </w:trPr>
        <w:tc>
          <w:tcPr>
            <w:tcW w:w="4540" w:type="dxa"/>
            <w:vAlign w:val="bottom"/>
          </w:tcPr>
          <w:p>
            <w:pPr>
              <w:ind w:left="340"/>
              <w:spacing w:after="0"/>
              <w:rPr>
                <w:sz w:val="20"/>
                <w:szCs w:val="20"/>
                <w:color w:val="auto"/>
              </w:rPr>
            </w:pPr>
            <w:r>
              <w:rPr>
                <w:rFonts w:ascii="Arial" w:cs="Arial" w:eastAsia="Arial" w:hAnsi="Arial"/>
                <w:sz w:val="14"/>
                <w:szCs w:val="14"/>
                <w:color w:val="auto"/>
              </w:rPr>
              <w:t>Net cash provided (used) by operating activities</w:t>
            </w:r>
          </w:p>
        </w:tc>
        <w:tc>
          <w:tcPr>
            <w:tcW w:w="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204</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7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660</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5"/>
        </w:trPr>
        <w:tc>
          <w:tcPr>
            <w:tcW w:w="4540" w:type="dxa"/>
            <w:vAlign w:val="bottom"/>
            <w:shd w:val="clear" w:color="auto" w:fill="DBDBDB"/>
          </w:tcPr>
          <w:p>
            <w:pPr>
              <w:ind w:left="420"/>
              <w:spacing w:after="0"/>
              <w:rPr>
                <w:sz w:val="20"/>
                <w:szCs w:val="20"/>
                <w:color w:val="auto"/>
              </w:rPr>
            </w:pPr>
            <w:r>
              <w:rPr>
                <w:rFonts w:ascii="Arial" w:cs="Arial" w:eastAsia="Arial" w:hAnsi="Arial"/>
                <w:sz w:val="14"/>
                <w:szCs w:val="14"/>
                <w:color w:val="auto"/>
              </w:rPr>
              <w:t>Capital investments</w:t>
            </w:r>
          </w:p>
        </w:tc>
        <w:tc>
          <w:tcPr>
            <w:tcW w:w="12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(194)</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540" w:type="dxa"/>
            <w:vAlign w:val="bottom"/>
          </w:tcPr>
          <w:p>
            <w:pPr>
              <w:ind w:left="340"/>
              <w:spacing w:after="0" w:line="179"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138</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466</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4540" w:type="dxa"/>
            <w:vAlign w:val="bottom"/>
            <w:shd w:val="clear" w:color="auto" w:fill="DBDBDB"/>
          </w:tcPr>
          <w:p>
            <w:pPr>
              <w:ind w:left="460"/>
              <w:spacing w:after="0"/>
              <w:rPr>
                <w:sz w:val="20"/>
                <w:szCs w:val="20"/>
                <w:color w:val="auto"/>
              </w:rPr>
            </w:pPr>
            <w:r>
              <w:rPr>
                <w:rFonts w:ascii="Arial" w:cs="Arial" w:eastAsia="Arial" w:hAnsi="Arial"/>
                <w:sz w:val="14"/>
                <w:szCs w:val="14"/>
                <w:color w:val="auto"/>
              </w:rPr>
              <w:t>One-time bankruptcy related fees</w:t>
            </w:r>
          </w:p>
        </w:tc>
        <w:tc>
          <w:tcPr>
            <w:tcW w:w="12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w:t>
            </w:r>
          </w:p>
        </w:tc>
      </w:tr>
      <w:tr>
        <w:trPr>
          <w:trHeight w:val="219"/>
        </w:trPr>
        <w:tc>
          <w:tcPr>
            <w:tcW w:w="4540" w:type="dxa"/>
            <w:vAlign w:val="bottom"/>
          </w:tcPr>
          <w:p>
            <w:pPr>
              <w:ind w:left="340"/>
              <w:spacing w:after="0" w:line="179"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r>
              <w:rPr>
                <w:rFonts w:ascii="Arial" w:cs="Arial" w:eastAsia="Arial" w:hAnsi="Arial"/>
                <w:sz w:val="14"/>
                <w:szCs w:val="14"/>
                <w:color w:val="auto"/>
              </w:rPr>
              <w:t>, after special items</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bl>
    <w:p>
      <w:pPr>
        <w:spacing w:after="0" w:line="325" w:lineRule="exact"/>
        <w:rPr>
          <w:sz w:val="20"/>
          <w:szCs w:val="20"/>
          <w:color w:val="auto"/>
        </w:rPr>
      </w:pPr>
    </w:p>
    <w:p>
      <w:pPr>
        <w:jc w:val="both"/>
        <w:ind w:right="100" w:firstLine="318"/>
        <w:spacing w:after="0"/>
        <w:rPr>
          <w:sz w:val="20"/>
          <w:szCs w:val="20"/>
          <w:color w:val="auto"/>
        </w:rPr>
      </w:pPr>
      <w:r>
        <w:rPr>
          <w:rFonts w:ascii="Arial" w:cs="Arial" w:eastAsia="Arial" w:hAnsi="Arial"/>
          <w:sz w:val="21"/>
          <w:szCs w:val="21"/>
          <w:color w:val="auto"/>
        </w:rPr>
        <w:t>The following table presents key operating data for CRC's oil and gas operations, on a per BOE basis, for the periods presented below. Energy operating costs consist of purchases of natural gas used to generate electricity, purchased electricity and internal costs to generate electricity used in CRC's operations. Non-energy operating costs equal total operating costs less energy and gas processing costs. However, non-energy operating costs include the costs of purchasing natural gas to generate steam for its steamfloods.</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40"/>
          </w:cols>
          <w:pgMar w:left="320" w:top="88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408940</wp:posOffset>
            </wp:positionH>
            <wp:positionV relativeFrom="page">
              <wp:posOffset>736600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762000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t>OPERATING COSTS PER BOE</w:t>
      </w:r>
    </w:p>
    <w:p>
      <w:pPr>
        <w:spacing w:after="0" w:line="135" w:lineRule="exact"/>
        <w:rPr>
          <w:sz w:val="20"/>
          <w:szCs w:val="20"/>
          <w:color w:val="auto"/>
        </w:rPr>
      </w:pPr>
    </w:p>
    <w:p>
      <w:pPr>
        <w:ind w:left="340" w:firstLine="318"/>
        <w:spacing w:after="0" w:line="225" w:lineRule="auto"/>
        <w:rPr>
          <w:sz w:val="20"/>
          <w:szCs w:val="20"/>
          <w:color w:val="auto"/>
        </w:rPr>
      </w:pPr>
      <w:r>
        <w:rPr>
          <w:rFonts w:ascii="Arial" w:cs="Arial" w:eastAsia="Arial" w:hAnsi="Arial"/>
          <w:sz w:val="14"/>
          <w:szCs w:val="14"/>
          <w:color w:val="auto"/>
        </w:rPr>
        <w:t>The reporting of our PSCs creates a difference between reported operating costs, which are for the full field, and reported volumes, which are only our net share, inflating th per barrel operating costs. The following table presents operating costs after adjusting for the excess costs attributable to PSCs.</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458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100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Combined</w:t>
            </w:r>
          </w:p>
        </w:tc>
        <w:tc>
          <w:tcPr>
            <w:tcW w:w="24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76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Combined</w:t>
            </w:r>
          </w:p>
        </w:tc>
      </w:tr>
      <w:tr>
        <w:trPr>
          <w:trHeight w:val="179"/>
        </w:trPr>
        <w:tc>
          <w:tcPr>
            <w:tcW w:w="45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240" w:type="dxa"/>
            <w:vAlign w:val="bottom"/>
            <w:gridSpan w:val="2"/>
            <w:shd w:val="clear" w:color="auto" w:fill="DBDBDB"/>
          </w:tcPr>
          <w:p>
            <w:pPr>
              <w:jc w:val="center"/>
              <w:ind w:right="400"/>
              <w:spacing w:after="0"/>
              <w:rPr>
                <w:sz w:val="20"/>
                <w:szCs w:val="20"/>
                <w:color w:val="auto"/>
              </w:rPr>
            </w:pPr>
            <w:r>
              <w:rPr>
                <w:rFonts w:ascii="Arial" w:cs="Arial" w:eastAsia="Arial" w:hAnsi="Arial"/>
                <w:sz w:val="14"/>
                <w:szCs w:val="14"/>
                <w:color w:val="auto"/>
              </w:rPr>
              <w:t>4th Quarter</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7"/>
              </w:rPr>
              <w:t>Total Year</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5"/>
              </w:rPr>
              <w:t>Total Year</w:t>
            </w:r>
          </w:p>
        </w:tc>
      </w:tr>
      <w:tr>
        <w:trPr>
          <w:trHeight w:val="185"/>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 per Boe)</w:t>
            </w:r>
          </w:p>
        </w:tc>
        <w:tc>
          <w:tcPr>
            <w:tcW w:w="12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2020</w:t>
            </w:r>
          </w:p>
        </w:tc>
      </w:tr>
      <w:tr>
        <w:trPr>
          <w:trHeight w:val="179"/>
        </w:trPr>
        <w:tc>
          <w:tcPr>
            <w:tcW w:w="4580" w:type="dxa"/>
            <w:vAlign w:val="bottom"/>
          </w:tcPr>
          <w:p>
            <w:pPr>
              <w:ind w:left="340"/>
              <w:spacing w:after="0"/>
              <w:rPr>
                <w:sz w:val="20"/>
                <w:szCs w:val="20"/>
                <w:color w:val="auto"/>
              </w:rPr>
            </w:pPr>
            <w:r>
              <w:rPr>
                <w:rFonts w:ascii="Arial" w:cs="Arial" w:eastAsia="Arial" w:hAnsi="Arial"/>
                <w:sz w:val="14"/>
                <w:szCs w:val="14"/>
                <w:color w:val="auto"/>
              </w:rPr>
              <w:t>Energy operating costs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4.39</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5.09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Gas processing costs</w:t>
            </w:r>
          </w:p>
        </w:tc>
        <w:tc>
          <w:tcPr>
            <w:tcW w:w="1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0.41</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0.59</w:t>
            </w:r>
          </w:p>
        </w:tc>
        <w:tc>
          <w:tcPr>
            <w:tcW w:w="2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0.54</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r>
      <w:tr>
        <w:trPr>
          <w:trHeight w:val="186"/>
        </w:trPr>
        <w:tc>
          <w:tcPr>
            <w:tcW w:w="4580" w:type="dxa"/>
            <w:vAlign w:val="bottom"/>
            <w:tcBorders>
              <w:bottom w:val="single" w:sz="8" w:color="DBDBDB"/>
            </w:tcBorders>
          </w:tcPr>
          <w:p>
            <w:pPr>
              <w:ind w:left="340"/>
              <w:spacing w:after="0"/>
              <w:rPr>
                <w:sz w:val="20"/>
                <w:szCs w:val="20"/>
                <w:color w:val="auto"/>
              </w:rPr>
            </w:pPr>
            <w:r>
              <w:rPr>
                <w:rFonts w:ascii="Arial" w:cs="Arial" w:eastAsia="Arial" w:hAnsi="Arial"/>
                <w:sz w:val="14"/>
                <w:szCs w:val="14"/>
                <w:color w:val="auto"/>
              </w:rPr>
              <w:t>Non-energy operating costs</w:t>
            </w:r>
          </w:p>
        </w:tc>
        <w:tc>
          <w:tcPr>
            <w:tcW w:w="12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14.57</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24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13.76</w:t>
            </w:r>
          </w:p>
        </w:tc>
        <w:tc>
          <w:tcPr>
            <w:tcW w:w="10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Operating costs</w:t>
            </w:r>
          </w:p>
        </w:tc>
        <w:tc>
          <w:tcPr>
            <w:tcW w:w="12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20.45</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17.42</w:t>
            </w:r>
          </w:p>
        </w:tc>
        <w:tc>
          <w:tcPr>
            <w:tcW w:w="24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19.39</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r>
      <w:tr>
        <w:trPr>
          <w:trHeight w:val="185"/>
        </w:trPr>
        <w:tc>
          <w:tcPr>
            <w:tcW w:w="4580" w:type="dxa"/>
            <w:vAlign w:val="bottom"/>
            <w:tcBorders>
              <w:bottom w:val="single" w:sz="8" w:color="DBDBDB"/>
            </w:tcBorders>
          </w:tcPr>
          <w:p>
            <w:pPr>
              <w:ind w:left="460"/>
              <w:spacing w:after="0"/>
              <w:rPr>
                <w:sz w:val="20"/>
                <w:szCs w:val="20"/>
                <w:color w:val="auto"/>
              </w:rPr>
            </w:pPr>
            <w:r>
              <w:rPr>
                <w:rFonts w:ascii="Arial" w:cs="Arial" w:eastAsia="Arial" w:hAnsi="Arial"/>
                <w:sz w:val="14"/>
                <w:szCs w:val="14"/>
                <w:color w:val="auto"/>
              </w:rPr>
              <w:t>Excess costs attributable to PSCs</w:t>
            </w:r>
          </w:p>
        </w:tc>
        <w:tc>
          <w:tcPr>
            <w:tcW w:w="12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4"/>
        </w:trPr>
        <w:tc>
          <w:tcPr>
            <w:tcW w:w="4580" w:type="dxa"/>
            <w:vAlign w:val="bottom"/>
            <w:tcBorders>
              <w:bottom w:val="single" w:sz="8" w:color="DBDBDB"/>
            </w:tcBorders>
            <w:shd w:val="clear" w:color="auto" w:fill="DBDBDB"/>
          </w:tcPr>
          <w:p>
            <w:pPr>
              <w:ind w:left="340"/>
              <w:spacing w:after="0" w:line="179" w:lineRule="exact"/>
              <w:rPr>
                <w:sz w:val="20"/>
                <w:szCs w:val="20"/>
                <w:color w:val="auto"/>
              </w:rPr>
            </w:pPr>
            <w:r>
              <w:rPr>
                <w:rFonts w:ascii="Arial" w:cs="Arial" w:eastAsia="Arial" w:hAnsi="Arial"/>
                <w:sz w:val="14"/>
                <w:szCs w:val="14"/>
                <w:color w:val="auto"/>
              </w:rPr>
              <w:t xml:space="preserve">Operating costs, excluding effects of PSCs </w:t>
            </w:r>
            <w:r>
              <w:rPr>
                <w:rFonts w:ascii="Arial" w:cs="Arial" w:eastAsia="Arial" w:hAnsi="Arial"/>
                <w:sz w:val="18"/>
                <w:szCs w:val="18"/>
                <w:color w:val="auto"/>
                <w:vertAlign w:val="superscript"/>
              </w:rPr>
              <w:t>(a)</w:t>
            </w:r>
          </w:p>
        </w:tc>
        <w:tc>
          <w:tcPr>
            <w:tcW w:w="12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18.32</w:t>
            </w:r>
          </w:p>
        </w:tc>
        <w:tc>
          <w:tcPr>
            <w:tcW w:w="120" w:type="dxa"/>
            <w:vAlign w:val="bottom"/>
            <w:tcBorders>
              <w:bottom w:val="single" w:sz="8" w:color="DBDBDB"/>
              <w:right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16.29</w:t>
            </w:r>
          </w:p>
        </w:tc>
        <w:tc>
          <w:tcPr>
            <w:tcW w:w="24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17.56</w:t>
            </w:r>
          </w:p>
        </w:tc>
        <w:tc>
          <w:tcPr>
            <w:tcW w:w="100" w:type="dxa"/>
            <w:vAlign w:val="bottom"/>
            <w:tcBorders>
              <w:bottom w:val="single" w:sz="8" w:color="DBDBDB"/>
              <w:right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Operating costs, excluding effects of PSCs is a non-GAAP measure.</w:t>
      </w:r>
    </w:p>
    <w:p>
      <w:pPr>
        <w:spacing w:after="0" w:line="331" w:lineRule="exact"/>
        <w:rPr>
          <w:sz w:val="20"/>
          <w:szCs w:val="20"/>
          <w:color w:val="auto"/>
        </w:rPr>
      </w:pPr>
    </w:p>
    <w:p>
      <w:pPr>
        <w:jc w:val="both"/>
        <w:ind w:right="100" w:firstLine="318"/>
        <w:spacing w:after="0"/>
        <w:rPr>
          <w:sz w:val="20"/>
          <w:szCs w:val="20"/>
          <w:color w:val="auto"/>
        </w:rPr>
      </w:pPr>
      <w:r>
        <w:rPr>
          <w:rFonts w:ascii="Arial" w:cs="Arial" w:eastAsia="Arial" w:hAnsi="Arial"/>
          <w:sz w:val="21"/>
          <w:szCs w:val="21"/>
          <w:color w:val="auto"/>
        </w:rPr>
        <w:t>Energy operating costs for the three months ended December 31, 2021, were $5.47 per BOE, which was an increase of $1.08 per BOE or 25% from $4.39 per BOE for the same period of 2020. Energy operating costs for the year ended December 31, 2021, were $5.09 per BOE, which was an increase of $1.14 per BOE or 29% from $3.95 per BOE for the same period of 2020. This increase was primarily a result of higher prices for purchased natural gas, which CRC used to generate electricity for its operations, and for purchased electricity.</w:t>
      </w:r>
    </w:p>
    <w:p>
      <w:pPr>
        <w:spacing w:after="0" w:line="224" w:lineRule="exact"/>
        <w:rPr>
          <w:sz w:val="20"/>
          <w:szCs w:val="20"/>
          <w:color w:val="auto"/>
        </w:rPr>
      </w:pPr>
    </w:p>
    <w:p>
      <w:pPr>
        <w:jc w:val="both"/>
        <w:ind w:right="100" w:firstLine="318"/>
        <w:spacing w:after="0" w:line="226" w:lineRule="auto"/>
        <w:rPr>
          <w:sz w:val="20"/>
          <w:szCs w:val="20"/>
          <w:color w:val="auto"/>
        </w:rPr>
      </w:pPr>
      <w:r>
        <w:rPr>
          <w:rFonts w:ascii="Arial" w:cs="Arial" w:eastAsia="Arial" w:hAnsi="Arial"/>
          <w:sz w:val="21"/>
          <w:szCs w:val="21"/>
          <w:color w:val="auto"/>
        </w:rPr>
        <w:t>Non-energy operating costs for the three months ended December 31, 2021, were $14.57 per BOE, which was an increase of $2.13 per BOE, or 17%, from $12.44 per BOE for the same period of 2020. Non-energy operating costs for the year ended December 31, 2021, were $13.76 per BOE, which was an increase of $2.81 per BOE, or 26%, from $10.95 per BOE for the same period of 2020. This increase was primarily a result of higher downhole maintenance activity in 2021 which was deferred in 2020 as CRC shut-in wells and suspended surface maintenance activity due to the COVID-19 pandemic. Additionally, non-energy operating costs increased in 2021 due to higher prices for natural gas which CRC uses to generate steam for its steamfloods. Partially offsetting these increases were lower labor-related costs from headcount reductions in late 2020 and early 2021 and reduced employee benefits beginning in the second quarter of 2021. Although higher natural gas prices in 2021 increased CRC's operating costs, higher prices have a net positive effect on its operating results due to higher revenue from sales of this commodity which it also produces.</w:t>
      </w:r>
    </w:p>
    <w:p>
      <w:pPr>
        <w:spacing w:after="0" w:line="217" w:lineRule="exact"/>
        <w:rPr>
          <w:sz w:val="20"/>
          <w:szCs w:val="20"/>
          <w:color w:val="auto"/>
        </w:rPr>
      </w:pPr>
    </w:p>
    <w:p>
      <w:pPr>
        <w:jc w:val="both"/>
        <w:ind w:right="100" w:firstLine="318"/>
        <w:spacing w:after="0" w:line="238" w:lineRule="auto"/>
        <w:rPr>
          <w:sz w:val="20"/>
          <w:szCs w:val="20"/>
          <w:color w:val="auto"/>
        </w:rPr>
      </w:pPr>
      <w:r>
        <w:rPr>
          <w:rFonts w:ascii="Arial" w:cs="Arial" w:eastAsia="Arial" w:hAnsi="Arial"/>
          <w:sz w:val="21"/>
          <w:szCs w:val="21"/>
          <w:color w:val="auto"/>
        </w:rPr>
        <w:t>General and administrative (G&amp;A) expenses were $53 million for the fourth quarter of 2021, compared to $59 million in the same prior-year period. The decrease in G&amp;A expenses for the fourth quarter is due to changes to the variable portion of our incentive compensation program from the prior year as well as lower labor-related costs as a result of workforce reductions that occurred in the first quarter of 2021 and employee benefit reductions in the second quarter of 2021. For the year ended December 31, 2021, G&amp;A expenses were $200 million compared to $252 million in the same prior-year period. The decrease in G&amp;A expenses for the year ended December 31, 2021, reflects lower labor-related costs as a result of workforce reductions that occurred in the second half of 2020 and the first quarter of 2021 as well as employee benefit reductions in the second quarter of 2021. The remaining decrease was also due to lower spending across a number of cost categories. The decreases from the fourth quarter and the year ended December 31, 2021, were partially offset by an increase in compensation expense related to equity-settled awards granted to executives and directors in 2021.</w:t>
      </w: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40"/>
          </w:cols>
          <w:pgMar w:left="320" w:top="1213" w:right="23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62"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21"/>
          <w:szCs w:val="21"/>
          <w:color w:val="auto"/>
        </w:rPr>
        <w:t>CRC's aggregate commitment under the Revolving Credit Facility was set at $492 million as of December 31, 2021. The borrowing base for the Revolving Credit Facility, currently $1.2 billion, will be redetermined semi-annually each April and October.</w:t>
      </w:r>
    </w:p>
    <w:p>
      <w:pPr>
        <w:spacing w:after="0" w:line="2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21"/>
          <w:szCs w:val="21"/>
          <w:color w:val="auto"/>
        </w:rPr>
        <w:t>As of December 31, 2021, CRC had liquidity of $672 million, which consisted of $305 million in cash and $367 million of available borrowing capacity under its Revolving Credit Facility.</w:t>
      </w:r>
    </w:p>
    <w:p>
      <w:pPr>
        <w:spacing w:after="0" w:line="211"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In February 2022, CRC obtained additional commitments from new lenders increasing its aggregate commitment to $552 million from $492 million. After taking into account these additional commitments, the available borrowing capacity under CRC's Revolving Credit Facility increased by $60 million.</w:t>
      </w:r>
    </w:p>
    <w:p>
      <w:pPr>
        <w:spacing w:after="0" w:line="21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21"/>
          <w:szCs w:val="21"/>
          <w:color w:val="auto"/>
        </w:rPr>
        <w:t>CRC expects to begin paying cash income taxes. CRC's tax paying status depends on a number of factors, including the amount and type of CRC's capital spend, cost structure and activity levels. CRC expects to focus on asset retirement activities over the next several years to reduce its idle well inventory. CRC believes it has sufficient sources of liquidity to meet its obligations for the next twelve months</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Dividend Strategy</w:t>
      </w:r>
    </w:p>
    <w:p>
      <w:pPr>
        <w:spacing w:after="0" w:line="27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21"/>
          <w:szCs w:val="21"/>
          <w:color w:val="auto"/>
        </w:rPr>
        <w:t>On February 23, 2022, the Board of Directors of CRC declared a regular quarterly dividend of $0.17 per share of common stock. The dividend is payable to shareholders of record on March 7, 2022, and will be paid on March 16, 2022.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Reserves</w:t>
      </w:r>
    </w:p>
    <w:p>
      <w:pPr>
        <w:spacing w:after="0" w:line="262" w:lineRule="exact"/>
        <w:rPr>
          <w:sz w:val="20"/>
          <w:szCs w:val="20"/>
          <w:color w:val="auto"/>
        </w:rPr>
      </w:pPr>
    </w:p>
    <w:p>
      <w:pPr>
        <w:jc w:val="both"/>
        <w:ind w:firstLine="318"/>
        <w:spacing w:after="0" w:line="215" w:lineRule="auto"/>
        <w:rPr>
          <w:sz w:val="20"/>
          <w:szCs w:val="20"/>
          <w:color w:val="auto"/>
        </w:rPr>
      </w:pPr>
      <w:r>
        <w:rPr>
          <w:rFonts w:ascii="Arial" w:cs="Arial" w:eastAsia="Arial" w:hAnsi="Arial"/>
          <w:sz w:val="21"/>
          <w:szCs w:val="21"/>
          <w:color w:val="auto"/>
        </w:rPr>
        <w:t>As of December 31, 2021, CRC’s proved reserves totaled an estimated 480 million BOE, of which 405 million BOE was proved developed and 75 million BOE was proved undeveloped. The estimated future net cash flows of our proved reserve volumes had a PV-10</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value of $6.17 billion. These estimates were based on SEC pricing and the average realized prices for estimating CRC's PV-10</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cash flows as of December 31, 2021, were $68.73 per barrel for oil, $52.81 per barrel for NGLs and $3.99 per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189230</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PV-10 AND STANDARDIZED MEASURE</w:t>
      </w:r>
    </w:p>
    <w:p>
      <w:pPr>
        <w:spacing w:after="0" w:line="135" w:lineRule="exact"/>
        <w:rPr>
          <w:sz w:val="20"/>
          <w:szCs w:val="20"/>
          <w:color w:val="auto"/>
        </w:rPr>
      </w:pPr>
    </w:p>
    <w:p>
      <w:pPr>
        <w:jc w:val="both"/>
        <w:ind w:left="20" w:right="20"/>
        <w:spacing w:after="0" w:line="225" w:lineRule="auto"/>
        <w:rPr>
          <w:sz w:val="20"/>
          <w:szCs w:val="20"/>
          <w:color w:val="auto"/>
        </w:rPr>
      </w:pPr>
      <w:r>
        <w:rPr>
          <w:rFonts w:ascii="Arial" w:cs="Arial" w:eastAsia="Arial" w:hAnsi="Arial"/>
          <w:sz w:val="14"/>
          <w:szCs w:val="14"/>
          <w:color w:val="auto"/>
        </w:rPr>
        <w:t>The following table presents a reconciliation of the GAAP financial measure of Standardized Measure of discounted future net cash flows (Standardized Measure) to the non-GAAP financial measure of PV-10: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300" w:type="dxa"/>
            <w:vAlign w:val="bottom"/>
            <w:tcBorders>
              <w:bottom w:val="single" w:sz="8" w:color="DBDBDB"/>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2620" w:type="dxa"/>
            <w:vAlign w:val="bottom"/>
            <w:tcBorders>
              <w:top w:val="single" w:sz="8" w:color="auto"/>
              <w:bottom w:val="single" w:sz="8" w:color="auto"/>
            </w:tcBorders>
          </w:tcPr>
          <w:p>
            <w:pPr>
              <w:jc w:val="right"/>
              <w:ind w:right="869"/>
              <w:spacing w:after="0"/>
              <w:rPr>
                <w:sz w:val="20"/>
                <w:szCs w:val="20"/>
                <w:color w:val="auto"/>
              </w:rPr>
            </w:pPr>
            <w:r>
              <w:rPr>
                <w:rFonts w:ascii="Arial" w:cs="Arial" w:eastAsia="Arial" w:hAnsi="Arial"/>
                <w:sz w:val="14"/>
                <w:szCs w:val="14"/>
                <w:color w:val="auto"/>
              </w:rPr>
              <w:t>December 31, 2021</w:t>
            </w:r>
          </w:p>
        </w:tc>
      </w:tr>
      <w:tr>
        <w:trPr>
          <w:trHeight w:val="179"/>
        </w:trPr>
        <w:tc>
          <w:tcPr>
            <w:tcW w:w="81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Standardized Measure of discounted future net cash flows</w:t>
            </w:r>
          </w:p>
        </w:tc>
        <w:tc>
          <w:tcPr>
            <w:tcW w:w="52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2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4,549</w:t>
            </w:r>
          </w:p>
        </w:tc>
      </w:tr>
      <w:tr>
        <w:trPr>
          <w:trHeight w:val="185"/>
        </w:trPr>
        <w:tc>
          <w:tcPr>
            <w:tcW w:w="8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Present value of future income taxes discounted at 10%</w:t>
            </w:r>
          </w:p>
        </w:tc>
        <w:tc>
          <w:tcPr>
            <w:tcW w:w="5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w:t>
            </w:r>
          </w:p>
        </w:tc>
      </w:tr>
      <w:tr>
        <w:trPr>
          <w:trHeight w:val="204"/>
        </w:trPr>
        <w:tc>
          <w:tcPr>
            <w:tcW w:w="8100" w:type="dxa"/>
            <w:vAlign w:val="bottom"/>
            <w:tcBorders>
              <w:bottom w:val="single" w:sz="8" w:color="DBDBDB"/>
            </w:tcBorders>
            <w:gridSpan w:val="2"/>
            <w:shd w:val="clear" w:color="auto" w:fill="DBDBDB"/>
          </w:tcPr>
          <w:p>
            <w:pPr>
              <w:ind w:left="20"/>
              <w:spacing w:after="0" w:line="179" w:lineRule="exact"/>
              <w:rPr>
                <w:sz w:val="20"/>
                <w:szCs w:val="20"/>
                <w:color w:val="auto"/>
              </w:rPr>
            </w:pPr>
            <w:r>
              <w:rPr>
                <w:rFonts w:ascii="Arial" w:cs="Arial" w:eastAsia="Arial" w:hAnsi="Arial"/>
                <w:sz w:val="14"/>
                <w:szCs w:val="14"/>
                <w:color w:val="auto"/>
              </w:rPr>
              <w:t xml:space="preserve">PV-10 of cash flows </w:t>
            </w:r>
            <w:r>
              <w:rPr>
                <w:rFonts w:ascii="Arial" w:cs="Arial" w:eastAsia="Arial" w:hAnsi="Arial"/>
                <w:sz w:val="18"/>
                <w:szCs w:val="18"/>
                <w:color w:val="auto"/>
                <w:vertAlign w:val="superscript"/>
              </w:rPr>
              <w:t>(*)</w:t>
            </w:r>
          </w:p>
        </w:tc>
        <w:tc>
          <w:tcPr>
            <w:tcW w:w="52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2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6,173</w:t>
            </w:r>
          </w:p>
        </w:tc>
      </w:tr>
      <w:tr>
        <w:trPr>
          <w:trHeight w:val="20"/>
        </w:trPr>
        <w:tc>
          <w:tcPr>
            <w:tcW w:w="580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262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454025"/>
                    </a:xfrm>
                    <a:prstGeom prst="rect">
                      <a:avLst/>
                    </a:prstGeom>
                    <a:noFill/>
                  </pic:spPr>
                </pic:pic>
              </a:graphicData>
            </a:graphic>
          </wp:anchor>
        </w:drawing>
      </w:r>
    </w:p>
    <w:p>
      <w:pPr>
        <w:spacing w:after="0" w:line="183" w:lineRule="exact"/>
        <w:rPr>
          <w:sz w:val="20"/>
          <w:szCs w:val="20"/>
          <w:color w:val="auto"/>
        </w:rPr>
      </w:pPr>
    </w:p>
    <w:p>
      <w:pPr>
        <w:ind w:left="20" w:right="40" w:firstLine="4"/>
        <w:spacing w:after="0" w:line="208" w:lineRule="auto"/>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operating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114" w:right="339" w:bottom="1440" w:gutter="0" w:footer="0" w:header="0"/>
        </w:sectPr>
      </w:pPr>
    </w:p>
    <w:bookmarkStart w:id="12" w:name="page13"/>
    <w:bookmarkEnd w:id="12"/>
    <w:p>
      <w:pPr>
        <w:spacing w:after="0"/>
        <w:rPr>
          <w:sz w:val="20"/>
          <w:szCs w:val="20"/>
          <w:color w:val="auto"/>
        </w:rPr>
      </w:pPr>
      <w:r>
        <w:rPr>
          <w:rFonts w:ascii="Arial" w:cs="Arial" w:eastAsia="Arial" w:hAnsi="Arial"/>
          <w:sz w:val="21"/>
          <w:szCs w:val="21"/>
          <w:b w:val="1"/>
          <w:bCs w:val="1"/>
          <w:u w:val="single" w:color="auto"/>
          <w:color w:val="auto"/>
        </w:rPr>
        <w:t>Operational Update</w:t>
      </w:r>
    </w:p>
    <w:p>
      <w:pPr>
        <w:spacing w:after="0" w:line="27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21"/>
          <w:szCs w:val="21"/>
          <w:color w:val="auto"/>
        </w:rPr>
        <w:t>During the fourth quarter of 2021, CRC operated an average of three drilling rigs in the San Joaquin Basin and one drilling rig in the Los Angeles Basin. During the quarter, CRC drilled 39 net wells and brought online 35 wells. See Attachment 3 for further information on CRC's production results by basin. CRC exited the quarter with an average daily net production of 95,100 BOE per day, including 58,500 barrels per day of oil.</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62"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CRC's executives will be participating in the following virtual and in-person events in February 2022 and March 2022:</w:t>
      </w:r>
    </w:p>
    <w:p>
      <w:pPr>
        <w:spacing w:after="0" w:line="200" w:lineRule="exact"/>
        <w:rPr>
          <w:sz w:val="20"/>
          <w:szCs w:val="20"/>
          <w:color w:val="auto"/>
        </w:rPr>
      </w:pPr>
    </w:p>
    <w:p>
      <w:pPr>
        <w:spacing w:after="0" w:line="231" w:lineRule="exact"/>
        <w:rPr>
          <w:sz w:val="20"/>
          <w:szCs w:val="20"/>
          <w:color w:val="auto"/>
        </w:rPr>
      </w:pPr>
    </w:p>
    <w:p>
      <w:pPr>
        <w:ind w:left="580" w:hanging="256"/>
        <w:spacing w:after="0"/>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Credit Suisse 27th Annual Energy Summit on February 28 - March 2, 2022, in Vail, CO</w:t>
      </w:r>
    </w:p>
    <w:p>
      <w:pPr>
        <w:ind w:left="580" w:hanging="256"/>
        <w:spacing w:after="0" w:line="223" w:lineRule="auto"/>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Morgan Stanley Energy and Power Conference on February 28 - March 2, 2022, in New York City, NY</w:t>
      </w:r>
    </w:p>
    <w:p>
      <w:pPr>
        <w:ind w:left="580" w:hanging="256"/>
        <w:spacing w:after="0" w:line="223" w:lineRule="auto"/>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Mizuho 6th Annual Virtual Energy Summit on March 14 - 15</w:t>
      </w:r>
    </w:p>
    <w:p>
      <w:pPr>
        <w:ind w:left="580" w:hanging="256"/>
        <w:spacing w:after="0"/>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Scotia Howard Weil 50th Annual Energy Conference on March 21 - 24, 2022, in New Orleans, LA</w:t>
      </w:r>
    </w:p>
    <w:p>
      <w:pPr>
        <w:spacing w:after="0" w:line="22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CRC’s presentation materials will be available the day of the events on the Events and Presentations page in the Investor Relations section on www.crc.com.</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6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To participate in the conference call scheduled for later today at 1:00 p.m. Eastern Time, please dial (877) 328-5505 (International calls please dial +1 (412) 317-5421) or access via webcast at www.crc.com 15 minutes prior to the scheduled start time to register. Participants may also pre-register for the conference call at https://dpregister.com/sreg/10162383/f019f7b40d. A digital replay of the conference call will be archived for approximately 90 days and supplemental slides for the conference call will be available online in the Investor Relations section of www.crc.com.</w:t>
      </w:r>
    </w:p>
    <w:p>
      <w:pPr>
        <w:spacing w:after="0" w:line="222" w:lineRule="exact"/>
        <w:rPr>
          <w:sz w:val="20"/>
          <w:szCs w:val="20"/>
          <w:color w:val="auto"/>
        </w:rPr>
      </w:pPr>
    </w:p>
    <w:p>
      <w:pPr>
        <w:jc w:val="both"/>
        <w:ind w:firstLine="6"/>
        <w:spacing w:after="0"/>
        <w:tabs>
          <w:tab w:leader="none" w:pos="62" w:val="left"/>
        </w:tabs>
        <w:numPr>
          <w:ilvl w:val="0"/>
          <w:numId w:val="9"/>
        </w:numPr>
        <w:rPr>
          <w:rFonts w:ascii="Arial" w:cs="Arial" w:eastAsia="Arial" w:hAnsi="Arial"/>
          <w:sz w:val="15"/>
          <w:szCs w:val="15"/>
          <w:color w:val="auto"/>
          <w:vertAlign w:val="superscript"/>
        </w:rPr>
      </w:pPr>
      <w:r>
        <w:rPr>
          <w:rFonts w:ascii="Arial" w:cs="Arial" w:eastAsia="Arial" w:hAnsi="Arial"/>
          <w:sz w:val="11"/>
          <w:szCs w:val="11"/>
          <w:color w:val="auto"/>
        </w:rPr>
        <w:t>See Attachment 2 for the non-GAAP financial measures of adjusted EBITDAX, operating costs per BOE (excluding effects of PSCs), adjusted net income (loss), adjusted net income (loss) per share - basic and diluted), free cash flow and free cash flow, after special items including reconciliations to their most directly comparable GAAP measure, where applicable. For the full year 2022 estimates of the non-GAAP measures of adjusted EBITDAX and free cash flow, including reconciliations to their most directly comparable GAAP measure, see Attachment 7. See the reserves section for definitions and a reconciliation for the non-GAAP financial measure of PV-10.</w:t>
      </w:r>
    </w:p>
    <w:p>
      <w:pPr>
        <w:spacing w:after="0" w:line="72"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Calculated as $305 million of cash plus $492 million of capacity on CRC's Revolving Credit Facility less $125 million in outstanding letters of credit</w:t>
      </w:r>
    </w:p>
    <w:p>
      <w:pPr>
        <w:spacing w:after="0" w:line="3" w:lineRule="exact"/>
        <w:rPr>
          <w:sz w:val="20"/>
          <w:szCs w:val="20"/>
          <w:color w:val="auto"/>
        </w:rPr>
      </w:pPr>
    </w:p>
    <w:p>
      <w:pPr>
        <w:ind w:firstLine="6"/>
        <w:spacing w:after="0" w:line="202" w:lineRule="auto"/>
        <w:tabs>
          <w:tab w:leader="none" w:pos="79"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2022 guidance assumes prices of $82.50 per barrel of oil, NGL realizations consistent with prior years and NYMEX gas of $4.00 per mcf. CRC's share of production under PSCs decreases when commodity prices rise and increases when prices fall.</w:t>
      </w:r>
    </w:p>
    <w:p>
      <w:pPr>
        <w:spacing w:after="0" w:line="191" w:lineRule="auto"/>
        <w:rPr>
          <w:rFonts w:ascii="Arial" w:cs="Arial" w:eastAsia="Arial" w:hAnsi="Arial"/>
          <w:sz w:val="15"/>
          <w:szCs w:val="15"/>
          <w:color w:val="auto"/>
          <w:vertAlign w:val="superscript"/>
        </w:rPr>
      </w:pPr>
      <w:r>
        <w:rPr>
          <w:rFonts w:ascii="Arial" w:cs="Arial" w:eastAsia="Arial" w:hAnsi="Arial"/>
          <w:sz w:val="13"/>
          <w:szCs w:val="13"/>
          <w:color w:val="auto"/>
          <w:vertAlign w:val="superscript"/>
        </w:rPr>
        <w:t>4</w:t>
      </w:r>
      <w:r>
        <w:rPr>
          <w:rFonts w:ascii="Arial" w:cs="Arial" w:eastAsia="Arial" w:hAnsi="Arial"/>
          <w:sz w:val="11"/>
          <w:szCs w:val="11"/>
          <w:color w:val="auto"/>
        </w:rPr>
        <w:t xml:space="preserve"> CMB expenses include start-up expenditures.</w:t>
      </w:r>
    </w:p>
    <w:p>
      <w:pPr>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5</w:t>
      </w:r>
      <w:r>
        <w:rPr>
          <w:rFonts w:ascii="Arial" w:cs="Arial" w:eastAsia="Arial" w:hAnsi="Arial"/>
          <w:sz w:val="11"/>
          <w:szCs w:val="11"/>
          <w:color w:val="auto"/>
        </w:rPr>
        <w:t xml:space="preserve"> 2022E E&amp;P Free Cash Flow includes settled ARO liabilities in the range of $60 million - $64 million.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62"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21"/>
          <w:szCs w:val="21"/>
          <w:color w:val="auto"/>
        </w:rPr>
        <w:t>California Resources Corporation (CRC) is an independent oil and natural gas company committed to energy transition in the sector. CRC has some of the lowest carbon intensity production in the US and we are focused on maximizing the value of our land, mineral and technical resources for decarbonization by developing carbon capture and storage (CCS) and other emissions reducing projects. For more information about CRC, please visit www.crc.com.</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114" w:right="33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7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Although we believe the expectations and forecasts reflected in CRC's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our actual results to be materially different than those expressed in CRC's forward-looking statements include:</w:t>
      </w:r>
    </w:p>
    <w:p>
      <w:pPr>
        <w:spacing w:after="0" w:line="200" w:lineRule="exact"/>
        <w:rPr>
          <w:sz w:val="20"/>
          <w:szCs w:val="20"/>
          <w:color w:val="auto"/>
        </w:rPr>
      </w:pPr>
    </w:p>
    <w:p>
      <w:pPr>
        <w:spacing w:after="0" w:line="250" w:lineRule="exact"/>
        <w:rPr>
          <w:sz w:val="20"/>
          <w:szCs w:val="20"/>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fluctuations in commodity prices and the potential for sustained low oil, natural gas and natural gas liquids prices;</w:t>
      </w:r>
    </w:p>
    <w:p>
      <w:pPr>
        <w:spacing w:after="0" w:line="10" w:lineRule="exact"/>
        <w:rPr>
          <w:rFonts w:ascii="Arial" w:cs="Arial" w:eastAsia="Arial" w:hAnsi="Arial"/>
          <w:sz w:val="21"/>
          <w:szCs w:val="21"/>
          <w:color w:val="auto"/>
        </w:rPr>
      </w:pPr>
    </w:p>
    <w:p>
      <w:pPr>
        <w:ind w:left="640" w:right="80" w:hanging="316"/>
        <w:spacing w:after="0" w:line="250" w:lineRule="auto"/>
        <w:tabs>
          <w:tab w:leader="none" w:pos="582"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ind w:left="640" w:right="380" w:hanging="316"/>
        <w:spacing w:after="0" w:line="250" w:lineRule="auto"/>
        <w:tabs>
          <w:tab w:leader="none" w:pos="582" w:val="left"/>
        </w:tabs>
        <w:numPr>
          <w:ilvl w:val="0"/>
          <w:numId w:val="11"/>
        </w:numPr>
        <w:rPr>
          <w:rFonts w:ascii="Arial" w:cs="Arial" w:eastAsia="Arial" w:hAnsi="Arial"/>
          <w:sz w:val="21"/>
          <w:szCs w:val="21"/>
          <w:color w:val="auto"/>
        </w:rPr>
      </w:pPr>
      <w:r>
        <w:rPr>
          <w:rFonts w:ascii="Arial" w:cs="Arial" w:eastAsia="Arial" w:hAnsi="Arial"/>
          <w:sz w:val="21"/>
          <w:szCs w:val="21"/>
          <w:color w:val="auto"/>
        </w:rPr>
        <w:t>availability or timing of, or conditions imposed on, permits and approvals necessary for drilling or development projects;</w:t>
      </w: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spacing w:after="0" w:line="10" w:lineRule="exact"/>
        <w:rPr>
          <w:rFonts w:ascii="Arial" w:cs="Arial" w:eastAsia="Arial" w:hAnsi="Arial"/>
          <w:sz w:val="21"/>
          <w:szCs w:val="21"/>
          <w:color w:val="auto"/>
        </w:rPr>
      </w:pPr>
    </w:p>
    <w:p>
      <w:pPr>
        <w:ind w:left="640" w:right="40" w:hanging="316"/>
        <w:spacing w:after="0" w:line="250" w:lineRule="auto"/>
        <w:tabs>
          <w:tab w:leader="none" w:pos="582" w:val="left"/>
        </w:tabs>
        <w:numPr>
          <w:ilvl w:val="0"/>
          <w:numId w:val="11"/>
        </w:numPr>
        <w:rPr>
          <w:rFonts w:ascii="Arial" w:cs="Arial" w:eastAsia="Arial" w:hAnsi="Arial"/>
          <w:sz w:val="21"/>
          <w:szCs w:val="21"/>
          <w:color w:val="auto"/>
        </w:rPr>
      </w:pPr>
      <w:r>
        <w:rPr>
          <w:rFonts w:ascii="Arial" w:cs="Arial" w:eastAsia="Arial" w:hAnsi="Arial"/>
          <w:sz w:val="21"/>
          <w:szCs w:val="21"/>
          <w:color w:val="auto"/>
        </w:rPr>
        <w:t>lower-than-expected production, reserves or resources from development projects or acquisitions, or higher-than-expected decline rates;</w:t>
      </w: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incorrect estimates of reserves and related future cash flows and the inability to replace reserves;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10" w:lineRule="exact"/>
        <w:rPr>
          <w:rFonts w:ascii="Arial" w:cs="Arial" w:eastAsia="Arial" w:hAnsi="Arial"/>
          <w:sz w:val="21"/>
          <w:szCs w:val="21"/>
          <w:color w:val="auto"/>
        </w:rPr>
      </w:pPr>
    </w:p>
    <w:p>
      <w:pPr>
        <w:ind w:left="640" w:right="400" w:hanging="316"/>
        <w:spacing w:after="0" w:line="250" w:lineRule="auto"/>
        <w:tabs>
          <w:tab w:leader="none" w:pos="582"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realize the benefits of business strategies and initiatives related to energy transition, including carbon capture and storage projects and other renewable energy efforts;</w:t>
      </w: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finance and implement its carbon capture and storage projects;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global geopolitical, socio-demographic and economic trends and technological innovations;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changes in our dividend policy and our ability to declare future dividends;</w:t>
      </w:r>
    </w:p>
    <w:p>
      <w:pPr>
        <w:spacing w:after="0" w:line="10"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spacing w:after="0" w:line="10" w:lineRule="exact"/>
        <w:rPr>
          <w:rFonts w:ascii="Arial" w:cs="Arial" w:eastAsia="Arial" w:hAnsi="Arial"/>
          <w:sz w:val="21"/>
          <w:szCs w:val="21"/>
          <w:color w:val="auto"/>
        </w:rPr>
      </w:pPr>
    </w:p>
    <w:p>
      <w:pPr>
        <w:ind w:left="640" w:right="140" w:hanging="316"/>
        <w:spacing w:after="0" w:line="250" w:lineRule="auto"/>
        <w:tabs>
          <w:tab w:leader="none" w:pos="582"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insufficient cash flow to fund planned investments, interest payments on our debt, stock repurchases or changes to CRC's capital plan;</w:t>
      </w: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insufficient capital or liquidity unavailability of capital markets or inability to attract potential investors;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876" w:right="339" w:bottom="1440" w:gutter="0" w:footer="0" w:header="0"/>
        </w:sectPr>
      </w:pPr>
    </w:p>
    <w:bookmarkStart w:id="14" w:name="page15"/>
    <w:bookmarkEnd w:id="14"/>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acquisitions, asset sales and joint ventures;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joint ventures and acquisitions and CRC's ability to achieve expected synergies;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utilize its net operating loss carryforwards to reduce its income tax obligations;</w:t>
      </w:r>
    </w:p>
    <w:p>
      <w:pPr>
        <w:spacing w:after="0" w:line="10" w:lineRule="exact"/>
        <w:rPr>
          <w:rFonts w:ascii="Arial" w:cs="Arial" w:eastAsia="Arial" w:hAnsi="Arial"/>
          <w:sz w:val="21"/>
          <w:szCs w:val="21"/>
          <w:color w:val="auto"/>
        </w:rPr>
      </w:pPr>
    </w:p>
    <w:p>
      <w:pPr>
        <w:ind w:left="640" w:right="48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successfully gather and verify data regarding emissions, its environmental impacts and other initiatives;</w:t>
      </w:r>
    </w:p>
    <w:p>
      <w:pPr>
        <w:ind w:left="640" w:right="48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compliance of various third parties with CRC's policies and procedures and legal requirements as well as contracts CRC enters into in connection with its climate-related initiatives;</w:t>
      </w: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in the intensity of competition in the oil and gas industry;</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equipment, service or labor price inflation or unavailability;</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climate-related conditions and weather events;</w:t>
      </w:r>
    </w:p>
    <w:p>
      <w:pPr>
        <w:spacing w:after="0" w:line="10" w:lineRule="exact"/>
        <w:rPr>
          <w:rFonts w:ascii="Arial" w:cs="Arial" w:eastAsia="Arial" w:hAnsi="Arial"/>
          <w:sz w:val="21"/>
          <w:szCs w:val="21"/>
          <w:color w:val="auto"/>
        </w:rPr>
      </w:pPr>
    </w:p>
    <w:p>
      <w:pPr>
        <w:ind w:left="640" w:right="32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disruptions due to accidents, mechanical failures, power outages, transportation or storage constraints, natural disasters, labor difficulties, cyber-attacks or other catastrophic events;</w:t>
      </w: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and</w:t>
      </w:r>
    </w:p>
    <w:p>
      <w:pPr>
        <w:spacing w:after="0" w:line="10" w:lineRule="exact"/>
        <w:rPr>
          <w:rFonts w:ascii="Arial" w:cs="Arial" w:eastAsia="Arial" w:hAnsi="Arial"/>
          <w:sz w:val="21"/>
          <w:szCs w:val="21"/>
          <w:color w:val="auto"/>
        </w:rPr>
      </w:pPr>
    </w:p>
    <w:p>
      <w:pPr>
        <w:ind w:left="640" w:right="40" w:hanging="316"/>
        <w:spacing w:after="0" w:line="264"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other factors discussed in Part I, Item 1A – Risk Factors in CRC's Annual Report on Form 10-K and its other SEC filings available at www.crc.com.</w:t>
      </w:r>
    </w:p>
    <w:p>
      <w:pPr>
        <w:spacing w:after="0" w:line="21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gridSpan w:val="2"/>
          </w:tcPr>
          <w:p>
            <w:pPr>
              <w:spacing w:after="0"/>
              <w:rPr>
                <w:sz w:val="20"/>
                <w:szCs w:val="20"/>
                <w:color w:val="auto"/>
              </w:rPr>
            </w:pPr>
            <w:r>
              <w:rPr>
                <w:rFonts w:ascii="Arial" w:cs="Arial" w:eastAsia="Arial" w:hAnsi="Arial"/>
                <w:sz w:val="21"/>
                <w:szCs w:val="21"/>
                <w:b w:val="1"/>
                <w:bCs w:val="1"/>
                <w:color w:val="auto"/>
              </w:rPr>
              <w:t>Contacts:</w:t>
            </w:r>
          </w:p>
        </w:tc>
        <w:tc>
          <w:tcPr>
            <w:tcW w:w="2220" w:type="dxa"/>
            <w:vAlign w:val="bottom"/>
          </w:tcPr>
          <w:p>
            <w:pPr>
              <w:spacing w:after="0"/>
              <w:rPr>
                <w:sz w:val="20"/>
                <w:szCs w:val="20"/>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65"/>
        </w:trPr>
        <w:tc>
          <w:tcPr>
            <w:tcW w:w="5580" w:type="dxa"/>
            <w:vAlign w:val="bottom"/>
            <w:gridSpan w:val="2"/>
          </w:tcPr>
          <w:p>
            <w:pPr>
              <w:ind w:left="20"/>
              <w:spacing w:after="0"/>
              <w:rPr>
                <w:sz w:val="20"/>
                <w:szCs w:val="20"/>
                <w:color w:val="auto"/>
              </w:rPr>
            </w:pPr>
            <w:r>
              <w:rPr>
                <w:rFonts w:ascii="Arial" w:cs="Arial" w:eastAsia="Arial" w:hAnsi="Arial"/>
                <w:sz w:val="21"/>
                <w:szCs w:val="21"/>
                <w:color w:val="auto"/>
              </w:rPr>
              <w:t>Joanna Park (Investor Relations) 818-661-3731</w:t>
            </w:r>
          </w:p>
        </w:tc>
        <w:tc>
          <w:tcPr>
            <w:tcW w:w="222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12"/>
        </w:trPr>
        <w:tc>
          <w:tcPr>
            <w:tcW w:w="5580" w:type="dxa"/>
            <w:vAlign w:val="bottom"/>
            <w:gridSpan w:val="2"/>
          </w:tcPr>
          <w:p>
            <w:pPr>
              <w:ind w:left="20"/>
              <w:spacing w:after="0" w:line="212" w:lineRule="exact"/>
              <w:rPr>
                <w:sz w:val="20"/>
                <w:szCs w:val="20"/>
                <w:color w:val="auto"/>
              </w:rPr>
            </w:pPr>
            <w:r>
              <w:rPr>
                <w:rFonts w:ascii="Arial" w:cs="Arial" w:eastAsia="Arial" w:hAnsi="Arial"/>
                <w:sz w:val="21"/>
                <w:szCs w:val="21"/>
                <w:color w:val="auto"/>
              </w:rPr>
              <w:t>Joanna.Park@crc.com</w:t>
            </w:r>
          </w:p>
        </w:tc>
        <w:tc>
          <w:tcPr>
            <w:tcW w:w="2220" w:type="dxa"/>
            <w:vAlign w:val="bottom"/>
          </w:tcPr>
          <w:p>
            <w:pPr>
              <w:spacing w:after="0" w:line="212" w:lineRule="exact"/>
              <w:rPr>
                <w:sz w:val="20"/>
                <w:szCs w:val="20"/>
                <w:color w:val="auto"/>
              </w:rPr>
            </w:pPr>
            <w:r>
              <w:rPr>
                <w:rFonts w:ascii="Arial" w:cs="Arial" w:eastAsia="Arial" w:hAnsi="Arial"/>
                <w:sz w:val="21"/>
                <w:szCs w:val="21"/>
                <w:color w:val="auto"/>
              </w:rPr>
              <w:t>818-661-6014</w:t>
            </w:r>
          </w:p>
        </w:tc>
      </w:tr>
      <w:tr>
        <w:trPr>
          <w:trHeight w:val="205"/>
        </w:trPr>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20" w:type="dxa"/>
            <w:vAlign w:val="bottom"/>
            <w:tcBorders>
              <w:bottom w:val="single" w:sz="8" w:color="421BFF"/>
            </w:tcBorders>
          </w:tcPr>
          <w:p>
            <w:pPr>
              <w:spacing w:after="0" w:line="205" w:lineRule="exact"/>
              <w:rPr>
                <w:sz w:val="20"/>
                <w:szCs w:val="20"/>
                <w:color w:val="auto"/>
              </w:rPr>
            </w:pPr>
            <w:r>
              <w:rPr>
                <w:rFonts w:ascii="Arial" w:cs="Arial" w:eastAsia="Arial" w:hAnsi="Arial"/>
                <w:sz w:val="21"/>
                <w:szCs w:val="21"/>
                <w:color w:val="421BFF"/>
                <w:w w:val="99"/>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90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7"/>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Fourth Quarter</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2"/>
                <w:szCs w:val="12"/>
                <w:color w:val="auto"/>
              </w:rPr>
            </w:pPr>
          </w:p>
        </w:tc>
        <w:tc>
          <w:tcPr>
            <w:tcW w:w="12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2"/>
                <w:szCs w:val="12"/>
                <w:color w:val="auto"/>
              </w:rPr>
            </w:pPr>
          </w:p>
        </w:tc>
        <w:tc>
          <w:tcPr>
            <w:tcW w:w="11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Combined (Non-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720" w:type="dxa"/>
            <w:vAlign w:val="bottom"/>
          </w:tcPr>
          <w:p>
            <w:pPr>
              <w:spacing w:after="0"/>
              <w:rPr>
                <w:sz w:val="16"/>
                <w:szCs w:val="16"/>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589</w:t>
            </w:r>
          </w:p>
        </w:tc>
        <w:tc>
          <w:tcPr>
            <w:tcW w:w="2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237</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105</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18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(73)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71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15</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41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634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149</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3"/>
                <w:szCs w:val="23"/>
                <w:color w:val="auto"/>
              </w:rPr>
            </w:pP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182</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114</w:t>
            </w:r>
          </w:p>
        </w:tc>
        <w:tc>
          <w:tcPr>
            <w:tcW w:w="2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51</w:t>
            </w:r>
          </w:p>
        </w:tc>
        <w:tc>
          <w:tcPr>
            <w:tcW w:w="2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32</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32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ind w:left="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422</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151</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Gain on asset divestitures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120</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80" w:type="dxa"/>
            <w:vAlign w:val="bottom"/>
          </w:tcPr>
          <w:p>
            <w:pPr>
              <w:spacing w:after="0"/>
              <w:rPr>
                <w:sz w:val="15"/>
                <w:szCs w:val="15"/>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332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0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3,994</w:t>
            </w: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(14)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(loss) gain on early extinguishment of debt</w:t>
            </w:r>
          </w:p>
        </w:tc>
        <w:tc>
          <w:tcPr>
            <w:tcW w:w="18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Other non-operating expenses, net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318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3,995</w:t>
            </w: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3,870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396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714</w:t>
            </w: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3,995</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3,870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loss (income) attributable to noncontrolling interests</w:t>
            </w:r>
          </w:p>
        </w:tc>
        <w:tc>
          <w:tcPr>
            <w:tcW w:w="18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714</w:t>
            </w:r>
          </w:p>
        </w:tc>
        <w:tc>
          <w:tcPr>
            <w:tcW w:w="2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3,985</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8.91</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2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80.20</w:t>
            </w:r>
          </w:p>
        </w:tc>
        <w:tc>
          <w:tcPr>
            <w:tcW w:w="2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8.71</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80.20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net income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175</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net income (loss)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2.18</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net income (loss)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2.13</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3"/>
                <w:szCs w:val="23"/>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80.1</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2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49.5</w:t>
            </w:r>
          </w:p>
        </w:tc>
        <w:tc>
          <w:tcPr>
            <w:tcW w:w="2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82.0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49.5</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260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2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33</w:t>
            </w:r>
          </w:p>
        </w:tc>
        <w:tc>
          <w:tcPr>
            <w:tcW w:w="2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r>
        <w:trPr>
          <w:trHeight w:val="609"/>
        </w:trPr>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9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1"/>
        </w:trPr>
        <w:tc>
          <w:tcPr>
            <w:tcW w:w="20" w:type="dxa"/>
            <w:vAlign w:val="bottom"/>
            <w:tcBorders>
              <w:top w:val="single" w:sz="8" w:color="auto"/>
            </w:tcBorders>
          </w:tcPr>
          <w:p>
            <w:pPr>
              <w:spacing w:after="0"/>
              <w:rPr>
                <w:sz w:val="17"/>
                <w:szCs w:val="17"/>
                <w:color w:val="auto"/>
              </w:rPr>
            </w:pPr>
          </w:p>
        </w:tc>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gridSpan w:val="4"/>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Total Year</w:t>
            </w:r>
          </w:p>
        </w:tc>
        <w:tc>
          <w:tcPr>
            <w:tcW w:w="1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2"/>
                <w:szCs w:val="12"/>
                <w:color w:val="auto"/>
              </w:rPr>
            </w:pPr>
          </w:p>
        </w:tc>
        <w:tc>
          <w:tcPr>
            <w:tcW w:w="12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2"/>
                <w:szCs w:val="12"/>
                <w:color w:val="auto"/>
              </w:rPr>
            </w:pPr>
          </w:p>
        </w:tc>
        <w:tc>
          <w:tcPr>
            <w:tcW w:w="11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Combined (Non-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720" w:type="dxa"/>
            <w:vAlign w:val="bottom"/>
          </w:tcPr>
          <w:p>
            <w:pPr>
              <w:spacing w:after="0"/>
              <w:rPr>
                <w:sz w:val="16"/>
                <w:szCs w:val="16"/>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2,048</w:t>
            </w:r>
          </w:p>
        </w:tc>
        <w:tc>
          <w:tcPr>
            <w:tcW w:w="2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237</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1,092</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18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(676)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91</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312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124</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172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33</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1,889</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1,407</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19"/>
                <w:szCs w:val="19"/>
                <w:color w:val="auto"/>
              </w:rPr>
            </w:pP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705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114</w:t>
            </w: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511</w:t>
            </w: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212</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213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328</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1,736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1,736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145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134</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196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78</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96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53</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35</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33</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29</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1,720</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3,186</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3,444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Gain on asset divestitures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80" w:type="dxa"/>
            <w:vAlign w:val="bottom"/>
          </w:tcPr>
          <w:p>
            <w:pPr>
              <w:spacing w:after="0"/>
              <w:rPr>
                <w:sz w:val="15"/>
                <w:szCs w:val="15"/>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293</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(1,779)</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(1,885)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0"/>
                <w:szCs w:val="20"/>
                <w:color w:val="auto"/>
              </w:rPr>
            </w:pPr>
          </w:p>
        </w:tc>
        <w:tc>
          <w:tcPr>
            <w:tcW w:w="10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4,060</w:t>
            </w:r>
          </w:p>
        </w:tc>
        <w:tc>
          <w:tcPr>
            <w:tcW w:w="2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(54)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(217)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(loss) gain on early extinguishment of debt</w:t>
            </w:r>
          </w:p>
        </w:tc>
        <w:tc>
          <w:tcPr>
            <w:tcW w:w="18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Other non-operating expenses, net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1,996</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1,871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396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625</w:t>
            </w: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1,996</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1,871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612</w:t>
            </w:r>
          </w:p>
        </w:tc>
        <w:tc>
          <w:tcPr>
            <w:tcW w:w="2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1,889</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7.46</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40.59</w:t>
            </w: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7.37</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40.42</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net income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506</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(285)</w:t>
            </w: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net income (loss)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6.17</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(2.98)</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net income (loss)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(2.98)</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82.0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49.4</w:t>
            </w: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83.0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49.6</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860</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406</w:t>
            </w: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585470</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94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8"/>
          </w:tcPr>
          <w:p>
            <w:pPr>
              <w:jc w:val="center"/>
              <w:ind w:right="540"/>
              <w:spacing w:after="0"/>
              <w:rPr>
                <w:sz w:val="20"/>
                <w:szCs w:val="20"/>
                <w:color w:val="auto"/>
              </w:rPr>
            </w:pPr>
            <w:r>
              <w:rPr>
                <w:rFonts w:ascii="Arial" w:cs="Arial" w:eastAsia="Arial" w:hAnsi="Arial"/>
                <w:sz w:val="14"/>
                <w:szCs w:val="14"/>
                <w:b w:val="1"/>
                <w:bCs w:val="1"/>
                <w:color w:val="auto"/>
              </w:rPr>
              <w:t>Fourth Quarter</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2"/>
                <w:szCs w:val="12"/>
                <w:color w:val="auto"/>
              </w:rPr>
            </w:pPr>
          </w:p>
        </w:tc>
        <w:tc>
          <w:tcPr>
            <w:tcW w:w="126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Successor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Predecessor</w:t>
            </w:r>
          </w:p>
        </w:tc>
        <w:tc>
          <w:tcPr>
            <w:tcW w:w="80" w:type="dxa"/>
            <w:vAlign w:val="bottom"/>
          </w:tcPr>
          <w:p>
            <w:pPr>
              <w:spacing w:after="0"/>
              <w:rPr>
                <w:sz w:val="12"/>
                <w:szCs w:val="12"/>
                <w:color w:val="auto"/>
              </w:rPr>
            </w:pPr>
          </w:p>
        </w:tc>
        <w:tc>
          <w:tcPr>
            <w:tcW w:w="11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Combined (Non-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right w:val="single" w:sz="8" w:color="auto"/>
            </w:tcBorders>
            <w:gridSpan w:val="2"/>
            <w:vMerge w:val="continue"/>
          </w:tcPr>
          <w:p>
            <w:pPr>
              <w:spacing w:after="0"/>
              <w:rPr>
                <w:sz w:val="14"/>
                <w:szCs w:val="14"/>
                <w:color w:val="auto"/>
              </w:rPr>
            </w:pPr>
          </w:p>
        </w:tc>
        <w:tc>
          <w:tcPr>
            <w:tcW w:w="3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49"/>
              <w:spacing w:after="0"/>
              <w:rPr>
                <w:sz w:val="20"/>
                <w:szCs w:val="20"/>
                <w:color w:val="auto"/>
              </w:rPr>
            </w:pPr>
            <w:r>
              <w:rPr>
                <w:rFonts w:ascii="Arial" w:cs="Arial" w:eastAsia="Arial" w:hAnsi="Arial"/>
                <w:sz w:val="14"/>
                <w:szCs w:val="14"/>
                <w:b w:val="1"/>
                <w:bCs w:val="1"/>
                <w:color w:val="auto"/>
                <w:w w:val="97"/>
              </w:rPr>
              <w:t>GAAP)</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204</w:t>
            </w:r>
          </w:p>
        </w:tc>
        <w:tc>
          <w:tcPr>
            <w:tcW w:w="3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provided (used) by operating activities</w:t>
            </w: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(used) provided by financing activities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106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809"/>
              <w:spacing w:after="0"/>
              <w:rPr>
                <w:sz w:val="20"/>
                <w:szCs w:val="20"/>
                <w:color w:val="auto"/>
              </w:rPr>
            </w:pPr>
            <w:r>
              <w:rPr>
                <w:rFonts w:ascii="Arial" w:cs="Arial" w:eastAsia="Arial" w:hAnsi="Arial"/>
                <w:sz w:val="14"/>
                <w:szCs w:val="14"/>
                <w:b w:val="1"/>
                <w:bCs w:val="1"/>
                <w:color w:val="auto"/>
              </w:rPr>
              <w:t>Total Year</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2"/>
                <w:szCs w:val="12"/>
                <w:color w:val="auto"/>
              </w:rPr>
            </w:pPr>
          </w:p>
        </w:tc>
        <w:tc>
          <w:tcPr>
            <w:tcW w:w="126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Successor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Predecessor</w:t>
            </w:r>
          </w:p>
        </w:tc>
        <w:tc>
          <w:tcPr>
            <w:tcW w:w="80" w:type="dxa"/>
            <w:vAlign w:val="bottom"/>
          </w:tcPr>
          <w:p>
            <w:pPr>
              <w:spacing w:after="0"/>
              <w:rPr>
                <w:sz w:val="12"/>
                <w:szCs w:val="12"/>
                <w:color w:val="auto"/>
              </w:rPr>
            </w:pPr>
          </w:p>
        </w:tc>
        <w:tc>
          <w:tcPr>
            <w:tcW w:w="11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Combined (Non-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right w:val="single" w:sz="8" w:color="auto"/>
            </w:tcBorders>
            <w:gridSpan w:val="2"/>
            <w:vMerge w:val="continue"/>
          </w:tcPr>
          <w:p>
            <w:pPr>
              <w:spacing w:after="0"/>
              <w:rPr>
                <w:sz w:val="14"/>
                <w:szCs w:val="14"/>
                <w:color w:val="auto"/>
              </w:rPr>
            </w:pPr>
          </w:p>
        </w:tc>
        <w:tc>
          <w:tcPr>
            <w:tcW w:w="3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49"/>
              <w:spacing w:after="0"/>
              <w:rPr>
                <w:sz w:val="20"/>
                <w:szCs w:val="20"/>
                <w:color w:val="auto"/>
              </w:rPr>
            </w:pPr>
            <w:r>
              <w:rPr>
                <w:rFonts w:ascii="Arial" w:cs="Arial" w:eastAsia="Arial" w:hAnsi="Arial"/>
                <w:sz w:val="14"/>
                <w:szCs w:val="14"/>
                <w:b w:val="1"/>
                <w:bCs w:val="1"/>
                <w:color w:val="auto"/>
                <w:w w:val="97"/>
              </w:rPr>
              <w:t>GAAP)</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660</w:t>
            </w:r>
          </w:p>
        </w:tc>
        <w:tc>
          <w:tcPr>
            <w:tcW w:w="3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118</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provided (used) by operating activities</w:t>
            </w: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Net cash (used) provided by financing activities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98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753</w:t>
            </w:r>
          </w:p>
        </w:tc>
        <w:tc>
          <w:tcPr>
            <w:tcW w:w="180" w:type="dxa"/>
            <w:vAlign w:val="bottom"/>
          </w:tcPr>
          <w:p>
            <w:pPr>
              <w:spacing w:after="0"/>
              <w:rPr>
                <w:sz w:val="21"/>
                <w:szCs w:val="2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current assets</w:t>
            </w:r>
          </w:p>
        </w:tc>
        <w:tc>
          <w:tcPr>
            <w:tcW w:w="3580" w:type="dxa"/>
            <w:vAlign w:val="bottom"/>
            <w:gridSpan w:val="2"/>
          </w:tcPr>
          <w:p>
            <w:pPr>
              <w:spacing w:after="0"/>
              <w:rPr>
                <w:sz w:val="16"/>
                <w:szCs w:val="16"/>
                <w:color w:val="auto"/>
              </w:rPr>
            </w:pPr>
          </w:p>
        </w:tc>
        <w:tc>
          <w:tcPr>
            <w:tcW w:w="1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2,599</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2,655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Deferred tax asset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854</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589</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Noncurrent asset retirement obligations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438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1,688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1,182</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160" w:type="dxa"/>
            <w:vAlign w:val="bottom"/>
          </w:tcPr>
          <w:p>
            <w:pPr>
              <w:spacing w:after="0"/>
              <w:rPr>
                <w:sz w:val="24"/>
                <w:szCs w:val="24"/>
                <w:color w:val="auto"/>
              </w:rPr>
            </w:pPr>
          </w:p>
        </w:tc>
        <w:tc>
          <w:tcPr>
            <w:tcW w:w="1220" w:type="dxa"/>
            <w:vAlign w:val="bottom"/>
          </w:tcPr>
          <w:p>
            <w:pPr>
              <w:jc w:val="right"/>
              <w:ind w:right="469"/>
              <w:spacing w:after="0"/>
              <w:rPr>
                <w:sz w:val="20"/>
                <w:szCs w:val="20"/>
                <w:color w:val="auto"/>
              </w:rPr>
            </w:pPr>
            <w:r>
              <w:rPr>
                <w:rFonts w:ascii="Arial" w:cs="Arial" w:eastAsia="Arial" w:hAnsi="Arial"/>
                <w:sz w:val="14"/>
                <w:szCs w:val="14"/>
                <w:b w:val="1"/>
                <w:bCs w:val="1"/>
                <w:color w:val="auto"/>
              </w:rPr>
              <w:t>79.3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100"/>
          </w:cols>
          <w:pgMar w:left="320" w:top="1339" w:right="47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829310</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854710</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t>GAINS AND LOSSES FROM COMMODITY DERIVATIVES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580" w:type="dxa"/>
            <w:vAlign w:val="bottom"/>
            <w:tcBorders>
              <w:top w:val="single" w:sz="8" w:color="auto"/>
              <w:bottom w:val="single" w:sz="8" w:color="auto"/>
            </w:tcBorders>
            <w:gridSpan w:val="10"/>
          </w:tcPr>
          <w:p>
            <w:pPr>
              <w:jc w:val="right"/>
              <w:ind w:right="900"/>
              <w:spacing w:after="0"/>
              <w:rPr>
                <w:sz w:val="20"/>
                <w:szCs w:val="20"/>
                <w:color w:val="auto"/>
              </w:rPr>
            </w:pPr>
            <w:r>
              <w:rPr>
                <w:rFonts w:ascii="Arial" w:cs="Arial" w:eastAsia="Arial" w:hAnsi="Arial"/>
                <w:sz w:val="14"/>
                <w:szCs w:val="14"/>
                <w:b w:val="1"/>
                <w:bCs w:val="1"/>
                <w:color w:val="auto"/>
              </w:rPr>
              <w:t>Fourth Quarter</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Successor</w:t>
            </w:r>
          </w:p>
        </w:tc>
        <w:tc>
          <w:tcPr>
            <w:tcW w:w="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8"/>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gain (loss) - excluding noncontrolling interest</w:t>
            </w:r>
          </w:p>
        </w:tc>
        <w:tc>
          <w:tcPr>
            <w:tcW w:w="88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(138)</w:t>
            </w:r>
          </w:p>
        </w:tc>
        <w:tc>
          <w:tcPr>
            <w:tcW w:w="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86"/>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 noncontrolling interest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5100" w:type="dxa"/>
            <w:vAlign w:val="bottom"/>
          </w:tcPr>
          <w:p>
            <w:pPr>
              <w:ind w:left="300"/>
              <w:spacing w:after="0"/>
              <w:rPr>
                <w:sz w:val="20"/>
                <w:szCs w:val="20"/>
                <w:color w:val="auto"/>
              </w:rPr>
            </w:pPr>
            <w:r>
              <w:rPr>
                <w:rFonts w:ascii="Arial" w:cs="Arial" w:eastAsia="Arial" w:hAnsi="Arial"/>
                <w:sz w:val="14"/>
                <w:szCs w:val="14"/>
                <w:color w:val="auto"/>
              </w:rPr>
              <w:t>Total non-cash changes</w:t>
            </w:r>
          </w:p>
        </w:tc>
        <w:tc>
          <w:tcPr>
            <w:tcW w:w="6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(140)</w:t>
            </w:r>
          </w:p>
        </w:tc>
        <w:tc>
          <w:tcPr>
            <w:tcW w:w="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w:t>
            </w: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color w:val="auto"/>
              </w:rPr>
              <w:t>Net (payments) proceeds on settled commodity derivatives</w:t>
            </w:r>
          </w:p>
        </w:tc>
        <w:tc>
          <w:tcPr>
            <w:tcW w:w="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19"/>
        </w:trPr>
        <w:tc>
          <w:tcPr>
            <w:tcW w:w="5100" w:type="dxa"/>
            <w:vAlign w:val="bottom"/>
          </w:tcPr>
          <w:p>
            <w:pPr>
              <w:ind w:left="140"/>
              <w:spacing w:after="0"/>
              <w:rPr>
                <w:sz w:val="20"/>
                <w:szCs w:val="20"/>
                <w:color w:val="auto"/>
              </w:rPr>
            </w:pPr>
            <w:r>
              <w:rPr>
                <w:rFonts w:ascii="Arial" w:cs="Arial" w:eastAsia="Arial" w:hAnsi="Arial"/>
                <w:sz w:val="14"/>
                <w:szCs w:val="14"/>
                <w:color w:val="auto"/>
              </w:rPr>
              <w:t>Net (loss) gain from commodity derivatives</w:t>
            </w:r>
          </w:p>
        </w:tc>
        <w:tc>
          <w:tcPr>
            <w:tcW w:w="6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(141)</w:t>
            </w:r>
          </w:p>
        </w:tc>
        <w:tc>
          <w:tcPr>
            <w:tcW w:w="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65"/>
        </w:trPr>
        <w:tc>
          <w:tcPr>
            <w:tcW w:w="5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0"/>
          </w:tcPr>
          <w:p>
            <w:pPr>
              <w:jc w:val="right"/>
              <w:ind w:right="1060"/>
              <w:spacing w:after="0"/>
              <w:rPr>
                <w:sz w:val="20"/>
                <w:szCs w:val="20"/>
                <w:color w:val="auto"/>
              </w:rPr>
            </w:pPr>
            <w:r>
              <w:rPr>
                <w:rFonts w:ascii="Arial" w:cs="Arial" w:eastAsia="Arial" w:hAnsi="Arial"/>
                <w:sz w:val="14"/>
                <w:szCs w:val="14"/>
                <w:b w:val="1"/>
                <w:bCs w:val="1"/>
                <w:color w:val="auto"/>
              </w:rPr>
              <w:t>Total Year</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Successor</w:t>
            </w:r>
          </w:p>
        </w:tc>
        <w:tc>
          <w:tcPr>
            <w:tcW w:w="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30"/>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 excluding noncontrolling interest</w:t>
            </w:r>
          </w:p>
        </w:tc>
        <w:tc>
          <w:tcPr>
            <w:tcW w:w="88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(138)</w:t>
            </w:r>
          </w:p>
        </w:tc>
        <w:tc>
          <w:tcPr>
            <w:tcW w:w="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(19)</w:t>
            </w:r>
          </w:p>
        </w:tc>
        <w:tc>
          <w:tcPr>
            <w:tcW w:w="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86"/>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gain - noncontrolling interest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100" w:type="dxa"/>
            <w:vAlign w:val="bottom"/>
          </w:tcPr>
          <w:p>
            <w:pPr>
              <w:ind w:left="20"/>
              <w:spacing w:after="0"/>
              <w:rPr>
                <w:sz w:val="20"/>
                <w:szCs w:val="20"/>
                <w:color w:val="auto"/>
              </w:rPr>
            </w:pPr>
            <w:r>
              <w:rPr>
                <w:rFonts w:ascii="Arial" w:cs="Arial" w:eastAsia="Arial" w:hAnsi="Arial"/>
                <w:sz w:val="14"/>
                <w:szCs w:val="14"/>
                <w:color w:val="auto"/>
              </w:rPr>
              <w:t>Total non-cash changes</w:t>
            </w:r>
          </w:p>
        </w:tc>
        <w:tc>
          <w:tcPr>
            <w:tcW w:w="6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(140)</w:t>
            </w:r>
          </w:p>
        </w:tc>
        <w:tc>
          <w:tcPr>
            <w:tcW w:w="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color w:val="auto"/>
              </w:rPr>
              <w:t>Net (payments) proceeds on settled commodity derivatives</w:t>
            </w:r>
          </w:p>
        </w:tc>
        <w:tc>
          <w:tcPr>
            <w:tcW w:w="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108</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rPr>
                <w:sz w:val="20"/>
                <w:szCs w:val="20"/>
                <w:color w:val="auto"/>
              </w:rPr>
            </w:pPr>
            <w:r>
              <w:rPr>
                <w:rFonts w:ascii="Arial" w:cs="Arial" w:eastAsia="Arial" w:hAnsi="Arial"/>
                <w:sz w:val="14"/>
                <w:szCs w:val="14"/>
                <w:color w:val="auto"/>
              </w:rPr>
              <w:t>Net (loss) gain from commodity derivatives</w:t>
            </w:r>
          </w:p>
        </w:tc>
        <w:tc>
          <w:tcPr>
            <w:tcW w:w="6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(141)</w:t>
            </w:r>
          </w:p>
        </w:tc>
        <w:tc>
          <w:tcPr>
            <w:tcW w:w="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91</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245"/>
        </w:trPr>
        <w:tc>
          <w:tcPr>
            <w:tcW w:w="510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1st Quarter</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color w:val="auto"/>
              </w:rPr>
              <w:t>1st Quarter</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4th</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4th</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4th Quarter</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100" w:type="dxa"/>
            <w:vAlign w:val="bottom"/>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5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1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0"/>
          </w:tcPr>
          <w:p>
            <w:pPr>
              <w:jc w:val="right"/>
              <w:ind w:right="860"/>
              <w:spacing w:after="0"/>
              <w:rPr>
                <w:sz w:val="20"/>
                <w:szCs w:val="20"/>
                <w:color w:val="auto"/>
              </w:rPr>
            </w:pPr>
            <w:r>
              <w:rPr>
                <w:rFonts w:ascii="Arial" w:cs="Arial" w:eastAsia="Arial" w:hAnsi="Arial"/>
                <w:sz w:val="14"/>
                <w:szCs w:val="14"/>
                <w:b w:val="1"/>
                <w:bCs w:val="1"/>
                <w:color w:val="auto"/>
              </w:rPr>
              <w:t>Fourth Quarter</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Successor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Successor</w:t>
            </w:r>
          </w:p>
        </w:tc>
        <w:tc>
          <w:tcPr>
            <w:tcW w:w="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209"/>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1"/>
        </w:trPr>
        <w:tc>
          <w:tcPr>
            <w:tcW w:w="5100" w:type="dxa"/>
            <w:vAlign w:val="bottom"/>
          </w:tcPr>
          <w:p>
            <w:pPr>
              <w:ind w:left="140"/>
              <w:spacing w:after="0"/>
              <w:rPr>
                <w:sz w:val="20"/>
                <w:szCs w:val="20"/>
                <w:color w:val="auto"/>
              </w:rPr>
            </w:pPr>
            <w:r>
              <w:rPr>
                <w:rFonts w:ascii="Arial" w:cs="Arial" w:eastAsia="Arial" w:hAnsi="Arial"/>
                <w:sz w:val="14"/>
                <w:szCs w:val="14"/>
                <w:color w:val="auto"/>
              </w:rPr>
              <w:t>Internally funded capital</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5100" w:type="dxa"/>
            <w:vAlign w:val="bottom"/>
          </w:tcPr>
          <w:p>
            <w:pPr>
              <w:ind w:left="140"/>
              <w:spacing w:after="0"/>
              <w:rPr>
                <w:sz w:val="20"/>
                <w:szCs w:val="20"/>
                <w:color w:val="auto"/>
              </w:rPr>
            </w:pPr>
            <w:r>
              <w:rPr>
                <w:rFonts w:ascii="Arial" w:cs="Arial" w:eastAsia="Arial" w:hAnsi="Arial"/>
                <w:sz w:val="14"/>
                <w:szCs w:val="14"/>
                <w:i w:val="1"/>
                <w:iCs w:val="1"/>
                <w:color w:val="auto"/>
              </w:rPr>
              <w:t>Capital investments not included on our financial statements: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300"/>
              <w:spacing w:after="0"/>
              <w:rPr>
                <w:sz w:val="20"/>
                <w:szCs w:val="20"/>
                <w:color w:val="auto"/>
              </w:rPr>
            </w:pPr>
            <w:r>
              <w:rPr>
                <w:rFonts w:ascii="Arial" w:cs="Arial" w:eastAsia="Arial" w:hAnsi="Arial"/>
                <w:sz w:val="14"/>
                <w:szCs w:val="14"/>
                <w:color w:val="auto"/>
              </w:rPr>
              <w:t>Alpine funded capital</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7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65"/>
        </w:trPr>
        <w:tc>
          <w:tcPr>
            <w:tcW w:w="5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0"/>
          </w:tcPr>
          <w:p>
            <w:pPr>
              <w:jc w:val="right"/>
              <w:ind w:right="1020"/>
              <w:spacing w:after="0"/>
              <w:rPr>
                <w:sz w:val="20"/>
                <w:szCs w:val="20"/>
                <w:color w:val="auto"/>
              </w:rPr>
            </w:pPr>
            <w:r>
              <w:rPr>
                <w:rFonts w:ascii="Arial" w:cs="Arial" w:eastAsia="Arial" w:hAnsi="Arial"/>
                <w:sz w:val="14"/>
                <w:szCs w:val="14"/>
                <w:b w:val="1"/>
                <w:bCs w:val="1"/>
                <w:color w:val="auto"/>
              </w:rPr>
              <w:t>Total Year</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Successor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Successor</w:t>
            </w:r>
          </w:p>
        </w:tc>
        <w:tc>
          <w:tcPr>
            <w:tcW w:w="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209"/>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33"/>
        </w:trPr>
        <w:tc>
          <w:tcPr>
            <w:tcW w:w="5100" w:type="dxa"/>
            <w:vAlign w:val="bottom"/>
          </w:tcPr>
          <w:p>
            <w:pPr>
              <w:ind w:left="140"/>
              <w:spacing w:after="0"/>
              <w:rPr>
                <w:sz w:val="20"/>
                <w:szCs w:val="20"/>
                <w:color w:val="auto"/>
              </w:rPr>
            </w:pPr>
            <w:r>
              <w:rPr>
                <w:rFonts w:ascii="Arial" w:cs="Arial" w:eastAsia="Arial" w:hAnsi="Arial"/>
                <w:sz w:val="14"/>
                <w:szCs w:val="14"/>
                <w:color w:val="auto"/>
              </w:rPr>
              <w:t>Internally funded capital</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5"/>
        </w:trPr>
        <w:tc>
          <w:tcPr>
            <w:tcW w:w="5100" w:type="dxa"/>
            <w:vAlign w:val="bottom"/>
          </w:tcPr>
          <w:p>
            <w:pPr>
              <w:ind w:left="140"/>
              <w:spacing w:after="0"/>
              <w:rPr>
                <w:sz w:val="20"/>
                <w:szCs w:val="20"/>
                <w:color w:val="auto"/>
              </w:rPr>
            </w:pPr>
            <w:r>
              <w:rPr>
                <w:rFonts w:ascii="Arial" w:cs="Arial" w:eastAsia="Arial" w:hAnsi="Arial"/>
                <w:sz w:val="14"/>
                <w:szCs w:val="14"/>
                <w:i w:val="1"/>
                <w:iCs w:val="1"/>
                <w:color w:val="auto"/>
              </w:rPr>
              <w:t>Capital investments not included on our financial statements: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20"/>
              <w:spacing w:after="0"/>
              <w:rPr>
                <w:sz w:val="20"/>
                <w:szCs w:val="20"/>
                <w:color w:val="auto"/>
              </w:rPr>
            </w:pPr>
            <w:r>
              <w:rPr>
                <w:rFonts w:ascii="Arial" w:cs="Arial" w:eastAsia="Arial" w:hAnsi="Arial"/>
                <w:sz w:val="14"/>
                <w:szCs w:val="14"/>
                <w:color w:val="auto"/>
              </w:rPr>
              <w:t>MIRA funded capital</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color w:val="auto"/>
              </w:rPr>
              <w:t>Alpine funded capital</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7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358"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15875</wp:posOffset>
            </wp:positionV>
            <wp:extent cx="7092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40640</wp:posOffset>
            </wp:positionV>
            <wp:extent cx="7092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2950" cy="8255"/>
                    </a:xfrm>
                    <a:prstGeom prst="rect">
                      <a:avLst/>
                    </a:prstGeom>
                    <a:noFill/>
                  </pic:spPr>
                </pic:pic>
              </a:graphicData>
            </a:graphic>
          </wp:anchor>
        </w:drawing>
      </w:r>
    </w:p>
    <w:p>
      <w:pPr>
        <w:spacing w:after="0" w:line="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6" w:lineRule="exact"/>
        <w:rPr>
          <w:sz w:val="20"/>
          <w:szCs w:val="20"/>
          <w:color w:val="auto"/>
        </w:rPr>
      </w:pPr>
    </w:p>
    <w:p>
      <w:pPr>
        <w:ind w:left="60" w:right="220"/>
        <w:spacing w:after="0" w:line="203"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adjusted EBITDAX margin, discretionary cash flow, free cash flow and operating costs per BOE, among others. These measures are also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379730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405130</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6" w:lineRule="exact"/>
        <w:rPr>
          <w:sz w:val="20"/>
          <w:szCs w:val="20"/>
          <w:color w:val="auto"/>
        </w:rPr>
      </w:pPr>
    </w:p>
    <w:p>
      <w:pPr>
        <w:ind w:left="20" w:right="200"/>
        <w:spacing w:after="0" w:line="206" w:lineRule="auto"/>
        <w:rPr>
          <w:sz w:val="20"/>
          <w:szCs w:val="20"/>
          <w:color w:val="auto"/>
        </w:rPr>
      </w:pPr>
      <w:r>
        <w:rPr>
          <w:rFonts w:ascii="Arial" w:cs="Arial" w:eastAsia="Arial" w:hAnsi="Arial"/>
          <w:sz w:val="14"/>
          <w:szCs w:val="14"/>
          <w:color w:val="auto"/>
        </w:rPr>
        <w:t>Adjusted net income (loss) and adjusted net income (loss) per share are non-GAAP measures. We define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 attributable to common stock per share to the non-GAAP financial measure of adjusted net income (loss) and adjusted net income (loss) per share.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5"/>
          </w:tcPr>
          <w:p>
            <w:pPr>
              <w:jc w:val="right"/>
              <w:ind w:right="589"/>
              <w:spacing w:after="0"/>
              <w:rPr>
                <w:sz w:val="20"/>
                <w:szCs w:val="20"/>
                <w:color w:val="auto"/>
              </w:rPr>
            </w:pPr>
            <w:r>
              <w:rPr>
                <w:rFonts w:ascii="Arial" w:cs="Arial" w:eastAsia="Arial" w:hAnsi="Arial"/>
                <w:sz w:val="14"/>
                <w:szCs w:val="14"/>
                <w:b w:val="1"/>
                <w:bCs w:val="1"/>
                <w:color w:val="auto"/>
              </w:rPr>
              <w:t>Fourth Quarter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Total Year</w:t>
            </w: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240" w:type="dxa"/>
            <w:vAlign w:val="bottom"/>
            <w:tcBorders>
              <w:right w:val="single" w:sz="8" w:color="auto"/>
            </w:tcBorders>
            <w:gridSpan w:val="3"/>
          </w:tcPr>
          <w:p>
            <w:pPr>
              <w:ind w:left="20"/>
              <w:spacing w:after="0" w:line="144" w:lineRule="exact"/>
              <w:rPr>
                <w:sz w:val="20"/>
                <w:szCs w:val="20"/>
                <w:color w:val="auto"/>
              </w:rPr>
            </w:pPr>
            <w:r>
              <w:rPr>
                <w:rFonts w:ascii="Arial" w:cs="Arial" w:eastAsia="Arial" w:hAnsi="Arial"/>
                <w:sz w:val="14"/>
                <w:szCs w:val="14"/>
                <w:color w:val="auto"/>
              </w:rPr>
              <w:t>Combined (Non-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10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Combined (Non-</w:t>
            </w:r>
          </w:p>
        </w:tc>
        <w:tc>
          <w:tcPr>
            <w:tcW w:w="0" w:type="dxa"/>
            <w:vAlign w:val="bottom"/>
          </w:tcPr>
          <w:p>
            <w:pPr>
              <w:spacing w:after="0"/>
              <w:rPr>
                <w:sz w:val="1"/>
                <w:szCs w:val="1"/>
                <w:color w:val="auto"/>
              </w:rPr>
            </w:pPr>
          </w:p>
        </w:tc>
      </w:tr>
      <w:tr>
        <w:trPr>
          <w:trHeight w:val="168"/>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GAAP)</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2020</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3,870</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625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86"/>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1"/>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common stock</w:t>
            </w: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3,862</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612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185"/>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357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Non-cash (income) loss from commodity derivatives, excluding noncontrolling interest</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Asset impairments</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86"/>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Reorganization items, net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(3,991)</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(4,057)</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Legal and professional fees related to our reorganization</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Net loss (gain) on early extinguishment of debt</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Deficiency payment on pipeline delivery contract</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Power plant maintenance</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Incentive and retention award modifications</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Write-off deferred financing costs</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Gain on asset divestitures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Ad valorem late payment penalties</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Rig termination expenses</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9"/>
        </w:trPr>
        <w:tc>
          <w:tcPr>
            <w:tcW w:w="5940" w:type="dxa"/>
            <w:vAlign w:val="bottom"/>
            <w:gridSpan w:val="2"/>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(3,854)</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290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8"/>
        </w:trPr>
        <w:tc>
          <w:tcPr>
            <w:tcW w:w="5940" w:type="dxa"/>
            <w:vAlign w:val="bottom"/>
            <w:gridSpan w:val="2"/>
          </w:tcPr>
          <w:p>
            <w:pPr>
              <w:ind w:left="140"/>
              <w:spacing w:after="0"/>
              <w:rPr>
                <w:sz w:val="20"/>
                <w:szCs w:val="20"/>
                <w:color w:val="auto"/>
              </w:rPr>
            </w:pPr>
            <w:r>
              <w:rPr>
                <w:rFonts w:ascii="Arial" w:cs="Arial" w:eastAsia="Arial" w:hAnsi="Arial"/>
                <w:sz w:val="14"/>
                <w:szCs w:val="14"/>
                <w:color w:val="auto"/>
              </w:rPr>
              <w:t>Valuation allowance</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5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attributable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506</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common stock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8.91</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7.46</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common stock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8.71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7.37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Adjusted net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6.17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6.10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00"/>
          </w:cols>
          <w:pgMar w:left="320" w:top="1040" w:right="37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t>FREE CASH FLOW</w:t>
      </w:r>
    </w:p>
    <w:p>
      <w:pPr>
        <w:spacing w:after="0" w:line="135" w:lineRule="exact"/>
        <w:rPr>
          <w:sz w:val="20"/>
          <w:szCs w:val="20"/>
          <w:color w:val="auto"/>
        </w:rPr>
      </w:pPr>
    </w:p>
    <w:p>
      <w:pPr>
        <w:ind w:left="20"/>
        <w:spacing w:after="0" w:line="216"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bankruptcy related fees during 2021 and 2020 as a supplemental measure of our free cash flow.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60" w:type="dxa"/>
            <w:vAlign w:val="bottom"/>
            <w:tcBorders>
              <w:top w:val="single" w:sz="8" w:color="auto"/>
              <w:bottom w:val="single" w:sz="8" w:color="auto"/>
            </w:tcBorders>
            <w:gridSpan w:val="5"/>
          </w:tcPr>
          <w:p>
            <w:pPr>
              <w:jc w:val="right"/>
              <w:ind w:right="749"/>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5"/>
          </w:tcPr>
          <w:p>
            <w:pPr>
              <w:jc w:val="right"/>
              <w:ind w:right="92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220"/>
              <w:spacing w:after="0" w:line="144" w:lineRule="exact"/>
              <w:rPr>
                <w:sz w:val="20"/>
                <w:szCs w:val="20"/>
                <w:color w:val="auto"/>
              </w:rPr>
            </w:pPr>
            <w:r>
              <w:rPr>
                <w:rFonts w:ascii="Arial" w:cs="Arial" w:eastAsia="Arial" w:hAnsi="Arial"/>
                <w:sz w:val="14"/>
                <w:szCs w:val="14"/>
                <w:color w:val="auto"/>
                <w:w w:val="99"/>
              </w:rPr>
              <w:t>Combined (Non-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9"/>
              <w:spacing w:after="0" w:line="144" w:lineRule="exact"/>
              <w:rPr>
                <w:sz w:val="20"/>
                <w:szCs w:val="20"/>
                <w:color w:val="auto"/>
              </w:rPr>
            </w:pPr>
            <w:r>
              <w:rPr>
                <w:rFonts w:ascii="Arial" w:cs="Arial" w:eastAsia="Arial" w:hAnsi="Arial"/>
                <w:sz w:val="14"/>
                <w:szCs w:val="14"/>
                <w:color w:val="auto"/>
              </w:rPr>
              <w:t>Combined (Non-</w:t>
            </w: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GAAP)</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9"/>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37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204</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660</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9"/>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138</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466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5520" w:type="dxa"/>
            <w:vAlign w:val="bottom"/>
            <w:gridSpan w:val="2"/>
          </w:tcPr>
          <w:p>
            <w:pPr>
              <w:ind w:left="140"/>
              <w:spacing w:after="0"/>
              <w:rPr>
                <w:sz w:val="20"/>
                <w:szCs w:val="20"/>
                <w:color w:val="auto"/>
              </w:rPr>
            </w:pPr>
            <w:r>
              <w:rPr>
                <w:rFonts w:ascii="Arial" w:cs="Arial" w:eastAsia="Arial" w:hAnsi="Arial"/>
                <w:sz w:val="14"/>
                <w:szCs w:val="14"/>
                <w:color w:val="auto"/>
              </w:rPr>
              <w:t>One-time bankruptcy related fees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19"/>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 after special items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w:t>
      </w:r>
    </w:p>
    <w:p>
      <w:pPr>
        <w:spacing w:after="0" w:line="135" w:lineRule="exact"/>
        <w:rPr>
          <w:sz w:val="20"/>
          <w:szCs w:val="20"/>
          <w:color w:val="auto"/>
        </w:rPr>
      </w:pPr>
    </w:p>
    <w:p>
      <w:pPr>
        <w:ind w:left="20" w:right="140"/>
        <w:spacing w:after="0" w:line="205"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5"/>
          </w:tcPr>
          <w:p>
            <w:pPr>
              <w:jc w:val="right"/>
              <w:ind w:right="92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44"/>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2"/>
                <w:szCs w:val="12"/>
                <w:color w:val="auto"/>
              </w:rPr>
            </w:pPr>
          </w:p>
        </w:tc>
        <w:tc>
          <w:tcPr>
            <w:tcW w:w="1220" w:type="dxa"/>
            <w:vAlign w:val="bottom"/>
            <w:tcBorders>
              <w:right w:val="single" w:sz="8" w:color="auto"/>
            </w:tcBorders>
            <w:gridSpan w:val="3"/>
          </w:tcPr>
          <w:p>
            <w:pPr>
              <w:ind w:left="20"/>
              <w:spacing w:after="0" w:line="144" w:lineRule="exact"/>
              <w:rPr>
                <w:sz w:val="20"/>
                <w:szCs w:val="20"/>
                <w:color w:val="auto"/>
              </w:rPr>
            </w:pPr>
            <w:r>
              <w:rPr>
                <w:rFonts w:ascii="Arial" w:cs="Arial" w:eastAsia="Arial" w:hAnsi="Arial"/>
                <w:sz w:val="14"/>
                <w:szCs w:val="14"/>
                <w:color w:val="auto"/>
              </w:rPr>
              <w:t>Combined (Non-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9"/>
              <w:spacing w:after="0" w:line="144" w:lineRule="exact"/>
              <w:rPr>
                <w:sz w:val="20"/>
                <w:szCs w:val="20"/>
                <w:color w:val="auto"/>
              </w:rPr>
            </w:pPr>
            <w:r>
              <w:rPr>
                <w:rFonts w:ascii="Arial" w:cs="Arial" w:eastAsia="Arial" w:hAnsi="Arial"/>
                <w:sz w:val="14"/>
                <w:szCs w:val="14"/>
                <w:color w:val="auto"/>
              </w:rPr>
              <w:t>Combined (Non-</w:t>
            </w:r>
          </w:p>
        </w:tc>
        <w:tc>
          <w:tcPr>
            <w:tcW w:w="0" w:type="dxa"/>
            <w:vAlign w:val="bottom"/>
          </w:tcPr>
          <w:p>
            <w:pPr>
              <w:spacing w:after="0"/>
              <w:rPr>
                <w:sz w:val="1"/>
                <w:szCs w:val="1"/>
                <w:color w:val="auto"/>
              </w:rPr>
            </w:pPr>
          </w:p>
        </w:tc>
      </w:tr>
      <w:tr>
        <w:trPr>
          <w:trHeight w:val="168"/>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GAAP)</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9"/>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3,870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625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net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6"/>
                <w:szCs w:val="16"/>
                <w:color w:val="auto"/>
              </w:rPr>
            </w:pPr>
          </w:p>
        </w:tc>
        <w:tc>
          <w:tcPr>
            <w:tcW w:w="960" w:type="dxa"/>
            <w:vAlign w:val="bottom"/>
          </w:tcPr>
          <w:p>
            <w:pPr>
              <w:ind w:left="600"/>
              <w:spacing w:after="0"/>
              <w:rPr>
                <w:sz w:val="20"/>
                <w:szCs w:val="20"/>
                <w:color w:val="auto"/>
              </w:rPr>
            </w:pPr>
            <w:r>
              <w:rPr>
                <w:rFonts w:ascii="Arial" w:cs="Arial" w:eastAsia="Arial" w:hAnsi="Arial"/>
                <w:sz w:val="14"/>
                <w:szCs w:val="14"/>
                <w:b w:val="1"/>
                <w:bCs w:val="1"/>
                <w:color w:val="auto"/>
              </w:rPr>
              <w:t>(396)</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Exploration expense</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8"/>
        </w:trPr>
        <w:tc>
          <w:tcPr>
            <w:tcW w:w="5560" w:type="dxa"/>
            <w:vAlign w:val="bottom"/>
            <w:gridSpan w:val="2"/>
          </w:tcPr>
          <w:p>
            <w:pPr>
              <w:ind w:left="140"/>
              <w:spacing w:after="0" w:line="228"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2"/>
                <w:szCs w:val="22"/>
                <w:color w:val="auto"/>
                <w:vertAlign w:val="superscript"/>
              </w:rPr>
              <w:t>(a)</w:t>
            </w:r>
          </w:p>
        </w:tc>
        <w:tc>
          <w:tcPr>
            <w:tcW w:w="140" w:type="dxa"/>
            <w:vAlign w:val="bottom"/>
          </w:tcPr>
          <w:p>
            <w:pPr>
              <w:spacing w:after="0"/>
              <w:rPr>
                <w:sz w:val="19"/>
                <w:szCs w:val="19"/>
                <w:color w:val="auto"/>
              </w:rPr>
            </w:pPr>
          </w:p>
        </w:tc>
        <w:tc>
          <w:tcPr>
            <w:tcW w:w="960" w:type="dxa"/>
            <w:vAlign w:val="bottom"/>
          </w:tcPr>
          <w:p>
            <w:pPr>
              <w:ind w:left="600"/>
              <w:spacing w:after="0"/>
              <w:rPr>
                <w:sz w:val="20"/>
                <w:szCs w:val="20"/>
                <w:color w:val="auto"/>
              </w:rPr>
            </w:pPr>
            <w:r>
              <w:rPr>
                <w:rFonts w:ascii="Arial" w:cs="Arial" w:eastAsia="Arial" w:hAnsi="Arial"/>
                <w:sz w:val="14"/>
                <w:szCs w:val="14"/>
                <w:b w:val="1"/>
                <w:bCs w:val="1"/>
                <w:color w:val="auto"/>
              </w:rPr>
              <w:t>(143)</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70"/>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Non-cash items</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5"/>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Post-retirement medical and pension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Other non-cash items</w:t>
            </w: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660</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Cash interest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Exploration expenditures</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Working capital changes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29.22</w:t>
            </w:r>
          </w:p>
        </w:tc>
        <w:tc>
          <w:tcPr>
            <w:tcW w:w="1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12.25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23.65</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40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(Loss) reconciliation.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180"/>
          </w:cols>
          <w:pgMar w:left="320" w:top="1093" w:right="39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t>DISCRETIONARY CASH FLOW</w:t>
      </w:r>
    </w:p>
    <w:p>
      <w:pPr>
        <w:spacing w:after="0" w:line="135" w:lineRule="exact"/>
        <w:rPr>
          <w:sz w:val="20"/>
          <w:szCs w:val="20"/>
          <w:color w:val="auto"/>
        </w:rPr>
      </w:pPr>
    </w:p>
    <w:p>
      <w:pPr>
        <w:jc w:val="both"/>
        <w:ind w:left="20" w:right="240"/>
        <w:spacing w:after="0" w:line="216"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cash interest and asset retirement obligation and idle well testing, excluding the effect of working capital changes but before our internal capital investment. Management uses discretionary cash flow as a measure of the availability of cash to reduce debt or fund investments.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4"/>
          </w:tcPr>
          <w:p>
            <w:pPr>
              <w:jc w:val="right"/>
              <w:ind w:right="389"/>
              <w:spacing w:after="0"/>
              <w:rPr>
                <w:sz w:val="20"/>
                <w:szCs w:val="20"/>
                <w:color w:val="auto"/>
              </w:rPr>
            </w:pPr>
            <w:r>
              <w:rPr>
                <w:rFonts w:ascii="Arial" w:cs="Arial" w:eastAsia="Arial" w:hAnsi="Arial"/>
                <w:sz w:val="14"/>
                <w:szCs w:val="14"/>
                <w:b w:val="1"/>
                <w:bCs w:val="1"/>
                <w:color w:val="auto"/>
              </w:rPr>
              <w:t>Fourth Quarter</w:t>
            </w: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5"/>
          </w:tcPr>
          <w:p>
            <w:pPr>
              <w:jc w:val="right"/>
              <w:ind w:right="92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260" w:type="dxa"/>
            <w:vAlign w:val="bottom"/>
            <w:tcBorders>
              <w:right w:val="single" w:sz="8" w:color="auto"/>
            </w:tcBorders>
            <w:gridSpan w:val="3"/>
          </w:tcPr>
          <w:p>
            <w:pPr>
              <w:jc w:val="center"/>
              <w:ind w:right="100"/>
              <w:spacing w:after="0" w:line="144" w:lineRule="exact"/>
              <w:rPr>
                <w:sz w:val="20"/>
                <w:szCs w:val="20"/>
                <w:color w:val="auto"/>
              </w:rPr>
            </w:pPr>
            <w:r>
              <w:rPr>
                <w:rFonts w:ascii="Arial" w:cs="Arial" w:eastAsia="Arial" w:hAnsi="Arial"/>
                <w:sz w:val="14"/>
                <w:szCs w:val="14"/>
                <w:color w:val="auto"/>
              </w:rPr>
              <w:t>Combined (Non-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9"/>
              <w:spacing w:after="0" w:line="144" w:lineRule="exact"/>
              <w:rPr>
                <w:sz w:val="20"/>
                <w:szCs w:val="20"/>
                <w:color w:val="auto"/>
              </w:rPr>
            </w:pPr>
            <w:r>
              <w:rPr>
                <w:rFonts w:ascii="Arial" w:cs="Arial" w:eastAsia="Arial" w:hAnsi="Arial"/>
                <w:sz w:val="14"/>
                <w:szCs w:val="14"/>
                <w:color w:val="auto"/>
              </w:rPr>
              <w:t>Combined (Non-</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left="269"/>
              <w:spacing w:after="0"/>
              <w:rPr>
                <w:sz w:val="20"/>
                <w:szCs w:val="20"/>
                <w:color w:val="auto"/>
              </w:rPr>
            </w:pPr>
            <w:r>
              <w:rPr>
                <w:rFonts w:ascii="Arial" w:cs="Arial" w:eastAsia="Arial" w:hAnsi="Arial"/>
                <w:sz w:val="14"/>
                <w:szCs w:val="14"/>
                <w:color w:val="auto"/>
              </w:rPr>
              <w:t>GAAP)</w:t>
            </w:r>
          </w:p>
        </w:tc>
        <w:tc>
          <w:tcPr>
            <w:tcW w:w="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9"/>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116</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860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88"/>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180" w:type="dxa"/>
            <w:vAlign w:val="bottom"/>
          </w:tcPr>
          <w:p>
            <w:pPr>
              <w:spacing w:after="0"/>
              <w:rPr>
                <w:sz w:val="16"/>
                <w:szCs w:val="16"/>
                <w:color w:val="auto"/>
              </w:rPr>
            </w:pPr>
          </w:p>
        </w:tc>
        <w:tc>
          <w:tcPr>
            <w:tcW w:w="11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BSP</w:t>
            </w:r>
          </w:p>
        </w:tc>
        <w:tc>
          <w:tcPr>
            <w:tcW w:w="180" w:type="dxa"/>
            <w:vAlign w:val="bottom"/>
          </w:tcPr>
          <w:p>
            <w:pPr>
              <w:spacing w:after="0"/>
              <w:rPr>
                <w:sz w:val="15"/>
                <w:szCs w:val="15"/>
                <w:color w:val="auto"/>
              </w:rPr>
            </w:pPr>
          </w:p>
        </w:tc>
        <w:tc>
          <w:tcPr>
            <w:tcW w:w="116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Ares</w:t>
            </w:r>
          </w:p>
        </w:tc>
        <w:tc>
          <w:tcPr>
            <w:tcW w:w="1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8"/>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idle well testing</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1"/>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53</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353695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 MARGIN</w:t>
      </w:r>
    </w:p>
    <w:p>
      <w:pPr>
        <w:spacing w:after="0" w:line="135" w:lineRule="exact"/>
        <w:rPr>
          <w:sz w:val="20"/>
          <w:szCs w:val="20"/>
          <w:color w:val="auto"/>
        </w:rPr>
      </w:pPr>
    </w:p>
    <w:p>
      <w:pPr>
        <w:ind w:left="20" w:right="160"/>
        <w:spacing w:after="0" w:line="225"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 Adjusted EBITDAX margin is calculated as adjusted EBITDAX divided by Revenues, excluding non-cash derivative gains and losses.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5"/>
          </w:tcPr>
          <w:p>
            <w:pPr>
              <w:jc w:val="right"/>
              <w:ind w:right="749"/>
              <w:spacing w:after="0"/>
              <w:rPr>
                <w:sz w:val="20"/>
                <w:szCs w:val="20"/>
                <w:color w:val="auto"/>
              </w:rPr>
            </w:pPr>
            <w:r>
              <w:rPr>
                <w:rFonts w:ascii="Arial" w:cs="Arial" w:eastAsia="Arial" w:hAnsi="Arial"/>
                <w:sz w:val="14"/>
                <w:szCs w:val="14"/>
                <w:b w:val="1"/>
                <w:bCs w:val="1"/>
                <w:color w:val="auto"/>
              </w:rPr>
              <w:t>Fourth Quarter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Total Year</w:t>
            </w:r>
          </w:p>
        </w:tc>
        <w:tc>
          <w:tcPr>
            <w:tcW w:w="9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300" w:type="dxa"/>
            <w:vAlign w:val="bottom"/>
            <w:tcBorders>
              <w:right w:val="single" w:sz="8" w:color="auto"/>
            </w:tcBorders>
            <w:gridSpan w:val="3"/>
          </w:tcPr>
          <w:p>
            <w:pPr>
              <w:jc w:val="center"/>
              <w:ind w:right="100"/>
              <w:spacing w:after="0" w:line="144" w:lineRule="exact"/>
              <w:rPr>
                <w:sz w:val="20"/>
                <w:szCs w:val="20"/>
                <w:color w:val="auto"/>
              </w:rPr>
            </w:pPr>
            <w:r>
              <w:rPr>
                <w:rFonts w:ascii="Arial" w:cs="Arial" w:eastAsia="Arial" w:hAnsi="Arial"/>
                <w:sz w:val="14"/>
                <w:szCs w:val="14"/>
                <w:color w:val="auto"/>
              </w:rPr>
              <w:t>Combined (Non-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220" w:type="dxa"/>
            <w:vAlign w:val="bottom"/>
            <w:gridSpan w:val="2"/>
          </w:tcPr>
          <w:p>
            <w:pPr>
              <w:jc w:val="center"/>
              <w:spacing w:after="0" w:line="144" w:lineRule="exact"/>
              <w:rPr>
                <w:sz w:val="20"/>
                <w:szCs w:val="20"/>
                <w:color w:val="auto"/>
              </w:rPr>
            </w:pPr>
            <w:r>
              <w:rPr>
                <w:rFonts w:ascii="Arial" w:cs="Arial" w:eastAsia="Arial" w:hAnsi="Arial"/>
                <w:sz w:val="14"/>
                <w:szCs w:val="14"/>
                <w:color w:val="auto"/>
              </w:rPr>
              <w:t>Combined (Non-</w:t>
            </w: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GAAP)</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center"/>
              <w:ind w:right="249"/>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color w:val="auto"/>
              </w:rPr>
              <w:t>2020</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634</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301</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1,889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6"/>
        </w:trPr>
        <w:tc>
          <w:tcPr>
            <w:tcW w:w="5500" w:type="dxa"/>
            <w:vAlign w:val="bottom"/>
            <w:gridSpan w:val="2"/>
          </w:tcPr>
          <w:p>
            <w:pPr>
              <w:ind w:left="140"/>
              <w:spacing w:after="0"/>
              <w:rPr>
                <w:sz w:val="20"/>
                <w:szCs w:val="20"/>
                <w:color w:val="auto"/>
              </w:rPr>
            </w:pPr>
            <w:r>
              <w:rPr>
                <w:rFonts w:ascii="Arial" w:cs="Arial" w:eastAsia="Arial" w:hAnsi="Arial"/>
                <w:sz w:val="14"/>
                <w:szCs w:val="14"/>
                <w:color w:val="auto"/>
              </w:rPr>
              <w:t>Non-cash commodity derivative (gain) loss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127</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357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79"/>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commodity derivative gains and losses</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608</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428</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2,246</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100"/>
          </w:cols>
          <w:pgMar w:left="320" w:top="1093" w:right="47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t>ADJUSTED GENERAL &amp; ADMINISTRATIVE EXPENSES</w:t>
      </w:r>
    </w:p>
    <w:p>
      <w:pPr>
        <w:spacing w:after="0" w:line="135" w:lineRule="exact"/>
        <w:rPr>
          <w:sz w:val="20"/>
          <w:szCs w:val="20"/>
          <w:color w:val="auto"/>
        </w:rPr>
      </w:pPr>
    </w:p>
    <w:p>
      <w:pPr>
        <w:ind w:left="20" w:right="200"/>
        <w:spacing w:after="0" w:line="225"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our costs between periods and performance to our peers.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Fourth Quarter</w:t>
            </w:r>
          </w:p>
        </w:tc>
        <w:tc>
          <w:tcPr>
            <w:tcW w:w="280" w:type="dxa"/>
            <w:vAlign w:val="bottom"/>
            <w:tcBorders>
              <w:top w:val="single" w:sz="8" w:color="auto"/>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Total Year</w:t>
            </w: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08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Combined (Non-</w:t>
            </w:r>
          </w:p>
        </w:tc>
        <w:tc>
          <w:tcPr>
            <w:tcW w:w="3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2"/>
                <w:szCs w:val="12"/>
                <w:color w:val="auto"/>
              </w:rPr>
            </w:pPr>
          </w:p>
        </w:tc>
        <w:tc>
          <w:tcPr>
            <w:tcW w:w="1220" w:type="dxa"/>
            <w:vAlign w:val="bottom"/>
            <w:gridSpan w:val="2"/>
          </w:tcPr>
          <w:p>
            <w:pPr>
              <w:jc w:val="center"/>
              <w:spacing w:after="0" w:line="144" w:lineRule="exact"/>
              <w:rPr>
                <w:sz w:val="20"/>
                <w:szCs w:val="20"/>
                <w:color w:val="auto"/>
              </w:rPr>
            </w:pPr>
            <w:r>
              <w:rPr>
                <w:rFonts w:ascii="Arial" w:cs="Arial" w:eastAsia="Arial" w:hAnsi="Arial"/>
                <w:sz w:val="14"/>
                <w:szCs w:val="14"/>
                <w:color w:val="auto"/>
              </w:rPr>
              <w:t>Combined (Non-</w:t>
            </w:r>
          </w:p>
        </w:tc>
        <w:tc>
          <w:tcPr>
            <w:tcW w:w="0" w:type="dxa"/>
            <w:vAlign w:val="bottom"/>
          </w:tcPr>
          <w:p>
            <w:pPr>
              <w:spacing w:after="0"/>
              <w:rPr>
                <w:sz w:val="1"/>
                <w:szCs w:val="1"/>
                <w:color w:val="auto"/>
              </w:rPr>
            </w:pPr>
          </w:p>
        </w:tc>
      </w:tr>
      <w:tr>
        <w:trPr>
          <w:trHeight w:val="168"/>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left="209"/>
              <w:spacing w:after="0"/>
              <w:rPr>
                <w:sz w:val="20"/>
                <w:szCs w:val="20"/>
                <w:color w:val="auto"/>
              </w:rPr>
            </w:pPr>
            <w:r>
              <w:rPr>
                <w:rFonts w:ascii="Arial" w:cs="Arial" w:eastAsia="Arial" w:hAnsi="Arial"/>
                <w:sz w:val="14"/>
                <w:szCs w:val="14"/>
                <w:color w:val="auto"/>
              </w:rPr>
              <w:t>GAAP)</w:t>
            </w:r>
          </w:p>
        </w:tc>
        <w:tc>
          <w:tcPr>
            <w:tcW w:w="2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ind w:right="269"/>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2021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3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200</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85"/>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Incentive / retention award modification</w:t>
            </w: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Adjusted G&amp;A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186</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042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421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126365</wp:posOffset>
            </wp:positionV>
            <wp:extent cx="7042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215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43" w:lineRule="exact"/>
        <w:rPr>
          <w:sz w:val="20"/>
          <w:szCs w:val="20"/>
          <w:color w:val="auto"/>
        </w:rPr>
      </w:pPr>
    </w:p>
    <w:p>
      <w:pPr>
        <w:ind w:left="20" w:right="200"/>
        <w:spacing w:after="0" w:line="223"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costs.The following table presents operating costs after adjusting for the excess costs attributable to PSCs.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gridSpan w:val="5"/>
          </w:tcPr>
          <w:p>
            <w:pPr>
              <w:jc w:val="right"/>
              <w:ind w:right="649"/>
              <w:spacing w:after="0"/>
              <w:rPr>
                <w:sz w:val="20"/>
                <w:szCs w:val="20"/>
                <w:color w:val="auto"/>
              </w:rPr>
            </w:pPr>
            <w:r>
              <w:rPr>
                <w:rFonts w:ascii="Arial" w:cs="Arial" w:eastAsia="Arial" w:hAnsi="Arial"/>
                <w:sz w:val="14"/>
                <w:szCs w:val="14"/>
                <w:b w:val="1"/>
                <w:bCs w:val="1"/>
                <w:color w:val="auto"/>
              </w:rPr>
              <w:t>Fourth Quarter</w:t>
            </w: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Total Year</w:t>
            </w:r>
          </w:p>
        </w:tc>
        <w:tc>
          <w:tcPr>
            <w:tcW w:w="9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2"/>
                <w:szCs w:val="12"/>
                <w:color w:val="auto"/>
              </w:rPr>
            </w:pPr>
          </w:p>
        </w:tc>
        <w:tc>
          <w:tcPr>
            <w:tcW w:w="1400" w:type="dxa"/>
            <w:vAlign w:val="bottom"/>
            <w:gridSpan w:val="3"/>
          </w:tcPr>
          <w:p>
            <w:pPr>
              <w:ind w:left="20"/>
              <w:spacing w:after="0" w:line="144" w:lineRule="exact"/>
              <w:rPr>
                <w:sz w:val="20"/>
                <w:szCs w:val="20"/>
                <w:color w:val="auto"/>
              </w:rPr>
            </w:pPr>
            <w:r>
              <w:rPr>
                <w:rFonts w:ascii="Arial" w:cs="Arial" w:eastAsia="Arial" w:hAnsi="Arial"/>
                <w:sz w:val="14"/>
                <w:szCs w:val="14"/>
                <w:color w:val="auto"/>
              </w:rPr>
              <w:t>Combined (Non-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2"/>
                <w:szCs w:val="12"/>
                <w:color w:val="auto"/>
              </w:rPr>
            </w:pPr>
          </w:p>
        </w:tc>
        <w:tc>
          <w:tcPr>
            <w:tcW w:w="1220" w:type="dxa"/>
            <w:vAlign w:val="bottom"/>
            <w:gridSpan w:val="2"/>
          </w:tcPr>
          <w:p>
            <w:pPr>
              <w:jc w:val="center"/>
              <w:spacing w:after="0" w:line="144" w:lineRule="exact"/>
              <w:rPr>
                <w:sz w:val="20"/>
                <w:szCs w:val="20"/>
                <w:color w:val="auto"/>
              </w:rPr>
            </w:pPr>
            <w:r>
              <w:rPr>
                <w:rFonts w:ascii="Arial" w:cs="Arial" w:eastAsia="Arial" w:hAnsi="Arial"/>
                <w:sz w:val="14"/>
                <w:szCs w:val="14"/>
                <w:color w:val="auto"/>
              </w:rPr>
              <w:t>Combined (Non-</w:t>
            </w:r>
          </w:p>
        </w:tc>
        <w:tc>
          <w:tcPr>
            <w:tcW w:w="0" w:type="dxa"/>
            <w:vAlign w:val="bottom"/>
          </w:tcPr>
          <w:p>
            <w:pPr>
              <w:spacing w:after="0"/>
              <w:rPr>
                <w:sz w:val="1"/>
                <w:szCs w:val="1"/>
                <w:color w:val="auto"/>
              </w:rPr>
            </w:pPr>
          </w:p>
        </w:tc>
      </w:tr>
      <w:tr>
        <w:trPr>
          <w:trHeight w:val="168"/>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GAAP)</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ind w:right="269"/>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2021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62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5.09</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3.95</w:t>
            </w:r>
          </w:p>
        </w:tc>
        <w:tc>
          <w:tcPr>
            <w:tcW w:w="0" w:type="dxa"/>
            <w:vAlign w:val="bottom"/>
          </w:tcPr>
          <w:p>
            <w:pPr>
              <w:spacing w:after="0"/>
              <w:rPr>
                <w:sz w:val="1"/>
                <w:szCs w:val="1"/>
                <w:color w:val="auto"/>
              </w:rPr>
            </w:pPr>
          </w:p>
        </w:tc>
      </w:tr>
      <w:tr>
        <w:trPr>
          <w:trHeight w:val="186"/>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Gas processing costs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0.59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0.54</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0.55</w:t>
            </w:r>
          </w:p>
        </w:tc>
        <w:tc>
          <w:tcPr>
            <w:tcW w:w="0" w:type="dxa"/>
            <w:vAlign w:val="bottom"/>
          </w:tcPr>
          <w:p>
            <w:pPr>
              <w:spacing w:after="0"/>
              <w:rPr>
                <w:sz w:val="1"/>
                <w:szCs w:val="1"/>
                <w:color w:val="auto"/>
              </w:rPr>
            </w:pPr>
          </w:p>
        </w:tc>
      </w:tr>
      <w:tr>
        <w:trPr>
          <w:trHeight w:val="186"/>
        </w:trPr>
        <w:tc>
          <w:tcPr>
            <w:tcW w:w="562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13.76</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10.95</w:t>
            </w:r>
          </w:p>
        </w:tc>
        <w:tc>
          <w:tcPr>
            <w:tcW w:w="0" w:type="dxa"/>
            <w:vAlign w:val="bottom"/>
          </w:tcPr>
          <w:p>
            <w:pPr>
              <w:spacing w:after="0"/>
              <w:rPr>
                <w:sz w:val="1"/>
                <w:szCs w:val="1"/>
                <w:color w:val="auto"/>
              </w:rPr>
            </w:pPr>
          </w:p>
        </w:tc>
      </w:tr>
      <w:tr>
        <w:trPr>
          <w:trHeight w:val="179"/>
        </w:trPr>
        <w:tc>
          <w:tcPr>
            <w:tcW w:w="56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19.39</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15.45</w:t>
            </w:r>
          </w:p>
        </w:tc>
        <w:tc>
          <w:tcPr>
            <w:tcW w:w="0" w:type="dxa"/>
            <w:vAlign w:val="bottom"/>
          </w:tcPr>
          <w:p>
            <w:pPr>
              <w:spacing w:after="0"/>
              <w:rPr>
                <w:sz w:val="1"/>
                <w:szCs w:val="1"/>
                <w:color w:val="auto"/>
              </w:rPr>
            </w:pPr>
          </w:p>
        </w:tc>
      </w:tr>
      <w:tr>
        <w:trPr>
          <w:trHeight w:val="380"/>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Costs attributable to PSCs</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(0.82)</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(0.38)</w:t>
            </w:r>
          </w:p>
        </w:tc>
        <w:tc>
          <w:tcPr>
            <w:tcW w:w="320" w:type="dxa"/>
            <w:vAlign w:val="bottom"/>
          </w:tcPr>
          <w:p>
            <w:pPr>
              <w:spacing w:after="0"/>
              <w:rPr>
                <w:sz w:val="24"/>
                <w:szCs w:val="24"/>
                <w:color w:val="auto"/>
              </w:rPr>
            </w:pPr>
          </w:p>
        </w:tc>
        <w:tc>
          <w:tcPr>
            <w:tcW w:w="26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(0.68)</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(0.32)</w:t>
            </w:r>
          </w:p>
        </w:tc>
        <w:tc>
          <w:tcPr>
            <w:tcW w:w="0" w:type="dxa"/>
            <w:vAlign w:val="bottom"/>
          </w:tcPr>
          <w:p>
            <w:pPr>
              <w:spacing w:after="0"/>
              <w:rPr>
                <w:sz w:val="1"/>
                <w:szCs w:val="1"/>
                <w:color w:val="auto"/>
              </w:rPr>
            </w:pPr>
          </w:p>
        </w:tc>
      </w:tr>
      <w:tr>
        <w:trPr>
          <w:trHeight w:val="183"/>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(0.57)</w:t>
            </w:r>
          </w:p>
        </w:tc>
        <w:tc>
          <w:tcPr>
            <w:tcW w:w="0" w:type="dxa"/>
            <w:vAlign w:val="bottom"/>
          </w:tcPr>
          <w:p>
            <w:pPr>
              <w:spacing w:after="0"/>
              <w:rPr>
                <w:sz w:val="1"/>
                <w:szCs w:val="1"/>
                <w:color w:val="auto"/>
              </w:rPr>
            </w:pPr>
          </w:p>
        </w:tc>
      </w:tr>
      <w:tr>
        <w:trPr>
          <w:trHeight w:val="179"/>
        </w:trPr>
        <w:tc>
          <w:tcPr>
            <w:tcW w:w="5620" w:type="dxa"/>
            <w:vAlign w:val="bottom"/>
            <w:gridSpan w:val="2"/>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(0.89)</w:t>
            </w:r>
          </w:p>
        </w:tc>
        <w:tc>
          <w:tcPr>
            <w:tcW w:w="0" w:type="dxa"/>
            <w:vAlign w:val="bottom"/>
          </w:tcPr>
          <w:p>
            <w:pPr>
              <w:spacing w:after="0"/>
              <w:rPr>
                <w:sz w:val="1"/>
                <w:szCs w:val="1"/>
                <w:color w:val="auto"/>
              </w:rPr>
            </w:pPr>
          </w:p>
        </w:tc>
      </w:tr>
      <w:tr>
        <w:trPr>
          <w:trHeight w:val="377"/>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4.01</w:t>
            </w:r>
          </w:p>
        </w:tc>
        <w:tc>
          <w:tcPr>
            <w:tcW w:w="320" w:type="dxa"/>
            <w:vAlign w:val="bottom"/>
          </w:tcPr>
          <w:p>
            <w:pPr>
              <w:spacing w:after="0"/>
              <w:rPr>
                <w:sz w:val="24"/>
                <w:szCs w:val="24"/>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4.41</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0" w:type="dxa"/>
            <w:vAlign w:val="bottom"/>
          </w:tcPr>
          <w:p>
            <w:pPr>
              <w:spacing w:after="0"/>
              <w:rPr>
                <w:sz w:val="1"/>
                <w:szCs w:val="1"/>
                <w:color w:val="auto"/>
              </w:rPr>
            </w:pPr>
          </w:p>
        </w:tc>
      </w:tr>
      <w:tr>
        <w:trPr>
          <w:trHeight w:val="185"/>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Gas processing costs, excluding effect of PSCs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0.59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0.54</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0.55</w:t>
            </w:r>
          </w:p>
        </w:tc>
        <w:tc>
          <w:tcPr>
            <w:tcW w:w="0" w:type="dxa"/>
            <w:vAlign w:val="bottom"/>
          </w:tcPr>
          <w:p>
            <w:pPr>
              <w:spacing w:after="0"/>
              <w:rPr>
                <w:sz w:val="1"/>
                <w:szCs w:val="1"/>
                <w:color w:val="auto"/>
              </w:rPr>
            </w:pPr>
          </w:p>
        </w:tc>
      </w:tr>
      <w:tr>
        <w:trPr>
          <w:trHeight w:val="186"/>
        </w:trPr>
        <w:tc>
          <w:tcPr>
            <w:tcW w:w="5620" w:type="dxa"/>
            <w:vAlign w:val="bottom"/>
            <w:gridSpan w:val="2"/>
          </w:tcPr>
          <w:p>
            <w:pPr>
              <w:ind w:left="140"/>
              <w:spacing w:after="0" w:line="186" w:lineRule="exact"/>
              <w:rPr>
                <w:sz w:val="20"/>
                <w:szCs w:val="20"/>
                <w:color w:val="auto"/>
              </w:rPr>
            </w:pPr>
            <w:r>
              <w:rPr>
                <w:rFonts w:ascii="Arial" w:cs="Arial" w:eastAsia="Arial" w:hAnsi="Arial"/>
                <w:sz w:val="14"/>
                <w:szCs w:val="14"/>
                <w:color w:val="auto"/>
              </w:rPr>
              <w:t xml:space="preserve">Non-energy operating costs, excluding effect of PSCs </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11.69</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12.61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10.38</w:t>
            </w:r>
          </w:p>
        </w:tc>
        <w:tc>
          <w:tcPr>
            <w:tcW w:w="0" w:type="dxa"/>
            <w:vAlign w:val="bottom"/>
          </w:tcPr>
          <w:p>
            <w:pPr>
              <w:spacing w:after="0"/>
              <w:rPr>
                <w:sz w:val="1"/>
                <w:szCs w:val="1"/>
                <w:color w:val="auto"/>
              </w:rPr>
            </w:pPr>
          </w:p>
        </w:tc>
      </w:tr>
      <w:tr>
        <w:trPr>
          <w:trHeight w:val="219"/>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16.29</w:t>
            </w:r>
          </w:p>
        </w:tc>
        <w:tc>
          <w:tcPr>
            <w:tcW w:w="3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17.56</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40" w:hanging="216"/>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Energy operating costs consist of purchases of natural gas to generate electricity, purchased electricity and internal costs to produce electricity used in our operations.</w:t>
      </w:r>
    </w:p>
    <w:p>
      <w:pPr>
        <w:spacing w:after="0" w:line="24" w:lineRule="exact"/>
        <w:rPr>
          <w:rFonts w:ascii="Arial" w:cs="Arial" w:eastAsia="Arial" w:hAnsi="Arial"/>
          <w:sz w:val="14"/>
          <w:szCs w:val="14"/>
          <w:color w:val="auto"/>
        </w:rPr>
      </w:pPr>
    </w:p>
    <w:p>
      <w:pPr>
        <w:ind w:left="20" w:right="180" w:firstLine="4"/>
        <w:spacing w:after="0" w:line="225" w:lineRule="auto"/>
        <w:tabs>
          <w:tab w:leader="none" w:pos="2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Non-energy operating costs equal total operating costs less energy and gas processing costs. However, non-energy operating costs include the costs of purchasing natural gas used to generate steam for our steamfloods.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100"/>
          </w:cols>
          <w:pgMar w:left="320" w:top="1093" w:right="4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5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w w:val="99"/>
              </w:rPr>
              <w:t>Attachment 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Fourth Quarter</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Predecessor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00" w:type="dxa"/>
            <w:vAlign w:val="bottom"/>
          </w:tcPr>
          <w:p>
            <w:pPr>
              <w:spacing w:after="0"/>
              <w:rPr>
                <w:sz w:val="15"/>
                <w:szCs w:val="15"/>
                <w:color w:val="auto"/>
              </w:rPr>
            </w:pPr>
          </w:p>
        </w:tc>
        <w:tc>
          <w:tcPr>
            <w:tcW w:w="14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5"/>
                <w:szCs w:val="15"/>
                <w:color w:val="auto"/>
              </w:rPr>
            </w:pPr>
          </w:p>
        </w:tc>
        <w:tc>
          <w:tcPr>
            <w:tcW w:w="14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b w:val="1"/>
                <w:bCs w:val="1"/>
                <w:color w:val="auto"/>
              </w:rPr>
              <w:t>38</w:t>
            </w:r>
          </w:p>
        </w:tc>
        <w:tc>
          <w:tcPr>
            <w:tcW w:w="260" w:type="dxa"/>
            <w:vAlign w:val="bottom"/>
          </w:tcPr>
          <w:p>
            <w:pPr>
              <w:spacing w:after="0"/>
              <w:rPr>
                <w:sz w:val="15"/>
                <w:szCs w:val="15"/>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59</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63</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131</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139</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153</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162</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20" w:type="dxa"/>
            <w:vAlign w:val="bottom"/>
            <w:gridSpan w:val="2"/>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103</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Fourth Quarter</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Predecessor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00" w:type="dxa"/>
            <w:vAlign w:val="bottom"/>
          </w:tcPr>
          <w:p>
            <w:pPr>
              <w:spacing w:after="0"/>
              <w:rPr>
                <w:sz w:val="15"/>
                <w:szCs w:val="15"/>
                <w:color w:val="auto"/>
              </w:rPr>
            </w:pPr>
          </w:p>
        </w:tc>
        <w:tc>
          <w:tcPr>
            <w:tcW w:w="14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b w:val="1"/>
                <w:bCs w:val="1"/>
                <w:color w:val="auto"/>
              </w:rPr>
              <w:t>45</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15"/>
                <w:szCs w:val="15"/>
                <w:color w:val="auto"/>
              </w:rPr>
            </w:pPr>
          </w:p>
        </w:tc>
        <w:tc>
          <w:tcPr>
            <w:tcW w:w="14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5"/>
                <w:szCs w:val="15"/>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72</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75</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138</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149</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171</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185</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119</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20" w:right="140"/>
        <w:spacing w:after="0" w:line="216"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107950</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04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9"/>
        </w:trPr>
        <w:tc>
          <w:tcPr>
            <w:tcW w:w="51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4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ind w:left="1200"/>
              <w:spacing w:after="0"/>
              <w:rPr>
                <w:sz w:val="20"/>
                <w:szCs w:val="20"/>
                <w:color w:val="auto"/>
              </w:rPr>
            </w:pPr>
            <w:r>
              <w:rPr>
                <w:rFonts w:ascii="Arial" w:cs="Arial" w:eastAsia="Arial" w:hAnsi="Arial"/>
                <w:sz w:val="14"/>
                <w:szCs w:val="14"/>
                <w:b w:val="1"/>
                <w:bCs w:val="1"/>
                <w:color w:val="auto"/>
              </w:rPr>
              <w:t>Total Year</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Predecessor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39</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42</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Ventura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60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70</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San Joaquin Basin</w:t>
            </w: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147</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Ventura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Sacramento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159</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174</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20" w:type="dxa"/>
            <w:vAlign w:val="bottom"/>
            <w:gridSpan w:val="2"/>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112</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ind w:left="1200"/>
              <w:spacing w:after="0"/>
              <w:rPr>
                <w:sz w:val="20"/>
                <w:szCs w:val="20"/>
                <w:color w:val="auto"/>
              </w:rPr>
            </w:pPr>
            <w:r>
              <w:rPr>
                <w:rFonts w:ascii="Arial" w:cs="Arial" w:eastAsia="Arial" w:hAnsi="Arial"/>
                <w:sz w:val="14"/>
                <w:szCs w:val="14"/>
                <w:b w:val="1"/>
                <w:bCs w:val="1"/>
                <w:color w:val="auto"/>
              </w:rPr>
              <w:t>Total Year</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Successor</w:t>
            </w: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Predecessor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45</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49</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30</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Ventura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74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82</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San Joaquin Basin</w:t>
            </w: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142</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80" w:type="dxa"/>
            <w:vAlign w:val="bottom"/>
          </w:tcPr>
          <w:p>
            <w:pPr>
              <w:spacing w:after="0"/>
              <w:rPr>
                <w:sz w:val="24"/>
                <w:szCs w:val="24"/>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157</w:t>
            </w:r>
          </w:p>
        </w:tc>
        <w:tc>
          <w:tcPr>
            <w:tcW w:w="2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Ventura Basin</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Sacramento Basin</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178</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8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197</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129</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74" w:lineRule="exact"/>
        <w:rPr>
          <w:sz w:val="20"/>
          <w:szCs w:val="20"/>
          <w:color w:val="auto"/>
        </w:rPr>
      </w:pPr>
    </w:p>
    <w:p>
      <w:pPr>
        <w:jc w:val="both"/>
        <w:ind w:right="160"/>
        <w:spacing w:after="0" w:line="243"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40"/>
          </w:cols>
          <w:pgMar w:left="320" w:top="1060"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40640</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40"/>
          </w:cols>
          <w:pgMar w:left="340" w:top="1040" w:right="51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STATISTICS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Oil ($ per Bbl)</w:t>
      </w:r>
    </w:p>
    <w:p>
      <w:pPr>
        <w:spacing w:after="0" w:line="43" w:lineRule="exact"/>
        <w:rPr>
          <w:sz w:val="20"/>
          <w:szCs w:val="20"/>
          <w:color w:val="auto"/>
        </w:rPr>
      </w:pPr>
    </w:p>
    <w:p>
      <w:pPr>
        <w:ind w:right="920"/>
        <w:spacing w:after="0" w:line="289" w:lineRule="auto"/>
        <w:rPr>
          <w:sz w:val="20"/>
          <w:szCs w:val="20"/>
          <w:color w:val="auto"/>
        </w:rPr>
      </w:pPr>
      <w:r>
        <w:rPr>
          <w:rFonts w:ascii="Arial" w:cs="Arial" w:eastAsia="Arial" w:hAnsi="Arial"/>
          <w:sz w:val="14"/>
          <w:szCs w:val="14"/>
          <w:color w:val="auto"/>
        </w:rPr>
        <w:t>Realized price with derivative settlements Realized price without derivative settlements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NGLs ($/Bbl)</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Natural gas ($/Mcf)</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Prices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Brent oil ($/Bbl)</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WTI oil ($/Bbl)</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NYMEX gas ($/MMBtu)</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Realized Prices as Percentage of Index Prices</w:t>
      </w:r>
    </w:p>
    <w:p>
      <w:pPr>
        <w:spacing w:after="0" w:line="43" w:lineRule="exact"/>
        <w:rPr>
          <w:sz w:val="20"/>
          <w:szCs w:val="20"/>
          <w:color w:val="auto"/>
        </w:rPr>
      </w:pPr>
    </w:p>
    <w:p>
      <w:pPr>
        <w:ind w:left="40"/>
        <w:spacing w:after="0" w:line="289" w:lineRule="auto"/>
        <w:rPr>
          <w:sz w:val="20"/>
          <w:szCs w:val="20"/>
          <w:color w:val="auto"/>
        </w:rPr>
      </w:pPr>
      <w:r>
        <w:rPr>
          <w:rFonts w:ascii="Arial" w:cs="Arial" w:eastAsia="Arial" w:hAnsi="Arial"/>
          <w:sz w:val="14"/>
          <w:szCs w:val="14"/>
          <w:color w:val="auto"/>
        </w:rPr>
        <w:t>Oil with derivative settlements as a percentage of Brent Oil without derivative settlements as a percentage of Brent</w:t>
      </w:r>
    </w:p>
    <w:p>
      <w:pPr>
        <w:spacing w:after="0" w:line="36" w:lineRule="exact"/>
        <w:rPr>
          <w:sz w:val="20"/>
          <w:szCs w:val="20"/>
          <w:color w:val="auto"/>
        </w:rPr>
      </w:pPr>
    </w:p>
    <w:p>
      <w:pPr>
        <w:ind w:left="40" w:right="80"/>
        <w:spacing w:after="0" w:line="289" w:lineRule="auto"/>
        <w:rPr>
          <w:sz w:val="20"/>
          <w:szCs w:val="20"/>
          <w:color w:val="auto"/>
        </w:rPr>
      </w:pPr>
      <w:r>
        <w:rPr>
          <w:rFonts w:ascii="Arial" w:cs="Arial" w:eastAsia="Arial" w:hAnsi="Arial"/>
          <w:sz w:val="14"/>
          <w:szCs w:val="14"/>
          <w:color w:val="auto"/>
        </w:rPr>
        <w:t>Oil with derivative settlements as a percentage of WTI Oil without derivative settlements as a percentage of WTI</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NGLs as a percentage of Brent</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NGLs as a percentage of WTI</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Natural gas as a percentage of NYMEX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Oil ($ per Bbl)</w:t>
      </w:r>
    </w:p>
    <w:p>
      <w:pPr>
        <w:spacing w:after="0" w:line="43" w:lineRule="exact"/>
        <w:rPr>
          <w:sz w:val="20"/>
          <w:szCs w:val="20"/>
          <w:color w:val="auto"/>
        </w:rPr>
      </w:pPr>
    </w:p>
    <w:p>
      <w:pPr>
        <w:ind w:right="920"/>
        <w:spacing w:after="0" w:line="289" w:lineRule="auto"/>
        <w:rPr>
          <w:sz w:val="20"/>
          <w:szCs w:val="20"/>
          <w:color w:val="auto"/>
        </w:rPr>
      </w:pPr>
      <w:r>
        <w:rPr>
          <w:rFonts w:ascii="Arial" w:cs="Arial" w:eastAsia="Arial" w:hAnsi="Arial"/>
          <w:sz w:val="14"/>
          <w:szCs w:val="14"/>
          <w:color w:val="auto"/>
        </w:rPr>
        <w:t>Realized price with derivative settlements Realized price without derivative settlements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NGLs ($/Bbl)</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Natural gas ($/Mcf)</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Prices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Brent oil ($/Bbl)</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WTI oil ($/Bbl)</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NYMEX gas ($/MMBtu)</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Realized Prices as Percentage of Index Prices</w:t>
      </w:r>
    </w:p>
    <w:p>
      <w:pPr>
        <w:spacing w:after="0" w:line="43"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Oil with derivative settlements as a percentage of Brent Oil without derivative settlements as a percentage of Brent</w:t>
      </w:r>
    </w:p>
    <w:p>
      <w:pPr>
        <w:spacing w:after="0" w:line="36"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auto"/>
        </w:rPr>
        <w:t>Oil with derivative settlements as a percentage of WTI Oil without derivative settlements as a percentage of WTI</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NGLs as a percentage of Brent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NGLs as a percentage of WTI</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Natural gas as a percentage of NYMEX</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42068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0687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Successor</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8"/>
              </w:rPr>
              <w:t>Successor</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9"/>
              </w:rPr>
              <w:t>Predecessor</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Combined</w:t>
            </w:r>
          </w:p>
        </w:tc>
      </w:tr>
      <w:tr>
        <w:trPr>
          <w:trHeight w:val="186"/>
        </w:trPr>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rPr>
              <w:t>2020</w:t>
            </w:r>
          </w:p>
        </w:tc>
      </w:tr>
      <w:tr>
        <w:trPr>
          <w:trHeight w:val="351"/>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61.00</w:t>
            </w:r>
          </w:p>
        </w:tc>
        <w:tc>
          <w:tcPr>
            <w:tcW w:w="1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45.37</w:t>
            </w:r>
          </w:p>
        </w:tc>
        <w:tc>
          <w:tcPr>
            <w:tcW w:w="12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42.45</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44.39</w:t>
            </w:r>
          </w:p>
        </w:tc>
      </w:tr>
      <w:tr>
        <w:trPr>
          <w:trHeight w:val="188"/>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78.99</w:t>
            </w:r>
          </w:p>
        </w:tc>
        <w:tc>
          <w:tcPr>
            <w:tcW w:w="1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45.65</w:t>
            </w:r>
          </w:p>
        </w:tc>
        <w:tc>
          <w:tcPr>
            <w:tcW w:w="120" w:type="dxa"/>
            <w:vAlign w:val="bottom"/>
            <w:tcBorders>
              <w:right w:val="single" w:sz="8" w:color="auto"/>
            </w:tcBorders>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40.59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43.94</w:t>
            </w:r>
          </w:p>
        </w:tc>
      </w:tr>
      <w:tr>
        <w:trPr>
          <w:trHeight w:val="239"/>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67.61</w:t>
            </w:r>
          </w:p>
        </w:tc>
        <w:tc>
          <w:tcPr>
            <w:tcW w:w="180" w:type="dxa"/>
            <w:vAlign w:val="bottom"/>
          </w:tcPr>
          <w:p>
            <w:pPr>
              <w:spacing w:after="0"/>
              <w:rPr>
                <w:sz w:val="20"/>
                <w:szCs w:val="20"/>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38.00</w:t>
            </w:r>
          </w:p>
        </w:tc>
        <w:tc>
          <w:tcPr>
            <w:tcW w:w="120" w:type="dxa"/>
            <w:vAlign w:val="bottom"/>
            <w:tcBorders>
              <w:right w:val="single" w:sz="8" w:color="auto"/>
            </w:tcBorders>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30.57</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35.45</w:t>
            </w:r>
          </w:p>
        </w:tc>
      </w:tr>
      <w:tr>
        <w:trPr>
          <w:trHeight w:val="238"/>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5.94</w:t>
            </w:r>
          </w:p>
        </w:tc>
        <w:tc>
          <w:tcPr>
            <w:tcW w:w="180" w:type="dxa"/>
            <w:vAlign w:val="bottom"/>
          </w:tcPr>
          <w:p>
            <w:pPr>
              <w:spacing w:after="0"/>
              <w:rPr>
                <w:sz w:val="20"/>
                <w:szCs w:val="20"/>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3.21</w:t>
            </w:r>
          </w:p>
        </w:tc>
        <w:tc>
          <w:tcPr>
            <w:tcW w:w="120" w:type="dxa"/>
            <w:vAlign w:val="bottom"/>
            <w:tcBorders>
              <w:right w:val="single" w:sz="8" w:color="auto"/>
            </w:tcBorders>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2.68</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3.03</w:t>
            </w:r>
          </w:p>
        </w:tc>
      </w:tr>
      <w:tr>
        <w:trPr>
          <w:trHeight w:val="581"/>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79.80</w:t>
            </w:r>
          </w:p>
        </w:tc>
        <w:tc>
          <w:tcPr>
            <w:tcW w:w="1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47.10</w:t>
            </w:r>
          </w:p>
        </w:tc>
        <w:tc>
          <w:tcPr>
            <w:tcW w:w="12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41.52</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45.24</w:t>
            </w:r>
          </w:p>
        </w:tc>
      </w:tr>
      <w:tr>
        <w:trPr>
          <w:trHeight w:val="186"/>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77.19</w:t>
            </w:r>
          </w:p>
        </w:tc>
        <w:tc>
          <w:tcPr>
            <w:tcW w:w="1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44.21</w:t>
            </w:r>
          </w:p>
        </w:tc>
        <w:tc>
          <w:tcPr>
            <w:tcW w:w="120" w:type="dxa"/>
            <w:vAlign w:val="bottom"/>
            <w:tcBorders>
              <w:right w:val="single" w:sz="8" w:color="auto"/>
            </w:tcBorders>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39.55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42.66</w:t>
            </w:r>
          </w:p>
        </w:tc>
      </w:tr>
      <w:tr>
        <w:trPr>
          <w:trHeight w:val="188"/>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5.27</w:t>
            </w:r>
          </w:p>
        </w:tc>
        <w:tc>
          <w:tcPr>
            <w:tcW w:w="1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2.86</w:t>
            </w:r>
          </w:p>
        </w:tc>
        <w:tc>
          <w:tcPr>
            <w:tcW w:w="120" w:type="dxa"/>
            <w:vAlign w:val="bottom"/>
            <w:tcBorders>
              <w:right w:val="single" w:sz="8" w:color="auto"/>
            </w:tcBorders>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2.28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2.66</w:t>
            </w:r>
          </w:p>
        </w:tc>
      </w:tr>
      <w:tr>
        <w:trPr>
          <w:trHeight w:val="581"/>
        </w:trPr>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98 %</w:t>
            </w:r>
          </w:p>
        </w:tc>
      </w:tr>
      <w:tr>
        <w:trPr>
          <w:trHeight w:val="188"/>
        </w:trPr>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97 %</w:t>
            </w:r>
          </w:p>
        </w:tc>
      </w:tr>
      <w:tr>
        <w:trPr>
          <w:trHeight w:val="236"/>
        </w:trPr>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r>
      <w:tr>
        <w:trPr>
          <w:trHeight w:val="188"/>
        </w:trPr>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r>
      <w:tr>
        <w:trPr>
          <w:trHeight w:val="236"/>
        </w:trPr>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81 %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74 %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78 %</w:t>
            </w:r>
          </w:p>
        </w:tc>
      </w:tr>
      <w:tr>
        <w:trPr>
          <w:trHeight w:val="188"/>
        </w:trPr>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88 %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86 %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83 %</w:t>
            </w:r>
          </w:p>
        </w:tc>
      </w:tr>
      <w:tr>
        <w:trPr>
          <w:trHeight w:val="236"/>
        </w:trPr>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112 %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118 %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114 %</w:t>
            </w:r>
          </w:p>
        </w:tc>
      </w:tr>
      <w:tr>
        <w:trPr>
          <w:trHeight w:val="212"/>
        </w:trPr>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79"/>
        </w:trPr>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Total Year</w:t>
            </w: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9"/>
        </w:trPr>
        <w:tc>
          <w:tcPr>
            <w:tcW w:w="24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Successor</w:t>
            </w:r>
          </w:p>
        </w:tc>
        <w:tc>
          <w:tcPr>
            <w:tcW w:w="26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Successor</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9"/>
              </w:rPr>
              <w:t>Predecessor</w:t>
            </w:r>
          </w:p>
        </w:tc>
        <w:tc>
          <w:tcPr>
            <w:tcW w:w="200" w:type="dxa"/>
            <w:vAlign w:val="bottom"/>
          </w:tcPr>
          <w:p>
            <w:pPr>
              <w:spacing w:after="0"/>
              <w:rPr>
                <w:sz w:val="15"/>
                <w:szCs w:val="15"/>
                <w:color w:val="auto"/>
              </w:rPr>
            </w:pPr>
          </w:p>
        </w:tc>
        <w:tc>
          <w:tcPr>
            <w:tcW w:w="1160" w:type="dxa"/>
            <w:vAlign w:val="bottom"/>
          </w:tcPr>
          <w:p>
            <w:pPr>
              <w:jc w:val="center"/>
              <w:ind w:right="149"/>
              <w:spacing w:after="0"/>
              <w:rPr>
                <w:sz w:val="20"/>
                <w:szCs w:val="20"/>
                <w:color w:val="auto"/>
              </w:rPr>
            </w:pPr>
            <w:r>
              <w:rPr>
                <w:rFonts w:ascii="Arial" w:cs="Arial" w:eastAsia="Arial" w:hAnsi="Arial"/>
                <w:sz w:val="14"/>
                <w:szCs w:val="14"/>
                <w:b w:val="1"/>
                <w:bCs w:val="1"/>
                <w:color w:val="auto"/>
              </w:rPr>
              <w:t>Combined</w:t>
            </w:r>
          </w:p>
        </w:tc>
      </w:tr>
      <w:tr>
        <w:trPr>
          <w:trHeight w:val="186"/>
        </w:trPr>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rPr>
              <w:t>2020</w:t>
            </w:r>
          </w:p>
        </w:tc>
      </w:tr>
      <w:tr>
        <w:trPr>
          <w:trHeight w:val="351"/>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56.05</w:t>
            </w:r>
          </w:p>
        </w:tc>
        <w:tc>
          <w:tcPr>
            <w:tcW w:w="1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45.37</w:t>
            </w:r>
          </w:p>
        </w:tc>
        <w:tc>
          <w:tcPr>
            <w:tcW w:w="12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43.19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43.53</w:t>
            </w:r>
          </w:p>
        </w:tc>
      </w:tr>
      <w:tr>
        <w:trPr>
          <w:trHeight w:val="188"/>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70.43</w:t>
            </w:r>
          </w:p>
        </w:tc>
        <w:tc>
          <w:tcPr>
            <w:tcW w:w="1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45.65</w:t>
            </w:r>
          </w:p>
        </w:tc>
        <w:tc>
          <w:tcPr>
            <w:tcW w:w="120" w:type="dxa"/>
            <w:vAlign w:val="bottom"/>
            <w:tcBorders>
              <w:right w:val="single" w:sz="8" w:color="auto"/>
            </w:tcBorders>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41.21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41.89</w:t>
            </w:r>
          </w:p>
        </w:tc>
      </w:tr>
      <w:tr>
        <w:trPr>
          <w:trHeight w:val="398"/>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53.62</w:t>
            </w:r>
          </w:p>
        </w:tc>
        <w:tc>
          <w:tcPr>
            <w:tcW w:w="1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38.00</w:t>
            </w:r>
          </w:p>
        </w:tc>
        <w:tc>
          <w:tcPr>
            <w:tcW w:w="12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25.70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27.63</w:t>
            </w:r>
          </w:p>
        </w:tc>
      </w:tr>
      <w:tr>
        <w:trPr>
          <w:trHeight w:val="398"/>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4.22</w:t>
            </w:r>
          </w:p>
        </w:tc>
        <w:tc>
          <w:tcPr>
            <w:tcW w:w="1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3.21</w:t>
            </w:r>
          </w:p>
        </w:tc>
        <w:tc>
          <w:tcPr>
            <w:tcW w:w="12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2.11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2.28</w:t>
            </w:r>
          </w:p>
        </w:tc>
      </w:tr>
      <w:tr>
        <w:trPr>
          <w:trHeight w:val="581"/>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70.79</w:t>
            </w:r>
          </w:p>
        </w:tc>
        <w:tc>
          <w:tcPr>
            <w:tcW w:w="1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47.10</w:t>
            </w:r>
          </w:p>
        </w:tc>
        <w:tc>
          <w:tcPr>
            <w:tcW w:w="12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42.43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43.21</w:t>
            </w:r>
          </w:p>
        </w:tc>
      </w:tr>
      <w:tr>
        <w:trPr>
          <w:trHeight w:val="185"/>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67.91</w:t>
            </w:r>
          </w:p>
        </w:tc>
        <w:tc>
          <w:tcPr>
            <w:tcW w:w="1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44.21</w:t>
            </w:r>
          </w:p>
        </w:tc>
        <w:tc>
          <w:tcPr>
            <w:tcW w:w="120" w:type="dxa"/>
            <w:vAlign w:val="bottom"/>
            <w:tcBorders>
              <w:right w:val="single" w:sz="8" w:color="auto"/>
            </w:tcBorders>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38.44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39.40</w:t>
            </w:r>
          </w:p>
        </w:tc>
      </w:tr>
      <w:tr>
        <w:trPr>
          <w:trHeight w:val="188"/>
        </w:trPr>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3.61</w:t>
            </w:r>
          </w:p>
        </w:tc>
        <w:tc>
          <w:tcPr>
            <w:tcW w:w="1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2.86</w:t>
            </w:r>
          </w:p>
        </w:tc>
        <w:tc>
          <w:tcPr>
            <w:tcW w:w="120" w:type="dxa"/>
            <w:vAlign w:val="bottom"/>
            <w:tcBorders>
              <w:right w:val="single" w:sz="8" w:color="auto"/>
            </w:tcBorders>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b w:val="1"/>
                <w:bCs w:val="1"/>
                <w:color w:val="auto"/>
              </w:rPr>
              <w:t>1.95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2.10</w:t>
            </w:r>
          </w:p>
        </w:tc>
      </w:tr>
      <w:tr>
        <w:trPr>
          <w:trHeight w:val="581"/>
        </w:trPr>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101 %</w:t>
            </w:r>
          </w:p>
        </w:tc>
      </w:tr>
      <w:tr>
        <w:trPr>
          <w:trHeight w:val="188"/>
        </w:trPr>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97 %</w:t>
            </w:r>
          </w:p>
        </w:tc>
      </w:tr>
      <w:tr>
        <w:trPr>
          <w:trHeight w:val="236"/>
        </w:trPr>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112 %</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110 %</w:t>
            </w:r>
          </w:p>
        </w:tc>
      </w:tr>
      <w:tr>
        <w:trPr>
          <w:trHeight w:val="188"/>
        </w:trPr>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106 %</w:t>
            </w:r>
          </w:p>
        </w:tc>
      </w:tr>
      <w:tr>
        <w:trPr>
          <w:trHeight w:val="236"/>
        </w:trPr>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81 %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64 %</w:t>
            </w:r>
          </w:p>
        </w:tc>
      </w:tr>
      <w:tr>
        <w:trPr>
          <w:trHeight w:val="188"/>
        </w:trPr>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86 %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67 %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70 %</w:t>
            </w:r>
          </w:p>
        </w:tc>
      </w:tr>
      <w:tr>
        <w:trPr>
          <w:trHeight w:val="236"/>
        </w:trPr>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117 %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112 %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108 %</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109 %</w:t>
            </w:r>
          </w:p>
        </w:tc>
      </w:tr>
    </w:tbl>
    <w:p>
      <w:pPr>
        <w:spacing w:after="0" w:line="200" w:lineRule="exact"/>
        <w:rPr>
          <w:sz w:val="20"/>
          <w:szCs w:val="20"/>
          <w:color w:val="auto"/>
        </w:rPr>
      </w:pPr>
    </w:p>
    <w:p>
      <w:pPr>
        <w:sectPr>
          <w:pgSz w:w="11900" w:h="16838" w:orient="portrait"/>
          <w:cols w:equalWidth="0" w:num="2">
            <w:col w:w="3700" w:space="720"/>
            <w:col w:w="6620"/>
          </w:cols>
          <w:pgMar w:left="340" w:top="10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Page 23</w:t>
      </w:r>
    </w:p>
    <w:p>
      <w:pPr>
        <w:sectPr>
          <w:pgSz w:w="11900" w:h="16838" w:orient="portrait"/>
          <w:cols w:equalWidth="0" w:num="1">
            <w:col w:w="11040"/>
          </w:cols>
          <w:pgMar w:left="340" w:top="1040" w:right="51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4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9"/>
              </w:rPr>
              <w:t>Attachment 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FOURTH QUARTER 2021 DRILLING ACTIVITY</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Wells Drilled</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9"/>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3"/>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9"/>
        </w:trPr>
        <w:tc>
          <w:tcPr>
            <w:tcW w:w="4140" w:type="dxa"/>
            <w:vAlign w:val="bottom"/>
            <w:gridSpan w:val="2"/>
          </w:tcPr>
          <w:p>
            <w:pPr>
              <w:ind w:left="20"/>
              <w:spacing w:after="0" w:line="17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YEAR 2021 DRILLING ACTIVITY</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4140" w:type="dxa"/>
            <w:vAlign w:val="bottom"/>
            <w:gridSpan w:val="2"/>
            <w:vMerge w:val="continue"/>
          </w:tcPr>
          <w:p>
            <w:pPr>
              <w:spacing w:after="0"/>
              <w:rPr>
                <w:sz w:val="24"/>
                <w:szCs w:val="2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Wells Drilled</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9"/>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3"/>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9"/>
        </w:trPr>
        <w:tc>
          <w:tcPr>
            <w:tcW w:w="4140" w:type="dxa"/>
            <w:vAlign w:val="bottom"/>
            <w:gridSpan w:val="2"/>
          </w:tcPr>
          <w:p>
            <w:pPr>
              <w:ind w:left="20"/>
              <w:spacing w:after="0" w:line="17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95</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180" w:hanging="156"/>
        <w:spacing w:after="0"/>
        <w:tabs>
          <w:tab w:leader="none" w:pos="1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240"/>
          </w:cols>
          <w:pgMar w:left="320" w:top="104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6"/>
        </w:trPr>
        <w:tc>
          <w:tcPr>
            <w:tcW w:w="5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Attachment 6</w:t>
            </w:r>
          </w:p>
        </w:tc>
      </w:tr>
      <w:tr>
        <w:trPr>
          <w:trHeight w:val="20"/>
        </w:trPr>
        <w:tc>
          <w:tcPr>
            <w:tcW w:w="54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DECEMBER 31, 2021</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95"/>
        </w:trPr>
        <w:tc>
          <w:tcPr>
            <w:tcW w:w="51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2022</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419"/>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35,347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34,380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25,167</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14,790</w:t>
            </w:r>
          </w:p>
        </w:tc>
      </w:tr>
      <w:tr>
        <w:trPr>
          <w:trHeight w:val="186"/>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$60.37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$60.76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$57.82</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$58.01</w:t>
            </w:r>
          </w:p>
        </w:tc>
      </w:tr>
      <w:tr>
        <w:trPr>
          <w:trHeight w:val="437"/>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12,369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10,669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17,263</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12,937</w:t>
            </w:r>
          </w:p>
        </w:tc>
      </w:tr>
      <w:tr>
        <w:trPr>
          <w:trHeight w:val="185"/>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$54.38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$54.12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$53.97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$59.08</w:t>
            </w:r>
          </w:p>
        </w:tc>
      </w:tr>
      <w:tr>
        <w:trPr>
          <w:trHeight w:val="453"/>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Net Purchased Puts </w:t>
            </w:r>
            <w:r>
              <w:rPr>
                <w:rFonts w:ascii="Arial" w:cs="Arial" w:eastAsia="Arial" w:hAnsi="Arial"/>
                <w:sz w:val="18"/>
                <w:szCs w:val="18"/>
                <w:b w:val="1"/>
                <w:bCs w:val="1"/>
                <w:color w:val="auto"/>
                <w:vertAlign w:val="superscript"/>
              </w:rPr>
              <w:t>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35,347</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34,380</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25,167</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14,790</w:t>
            </w:r>
          </w:p>
        </w:tc>
      </w:tr>
      <w:tr>
        <w:trPr>
          <w:trHeight w:val="186"/>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$53.32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$54.69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$55.95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$57.22</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$40.00</w:t>
            </w:r>
          </w:p>
        </w:tc>
      </w:tr>
      <w:tr>
        <w:trPr>
          <w:trHeight w:val="437"/>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6,869</w:t>
            </w: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86"/>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30" w:lineRule="exact"/>
        <w:rPr>
          <w:sz w:val="20"/>
          <w:szCs w:val="20"/>
          <w:color w:val="auto"/>
        </w:rPr>
      </w:pPr>
    </w:p>
    <w:p>
      <w:pPr>
        <w:ind w:left="120" w:hanging="96"/>
        <w:spacing w:after="0"/>
        <w:tabs>
          <w:tab w:leader="none" w:pos="1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Purchased and sold puts with the same strike price have been netted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240"/>
          </w:cols>
          <w:pgMar w:left="320" w:top="127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5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9"/>
              </w:rPr>
              <w:t>Attachment 7</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178"/>
        </w:trPr>
        <w:tc>
          <w:tcPr>
            <w:tcW w:w="5880" w:type="dxa"/>
            <w:vAlign w:val="bottom"/>
          </w:tcPr>
          <w:p>
            <w:pPr>
              <w:ind w:left="20"/>
              <w:spacing w:after="0" w:line="178"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1660" w:type="dxa"/>
            <w:vAlign w:val="bottom"/>
            <w:gridSpan w:val="3"/>
          </w:tcPr>
          <w:p>
            <w:pPr>
              <w:ind w:left="400"/>
              <w:spacing w:after="0"/>
              <w:rPr>
                <w:sz w:val="20"/>
                <w:szCs w:val="20"/>
                <w:color w:val="auto"/>
              </w:rPr>
            </w:pPr>
            <w:r>
              <w:rPr>
                <w:rFonts w:ascii="Arial" w:cs="Arial" w:eastAsia="Arial" w:hAnsi="Arial"/>
                <w:sz w:val="14"/>
                <w:szCs w:val="14"/>
                <w:b w:val="1"/>
                <w:bCs w:val="1"/>
                <w:color w:val="auto"/>
              </w:rPr>
              <w:t>E&amp;P 2022E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CMB</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2022E</w:t>
            </w:r>
          </w:p>
        </w:tc>
        <w:tc>
          <w:tcPr>
            <w:tcW w:w="1560" w:type="dxa"/>
            <w:vAlign w:val="bottom"/>
            <w:gridSpan w:val="2"/>
          </w:tcPr>
          <w:p>
            <w:pPr>
              <w:ind w:left="580"/>
              <w:spacing w:after="0"/>
              <w:rPr>
                <w:sz w:val="20"/>
                <w:szCs w:val="20"/>
                <w:color w:val="auto"/>
              </w:rPr>
            </w:pPr>
            <w:r>
              <w:rPr>
                <w:rFonts w:ascii="Arial" w:cs="Arial" w:eastAsia="Arial" w:hAnsi="Arial"/>
                <w:sz w:val="14"/>
                <w:szCs w:val="14"/>
                <w:b w:val="1"/>
                <w:bCs w:val="1"/>
                <w:color w:val="auto"/>
              </w:rPr>
              <w:t>2022E</w:t>
            </w:r>
          </w:p>
        </w:tc>
      </w:tr>
      <w:tr>
        <w:trPr>
          <w:trHeight w:val="181"/>
        </w:trPr>
        <w:tc>
          <w:tcPr>
            <w:tcW w:w="588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- 90</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- 90</w:t>
            </w:r>
          </w:p>
        </w:tc>
      </w:tr>
      <w:tr>
        <w:trPr>
          <w:trHeight w:val="185"/>
        </w:trPr>
        <w:tc>
          <w:tcPr>
            <w:tcW w:w="588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820" w:type="dxa"/>
            <w:vAlign w:val="bottom"/>
          </w:tcPr>
          <w:p>
            <w:pPr>
              <w:ind w:left="20"/>
              <w:spacing w:after="0"/>
              <w:rPr>
                <w:sz w:val="20"/>
                <w:szCs w:val="20"/>
                <w:color w:val="auto"/>
              </w:rPr>
            </w:pPr>
            <w:r>
              <w:rPr>
                <w:rFonts w:ascii="Arial" w:cs="Arial" w:eastAsia="Arial" w:hAnsi="Arial"/>
                <w:sz w:val="14"/>
                <w:szCs w:val="14"/>
                <w:color w:val="auto"/>
              </w:rPr>
              <w:t>- 56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820" w:type="dxa"/>
            <w:vAlign w:val="bottom"/>
          </w:tcPr>
          <w:p>
            <w:pPr>
              <w:ind w:left="20"/>
              <w:spacing w:after="0"/>
              <w:rPr>
                <w:sz w:val="20"/>
                <w:szCs w:val="20"/>
                <w:color w:val="auto"/>
              </w:rPr>
            </w:pPr>
            <w:r>
              <w:rPr>
                <w:rFonts w:ascii="Arial" w:cs="Arial" w:eastAsia="Arial" w:hAnsi="Arial"/>
                <w:sz w:val="14"/>
                <w:szCs w:val="14"/>
                <w:color w:val="auto"/>
              </w:rPr>
              <w:t>- 56</w:t>
            </w:r>
          </w:p>
        </w:tc>
      </w:tr>
      <w:tr>
        <w:trPr>
          <w:trHeight w:val="186"/>
        </w:trPr>
        <w:tc>
          <w:tcPr>
            <w:tcW w:w="588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$640</w:t>
            </w:r>
          </w:p>
        </w:tc>
        <w:tc>
          <w:tcPr>
            <w:tcW w:w="820" w:type="dxa"/>
            <w:vAlign w:val="bottom"/>
          </w:tcPr>
          <w:p>
            <w:pPr>
              <w:ind w:left="20"/>
              <w:spacing w:after="0"/>
              <w:rPr>
                <w:sz w:val="20"/>
                <w:szCs w:val="20"/>
                <w:color w:val="auto"/>
              </w:rPr>
            </w:pPr>
            <w:r>
              <w:rPr>
                <w:rFonts w:ascii="Arial" w:cs="Arial" w:eastAsia="Arial" w:hAnsi="Arial"/>
                <w:sz w:val="14"/>
                <w:szCs w:val="14"/>
                <w:color w:val="auto"/>
              </w:rPr>
              <w:t>- $670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$640</w:t>
            </w:r>
          </w:p>
        </w:tc>
        <w:tc>
          <w:tcPr>
            <w:tcW w:w="820" w:type="dxa"/>
            <w:vAlign w:val="bottom"/>
          </w:tcPr>
          <w:p>
            <w:pPr>
              <w:ind w:left="20"/>
              <w:spacing w:after="0"/>
              <w:rPr>
                <w:sz w:val="20"/>
                <w:szCs w:val="20"/>
                <w:color w:val="auto"/>
              </w:rPr>
            </w:pPr>
            <w:r>
              <w:rPr>
                <w:rFonts w:ascii="Arial" w:cs="Arial" w:eastAsia="Arial" w:hAnsi="Arial"/>
                <w:sz w:val="14"/>
                <w:szCs w:val="14"/>
                <w:color w:val="auto"/>
              </w:rPr>
              <w:t>- $670</w:t>
            </w:r>
          </w:p>
        </w:tc>
      </w:tr>
      <w:tr>
        <w:trPr>
          <w:trHeight w:val="201"/>
        </w:trPr>
        <w:tc>
          <w:tcPr>
            <w:tcW w:w="5880" w:type="dxa"/>
            <w:vAlign w:val="bottom"/>
          </w:tcPr>
          <w:p>
            <w:pPr>
              <w:ind w:left="140"/>
              <w:spacing w:after="0" w:line="201" w:lineRule="exact"/>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820" w:type="dxa"/>
            <w:vAlign w:val="bottom"/>
          </w:tcPr>
          <w:p>
            <w:pPr>
              <w:ind w:left="20"/>
              <w:spacing w:after="0"/>
              <w:rPr>
                <w:sz w:val="20"/>
                <w:szCs w:val="20"/>
                <w:color w:val="auto"/>
              </w:rPr>
            </w:pPr>
            <w:r>
              <w:rPr>
                <w:rFonts w:ascii="Arial" w:cs="Arial" w:eastAsia="Arial" w:hAnsi="Arial"/>
                <w:sz w:val="14"/>
                <w:szCs w:val="14"/>
                <w:color w:val="auto"/>
              </w:rPr>
              <w:t>- $40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820" w:type="dxa"/>
            <w:vAlign w:val="bottom"/>
          </w:tcPr>
          <w:p>
            <w:pPr>
              <w:ind w:left="20"/>
              <w:spacing w:after="0"/>
              <w:rPr>
                <w:sz w:val="20"/>
                <w:szCs w:val="20"/>
                <w:color w:val="auto"/>
              </w:rPr>
            </w:pPr>
            <w:r>
              <w:rPr>
                <w:rFonts w:ascii="Arial" w:cs="Arial" w:eastAsia="Arial" w:hAnsi="Arial"/>
                <w:sz w:val="14"/>
                <w:szCs w:val="14"/>
                <w:color w:val="auto"/>
              </w:rPr>
              <w:t>- $40</w:t>
            </w:r>
          </w:p>
        </w:tc>
      </w:tr>
      <w:tr>
        <w:trPr>
          <w:trHeight w:val="170"/>
        </w:trPr>
        <w:tc>
          <w:tcPr>
            <w:tcW w:w="588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 ($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$155</w:t>
            </w:r>
          </w:p>
        </w:tc>
        <w:tc>
          <w:tcPr>
            <w:tcW w:w="820" w:type="dxa"/>
            <w:vAlign w:val="bottom"/>
          </w:tcPr>
          <w:p>
            <w:pPr>
              <w:ind w:left="20"/>
              <w:spacing w:after="0"/>
              <w:rPr>
                <w:sz w:val="20"/>
                <w:szCs w:val="20"/>
                <w:color w:val="auto"/>
              </w:rPr>
            </w:pPr>
            <w:r>
              <w:rPr>
                <w:rFonts w:ascii="Arial" w:cs="Arial" w:eastAsia="Arial" w:hAnsi="Arial"/>
                <w:sz w:val="14"/>
                <w:szCs w:val="14"/>
                <w:color w:val="auto"/>
              </w:rPr>
              <w:t>- $175</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ind w:left="20"/>
              <w:spacing w:after="0"/>
              <w:rPr>
                <w:sz w:val="20"/>
                <w:szCs w:val="20"/>
                <w:color w:val="auto"/>
              </w:rPr>
            </w:pPr>
            <w:r>
              <w:rPr>
                <w:rFonts w:ascii="Arial" w:cs="Arial" w:eastAsia="Arial" w:hAnsi="Arial"/>
                <w:sz w:val="14"/>
                <w:szCs w:val="14"/>
                <w:color w:val="auto"/>
              </w:rPr>
              <w:t>- $15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w:t>
            </w:r>
          </w:p>
        </w:tc>
        <w:tc>
          <w:tcPr>
            <w:tcW w:w="820" w:type="dxa"/>
            <w:vAlign w:val="bottom"/>
          </w:tcPr>
          <w:p>
            <w:pPr>
              <w:ind w:left="20"/>
              <w:spacing w:after="0"/>
              <w:rPr>
                <w:sz w:val="20"/>
                <w:szCs w:val="20"/>
                <w:color w:val="auto"/>
              </w:rPr>
            </w:pPr>
            <w:r>
              <w:rPr>
                <w:rFonts w:ascii="Arial" w:cs="Arial" w:eastAsia="Arial" w:hAnsi="Arial"/>
                <w:sz w:val="14"/>
                <w:szCs w:val="14"/>
                <w:color w:val="auto"/>
              </w:rPr>
              <w:t>- $190</w:t>
            </w:r>
          </w:p>
        </w:tc>
      </w:tr>
      <w:tr>
        <w:trPr>
          <w:trHeight w:val="186"/>
        </w:trPr>
        <w:tc>
          <w:tcPr>
            <w:tcW w:w="588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$300</w:t>
            </w:r>
          </w:p>
        </w:tc>
        <w:tc>
          <w:tcPr>
            <w:tcW w:w="820" w:type="dxa"/>
            <w:vAlign w:val="bottom"/>
          </w:tcPr>
          <w:p>
            <w:pPr>
              <w:ind w:left="20"/>
              <w:spacing w:after="0"/>
              <w:rPr>
                <w:sz w:val="20"/>
                <w:szCs w:val="20"/>
                <w:color w:val="auto"/>
              </w:rPr>
            </w:pPr>
            <w:r>
              <w:rPr>
                <w:rFonts w:ascii="Arial" w:cs="Arial" w:eastAsia="Arial" w:hAnsi="Arial"/>
                <w:sz w:val="14"/>
                <w:szCs w:val="14"/>
                <w:color w:val="auto"/>
              </w:rPr>
              <w:t>- $335</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820" w:type="dxa"/>
            <w:vAlign w:val="bottom"/>
          </w:tcPr>
          <w:p>
            <w:pPr>
              <w:ind w:left="20"/>
              <w:spacing w:after="0"/>
              <w:rPr>
                <w:sz w:val="20"/>
                <w:szCs w:val="20"/>
                <w:color w:val="auto"/>
              </w:rPr>
            </w:pPr>
            <w:r>
              <w:rPr>
                <w:rFonts w:ascii="Arial" w:cs="Arial" w:eastAsia="Arial" w:hAnsi="Arial"/>
                <w:sz w:val="14"/>
                <w:szCs w:val="14"/>
                <w:color w:val="auto"/>
              </w:rPr>
              <w:t>- $40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w:t>
            </w:r>
          </w:p>
        </w:tc>
        <w:tc>
          <w:tcPr>
            <w:tcW w:w="820" w:type="dxa"/>
            <w:vAlign w:val="bottom"/>
          </w:tcPr>
          <w:p>
            <w:pPr>
              <w:ind w:left="20"/>
              <w:spacing w:after="0"/>
              <w:rPr>
                <w:sz w:val="20"/>
                <w:szCs w:val="20"/>
                <w:color w:val="auto"/>
              </w:rPr>
            </w:pPr>
            <w:r>
              <w:rPr>
                <w:rFonts w:ascii="Arial" w:cs="Arial" w:eastAsia="Arial" w:hAnsi="Arial"/>
                <w:sz w:val="14"/>
                <w:szCs w:val="14"/>
                <w:color w:val="auto"/>
              </w:rPr>
              <w:t>- $375</w:t>
            </w:r>
          </w:p>
        </w:tc>
      </w:tr>
      <w:tr>
        <w:trPr>
          <w:trHeight w:val="185"/>
        </w:trPr>
        <w:tc>
          <w:tcPr>
            <w:tcW w:w="588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$800</w:t>
            </w:r>
          </w:p>
        </w:tc>
        <w:tc>
          <w:tcPr>
            <w:tcW w:w="820" w:type="dxa"/>
            <w:vAlign w:val="bottom"/>
          </w:tcPr>
          <w:p>
            <w:pPr>
              <w:ind w:left="20"/>
              <w:spacing w:after="0"/>
              <w:rPr>
                <w:sz w:val="20"/>
                <w:szCs w:val="20"/>
                <w:color w:val="auto"/>
              </w:rPr>
            </w:pPr>
            <w:r>
              <w:rPr>
                <w:rFonts w:ascii="Arial" w:cs="Arial" w:eastAsia="Arial" w:hAnsi="Arial"/>
                <w:sz w:val="14"/>
                <w:szCs w:val="14"/>
                <w:color w:val="auto"/>
              </w:rPr>
              <w:t>- $940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820" w:type="dxa"/>
            <w:vAlign w:val="bottom"/>
          </w:tcPr>
          <w:p>
            <w:pPr>
              <w:ind w:left="20"/>
              <w:spacing w:after="0"/>
              <w:rPr>
                <w:sz w:val="20"/>
                <w:szCs w:val="20"/>
                <w:color w:val="auto"/>
              </w:rPr>
            </w:pPr>
            <w:r>
              <w:rPr>
                <w:rFonts w:ascii="Arial" w:cs="Arial" w:eastAsia="Arial" w:hAnsi="Arial"/>
                <w:sz w:val="14"/>
                <w:szCs w:val="14"/>
                <w:color w:val="auto"/>
              </w:rPr>
              <w:t>- ($55)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$745</w:t>
            </w:r>
          </w:p>
        </w:tc>
        <w:tc>
          <w:tcPr>
            <w:tcW w:w="820" w:type="dxa"/>
            <w:vAlign w:val="bottom"/>
          </w:tcPr>
          <w:p>
            <w:pPr>
              <w:ind w:left="20"/>
              <w:spacing w:after="0"/>
              <w:rPr>
                <w:sz w:val="20"/>
                <w:szCs w:val="20"/>
                <w:color w:val="auto"/>
              </w:rPr>
            </w:pPr>
            <w:r>
              <w:rPr>
                <w:rFonts w:ascii="Arial" w:cs="Arial" w:eastAsia="Arial" w:hAnsi="Arial"/>
                <w:sz w:val="14"/>
                <w:szCs w:val="14"/>
                <w:color w:val="auto"/>
              </w:rPr>
              <w:t>- $900</w:t>
            </w:r>
          </w:p>
        </w:tc>
      </w:tr>
      <w:tr>
        <w:trPr>
          <w:trHeight w:val="201"/>
        </w:trPr>
        <w:tc>
          <w:tcPr>
            <w:tcW w:w="5880" w:type="dxa"/>
            <w:vAlign w:val="bottom"/>
          </w:tcPr>
          <w:p>
            <w:pPr>
              <w:ind w:left="140"/>
              <w:spacing w:after="0" w:line="201"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$350</w:t>
            </w:r>
          </w:p>
        </w:tc>
        <w:tc>
          <w:tcPr>
            <w:tcW w:w="820" w:type="dxa"/>
            <w:vAlign w:val="bottom"/>
          </w:tcPr>
          <w:p>
            <w:pPr>
              <w:ind w:left="20"/>
              <w:spacing w:after="0"/>
              <w:rPr>
                <w:sz w:val="20"/>
                <w:szCs w:val="20"/>
                <w:color w:val="auto"/>
              </w:rPr>
            </w:pPr>
            <w:r>
              <w:rPr>
                <w:rFonts w:ascii="Arial" w:cs="Arial" w:eastAsia="Arial" w:hAnsi="Arial"/>
                <w:sz w:val="14"/>
                <w:szCs w:val="14"/>
                <w:color w:val="auto"/>
              </w:rPr>
              <w:t>- $450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820" w:type="dxa"/>
            <w:vAlign w:val="bottom"/>
          </w:tcPr>
          <w:p>
            <w:pPr>
              <w:ind w:left="20"/>
              <w:spacing w:after="0"/>
              <w:rPr>
                <w:sz w:val="20"/>
                <w:szCs w:val="20"/>
                <w:color w:val="auto"/>
              </w:rPr>
            </w:pPr>
            <w:r>
              <w:rPr>
                <w:rFonts w:ascii="Arial" w:cs="Arial" w:eastAsia="Arial" w:hAnsi="Arial"/>
                <w:sz w:val="14"/>
                <w:szCs w:val="14"/>
                <w:color w:val="auto"/>
              </w:rPr>
              <w:t>- ($95)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w:t>
            </w:r>
          </w:p>
        </w:tc>
        <w:tc>
          <w:tcPr>
            <w:tcW w:w="820" w:type="dxa"/>
            <w:vAlign w:val="bottom"/>
          </w:tcPr>
          <w:p>
            <w:pPr>
              <w:ind w:left="20"/>
              <w:spacing w:after="0"/>
              <w:rPr>
                <w:sz w:val="20"/>
                <w:szCs w:val="20"/>
                <w:color w:val="auto"/>
              </w:rPr>
            </w:pPr>
            <w:r>
              <w:rPr>
                <w:rFonts w:ascii="Arial" w:cs="Arial" w:eastAsia="Arial" w:hAnsi="Arial"/>
                <w:sz w:val="14"/>
                <w:szCs w:val="14"/>
                <w:color w:val="auto"/>
              </w:rPr>
              <w:t>- $380</w:t>
            </w:r>
          </w:p>
        </w:tc>
      </w:tr>
      <w:tr>
        <w:trPr>
          <w:trHeight w:val="170"/>
        </w:trPr>
        <w:tc>
          <w:tcPr>
            <w:tcW w:w="5880" w:type="dxa"/>
            <w:vAlign w:val="bottom"/>
          </w:tcPr>
          <w:p>
            <w:pPr>
              <w:ind w:left="140"/>
              <w:spacing w:after="0"/>
              <w:rPr>
                <w:sz w:val="20"/>
                <w:szCs w:val="20"/>
                <w:color w:val="auto"/>
              </w:rPr>
            </w:pPr>
            <w:r>
              <w:rPr>
                <w:rFonts w:ascii="Arial" w:cs="Arial" w:eastAsia="Arial" w:hAnsi="Arial"/>
                <w:sz w:val="14"/>
                <w:szCs w:val="14"/>
                <w:color w:val="auto"/>
              </w:rPr>
              <w:t>Cash Tax as % of Pre-Tax Income</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ind w:left="20"/>
              <w:spacing w:after="0"/>
              <w:rPr>
                <w:sz w:val="20"/>
                <w:szCs w:val="20"/>
                <w:color w:val="auto"/>
              </w:rPr>
            </w:pPr>
            <w:r>
              <w:rPr>
                <w:rFonts w:ascii="Arial" w:cs="Arial" w:eastAsia="Arial" w:hAnsi="Arial"/>
                <w:sz w:val="14"/>
                <w:szCs w:val="14"/>
                <w:color w:val="auto"/>
              </w:rPr>
              <w:t>- 18%</w:t>
            </w:r>
          </w:p>
        </w:tc>
      </w:tr>
    </w:tbl>
    <w:p>
      <w:pPr>
        <w:spacing w:after="0" w:line="18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For FY 2022E guidance, management is not providing guidance on income taxes or any unusual or infrequent events at this time.</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E&amp;P 2022E</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409"/>
              <w:spacing w:after="0"/>
              <w:rPr>
                <w:sz w:val="20"/>
                <w:szCs w:val="20"/>
                <w:color w:val="auto"/>
              </w:rPr>
            </w:pPr>
            <w:r>
              <w:rPr>
                <w:rFonts w:ascii="Arial" w:cs="Arial" w:eastAsia="Arial" w:hAnsi="Arial"/>
                <w:sz w:val="14"/>
                <w:szCs w:val="14"/>
                <w:b w:val="1"/>
                <w:bCs w:val="1"/>
                <w:color w:val="auto"/>
              </w:rPr>
              <w:t>CMB 2022E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2022 Estimated</w:t>
            </w:r>
          </w:p>
        </w:tc>
      </w:tr>
      <w:tr>
        <w:trPr>
          <w:trHeight w:val="179"/>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1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18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color w:val="auto"/>
              </w:rPr>
              <w:t>Low</w:t>
            </w:r>
          </w:p>
        </w:tc>
        <w:tc>
          <w:tcPr>
            <w:tcW w:w="18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High</w:t>
            </w:r>
          </w:p>
        </w:tc>
      </w:tr>
      <w:tr>
        <w:trPr>
          <w:trHeight w:val="181"/>
        </w:trPr>
        <w:tc>
          <w:tcPr>
            <w:tcW w:w="5120" w:type="dxa"/>
            <w:vAlign w:val="bottom"/>
          </w:tcPr>
          <w:p>
            <w:pPr>
              <w:spacing w:after="0"/>
              <w:rPr>
                <w:sz w:val="20"/>
                <w:szCs w:val="20"/>
                <w:color w:val="auto"/>
              </w:rPr>
            </w:pPr>
            <w:r>
              <w:rPr>
                <w:rFonts w:ascii="Arial" w:cs="Arial" w:eastAsia="Arial" w:hAnsi="Arial"/>
                <w:sz w:val="14"/>
                <w:szCs w:val="14"/>
                <w:color w:val="auto"/>
              </w:rPr>
              <w:t>Net cash provided (used) by operating activities</w:t>
            </w: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center"/>
              <w:ind w:left="189"/>
              <w:spacing w:after="0"/>
              <w:rPr>
                <w:sz w:val="20"/>
                <w:szCs w:val="20"/>
                <w:color w:val="auto"/>
              </w:rPr>
            </w:pPr>
            <w:r>
              <w:rPr>
                <w:rFonts w:ascii="Arial" w:cs="Arial" w:eastAsia="Arial" w:hAnsi="Arial"/>
                <w:sz w:val="14"/>
                <w:szCs w:val="14"/>
                <w:color w:val="auto"/>
              </w:rPr>
              <w:t>685</w:t>
            </w:r>
          </w:p>
        </w:tc>
        <w:tc>
          <w:tcPr>
            <w:tcW w:w="2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center"/>
              <w:ind w:left="189"/>
              <w:spacing w:after="0"/>
              <w:rPr>
                <w:sz w:val="20"/>
                <w:szCs w:val="20"/>
                <w:color w:val="auto"/>
              </w:rPr>
            </w:pPr>
            <w:r>
              <w:rPr>
                <w:rFonts w:ascii="Arial" w:cs="Arial" w:eastAsia="Arial" w:hAnsi="Arial"/>
                <w:sz w:val="14"/>
                <w:szCs w:val="14"/>
                <w:color w:val="auto"/>
                <w:w w:val="94"/>
              </w:rPr>
              <w:t>750</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center"/>
              <w:ind w:left="209"/>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center"/>
              <w:ind w:left="189"/>
              <w:spacing w:after="0"/>
              <w:rPr>
                <w:sz w:val="20"/>
                <w:szCs w:val="20"/>
                <w:color w:val="auto"/>
              </w:rPr>
            </w:pPr>
            <w:r>
              <w:rPr>
                <w:rFonts w:ascii="Arial" w:cs="Arial" w:eastAsia="Arial" w:hAnsi="Arial"/>
                <w:sz w:val="14"/>
                <w:szCs w:val="14"/>
                <w:color w:val="auto"/>
                <w:w w:val="94"/>
              </w:rPr>
              <w:t>710</w:t>
            </w:r>
          </w:p>
        </w:tc>
      </w:tr>
      <w:tr>
        <w:trPr>
          <w:trHeight w:val="183"/>
        </w:trPr>
        <w:tc>
          <w:tcPr>
            <w:tcW w:w="5120" w:type="dxa"/>
            <w:vAlign w:val="bottom"/>
          </w:tcPr>
          <w:p>
            <w:pPr>
              <w:spacing w:after="0"/>
              <w:rPr>
                <w:sz w:val="20"/>
                <w:szCs w:val="20"/>
                <w:color w:val="auto"/>
              </w:rPr>
            </w:pPr>
            <w:r>
              <w:rPr>
                <w:rFonts w:ascii="Arial" w:cs="Arial" w:eastAsia="Arial" w:hAnsi="Arial"/>
                <w:sz w:val="14"/>
                <w:szCs w:val="14"/>
                <w:color w:val="auto"/>
              </w:rPr>
              <w:t>Capital investments</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7"/>
              </w:rPr>
              <w:t>(335)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7"/>
              </w:rPr>
              <w:t>(300)</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7"/>
              </w:rPr>
              <w:t>(330)</w:t>
            </w:r>
          </w:p>
        </w:tc>
      </w:tr>
      <w:tr>
        <w:trPr>
          <w:trHeight w:val="179"/>
        </w:trPr>
        <w:tc>
          <w:tcPr>
            <w:tcW w:w="5120" w:type="dxa"/>
            <w:vAlign w:val="bottom"/>
          </w:tcPr>
          <w:p>
            <w:pPr>
              <w:spacing w:after="0"/>
              <w:rPr>
                <w:sz w:val="20"/>
                <w:szCs w:val="20"/>
                <w:color w:val="auto"/>
              </w:rPr>
            </w:pPr>
            <w:r>
              <w:rPr>
                <w:rFonts w:ascii="Arial" w:cs="Arial" w:eastAsia="Arial" w:hAnsi="Arial"/>
                <w:sz w:val="14"/>
                <w:szCs w:val="14"/>
                <w:b w:val="1"/>
                <w:bCs w:val="1"/>
                <w:color w:val="auto"/>
              </w:rPr>
              <w:t>Estimated free cash flow</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rPr>
              <w:t>350</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4"/>
              </w:rPr>
              <w:t>450</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4"/>
              </w:rPr>
              <w:t>380</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E&amp;P 2022E</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CMB 2022E</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29"/>
              <w:spacing w:after="0"/>
              <w:rPr>
                <w:sz w:val="20"/>
                <w:szCs w:val="20"/>
                <w:color w:val="auto"/>
              </w:rPr>
            </w:pPr>
            <w:r>
              <w:rPr>
                <w:rFonts w:ascii="Arial" w:cs="Arial" w:eastAsia="Arial" w:hAnsi="Arial"/>
                <w:sz w:val="14"/>
                <w:szCs w:val="14"/>
                <w:b w:val="1"/>
                <w:bCs w:val="1"/>
                <w:color w:val="auto"/>
              </w:rPr>
              <w:t>2022 Estimated</w:t>
            </w:r>
          </w:p>
        </w:tc>
      </w:tr>
      <w:tr>
        <w:trPr>
          <w:trHeight w:val="179"/>
        </w:trPr>
        <w:tc>
          <w:tcPr>
            <w:tcW w:w="4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660" w:type="dxa"/>
            <w:vAlign w:val="bottom"/>
          </w:tcPr>
          <w:p>
            <w:pPr>
              <w:jc w:val="right"/>
              <w:spacing w:after="0"/>
              <w:rPr>
                <w:sz w:val="20"/>
                <w:szCs w:val="20"/>
                <w:color w:val="auto"/>
              </w:rPr>
            </w:pPr>
            <w:r>
              <w:rPr>
                <w:rFonts w:ascii="Arial" w:cs="Arial" w:eastAsia="Arial" w:hAnsi="Arial"/>
                <w:sz w:val="14"/>
                <w:szCs w:val="14"/>
                <w:color w:val="auto"/>
              </w:rPr>
              <w:t>Low</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rPr>
              <w:t>Low</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left="269"/>
              <w:spacing w:after="0"/>
              <w:rPr>
                <w:sz w:val="20"/>
                <w:szCs w:val="20"/>
                <w:color w:val="auto"/>
              </w:rPr>
            </w:pPr>
            <w:r>
              <w:rPr>
                <w:rFonts w:ascii="Arial" w:cs="Arial" w:eastAsia="Arial" w:hAnsi="Arial"/>
                <w:sz w:val="14"/>
                <w:szCs w:val="14"/>
                <w:color w:val="auto"/>
                <w:w w:val="97"/>
              </w:rPr>
              <w:t>High</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color w:val="auto"/>
              </w:rPr>
              <w:t>Low</w:t>
            </w:r>
          </w:p>
        </w:tc>
        <w:tc>
          <w:tcPr>
            <w:tcW w:w="28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Arial" w:cs="Arial" w:eastAsia="Arial" w:hAnsi="Arial"/>
                <w:sz w:val="14"/>
                <w:szCs w:val="14"/>
                <w:color w:val="auto"/>
              </w:rPr>
              <w:t>High</w:t>
            </w:r>
          </w:p>
        </w:tc>
      </w:tr>
      <w:tr>
        <w:trPr>
          <w:trHeight w:val="181"/>
        </w:trPr>
        <w:tc>
          <w:tcPr>
            <w:tcW w:w="4080" w:type="dxa"/>
            <w:vAlign w:val="bottom"/>
          </w:tcPr>
          <w:p>
            <w:pPr>
              <w:spacing w:after="0"/>
              <w:rPr>
                <w:sz w:val="20"/>
                <w:szCs w:val="20"/>
                <w:color w:val="auto"/>
              </w:rPr>
            </w:pPr>
            <w:r>
              <w:rPr>
                <w:rFonts w:ascii="Arial" w:cs="Arial" w:eastAsia="Arial" w:hAnsi="Arial"/>
                <w:sz w:val="14"/>
                <w:szCs w:val="14"/>
                <w:color w:val="auto"/>
              </w:rPr>
              <w:t>Net income</w:t>
            </w:r>
          </w:p>
        </w:tc>
        <w:tc>
          <w:tcPr>
            <w:tcW w:w="66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780" w:type="dxa"/>
            <w:vAlign w:val="bottom"/>
            <w:tcBorders>
              <w:top w:val="single" w:sz="8" w:color="auto"/>
            </w:tcBorders>
          </w:tcPr>
          <w:p>
            <w:pPr>
              <w:jc w:val="center"/>
              <w:ind w:right="60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w:t>
            </w:r>
          </w:p>
        </w:tc>
      </w:tr>
      <w:tr>
        <w:trPr>
          <w:trHeight w:val="186"/>
        </w:trPr>
        <w:tc>
          <w:tcPr>
            <w:tcW w:w="408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5"/>
        </w:trPr>
        <w:tc>
          <w:tcPr>
            <w:tcW w:w="408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86"/>
        </w:trPr>
        <w:tc>
          <w:tcPr>
            <w:tcW w:w="408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5"/>
        </w:trPr>
        <w:tc>
          <w:tcPr>
            <w:tcW w:w="408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6"/>
        </w:trPr>
        <w:tc>
          <w:tcPr>
            <w:tcW w:w="408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186"/>
        </w:trPr>
        <w:tc>
          <w:tcPr>
            <w:tcW w:w="408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08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5"/>
        </w:trPr>
        <w:tc>
          <w:tcPr>
            <w:tcW w:w="40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4080" w:type="dxa"/>
            <w:vAlign w:val="bottom"/>
          </w:tcPr>
          <w:p>
            <w:pPr>
              <w:ind w:left="240"/>
              <w:spacing w:after="0"/>
              <w:rPr>
                <w:sz w:val="20"/>
                <w:szCs w:val="20"/>
                <w:color w:val="auto"/>
              </w:rPr>
            </w:pPr>
            <w:r>
              <w:rPr>
                <w:rFonts w:ascii="Arial" w:cs="Arial" w:eastAsia="Arial" w:hAnsi="Arial"/>
                <w:sz w:val="14"/>
                <w:szCs w:val="14"/>
                <w:color w:val="auto"/>
              </w:rPr>
              <w:t>Post-retirement medical and pension</w:t>
            </w: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9"/>
        </w:trPr>
        <w:tc>
          <w:tcPr>
            <w:tcW w:w="408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6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ind w:right="60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745</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r>
      <w:tr>
        <w:trPr>
          <w:trHeight w:val="20"/>
        </w:trPr>
        <w:tc>
          <w:tcPr>
            <w:tcW w:w="4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66"/>
        </w:trPr>
        <w:tc>
          <w:tcPr>
            <w:tcW w:w="4080" w:type="dxa"/>
            <w:vAlign w:val="bottom"/>
          </w:tcPr>
          <w:p>
            <w:pPr>
              <w:spacing w:after="0"/>
              <w:rPr>
                <w:sz w:val="20"/>
                <w:szCs w:val="20"/>
                <w:color w:val="auto"/>
              </w:rPr>
            </w:pPr>
            <w:r>
              <w:rPr>
                <w:rFonts w:ascii="Arial" w:cs="Arial" w:eastAsia="Arial" w:hAnsi="Arial"/>
                <w:sz w:val="14"/>
                <w:szCs w:val="14"/>
                <w:color w:val="auto"/>
              </w:rPr>
              <w:t>Net cash provided (used) by operating activities</w:t>
            </w: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24"/>
                <w:szCs w:val="24"/>
                <w:color w:val="auto"/>
              </w:rPr>
            </w:pP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4"/>
                <w:szCs w:val="24"/>
                <w:color w:val="auto"/>
              </w:rPr>
            </w:pP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780" w:type="dxa"/>
            <w:vAlign w:val="bottom"/>
          </w:tcPr>
          <w:p>
            <w:pPr>
              <w:jc w:val="center"/>
              <w:ind w:right="60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4"/>
                <w:szCs w:val="2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630</w:t>
            </w:r>
          </w:p>
        </w:tc>
        <w:tc>
          <w:tcPr>
            <w:tcW w:w="14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710</w:t>
            </w:r>
          </w:p>
        </w:tc>
      </w:tr>
      <w:tr>
        <w:trPr>
          <w:trHeight w:val="185"/>
        </w:trPr>
        <w:tc>
          <w:tcPr>
            <w:tcW w:w="408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5"/>
        </w:trPr>
        <w:tc>
          <w:tcPr>
            <w:tcW w:w="408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6"/>
        </w:trPr>
        <w:tc>
          <w:tcPr>
            <w:tcW w:w="4080" w:type="dxa"/>
            <w:vAlign w:val="bottom"/>
          </w:tcPr>
          <w:p>
            <w:pPr>
              <w:ind w:left="120"/>
              <w:spacing w:after="0"/>
              <w:rPr>
                <w:sz w:val="20"/>
                <w:szCs w:val="20"/>
                <w:color w:val="auto"/>
              </w:rPr>
            </w:pPr>
            <w:r>
              <w:rPr>
                <w:rFonts w:ascii="Arial" w:cs="Arial" w:eastAsia="Arial" w:hAnsi="Arial"/>
                <w:sz w:val="14"/>
                <w:szCs w:val="14"/>
                <w:color w:val="auto"/>
              </w:rPr>
              <w:t>Exploration expenditures</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3"/>
        </w:trPr>
        <w:tc>
          <w:tcPr>
            <w:tcW w:w="408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179"/>
        </w:trPr>
        <w:tc>
          <w:tcPr>
            <w:tcW w:w="408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6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ind w:right="60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745</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r>
      <w:tr>
        <w:trPr>
          <w:trHeight w:val="20"/>
        </w:trPr>
        <w:tc>
          <w:tcPr>
            <w:tcW w:w="4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364"/>
        </w:trPr>
        <w:tc>
          <w:tcPr>
            <w:tcW w:w="40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E&amp;P 2022E</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129"/>
              <w:spacing w:after="0"/>
              <w:rPr>
                <w:sz w:val="20"/>
                <w:szCs w:val="20"/>
                <w:color w:val="auto"/>
              </w:rPr>
            </w:pPr>
            <w:r>
              <w:rPr>
                <w:rFonts w:ascii="Arial" w:cs="Arial" w:eastAsia="Arial" w:hAnsi="Arial"/>
                <w:sz w:val="14"/>
                <w:szCs w:val="14"/>
                <w:b w:val="1"/>
                <w:bCs w:val="1"/>
                <w:color w:val="auto"/>
              </w:rPr>
              <w:t>CMB 2022E</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629"/>
              <w:spacing w:after="0"/>
              <w:rPr>
                <w:sz w:val="20"/>
                <w:szCs w:val="20"/>
                <w:color w:val="auto"/>
              </w:rPr>
            </w:pPr>
            <w:r>
              <w:rPr>
                <w:rFonts w:ascii="Arial" w:cs="Arial" w:eastAsia="Arial" w:hAnsi="Arial"/>
                <w:sz w:val="14"/>
                <w:szCs w:val="14"/>
                <w:b w:val="1"/>
                <w:bCs w:val="1"/>
                <w:color w:val="auto"/>
              </w:rPr>
              <w:t>2022 Estimated</w:t>
            </w:r>
          </w:p>
        </w:tc>
      </w:tr>
      <w:tr>
        <w:trPr>
          <w:trHeight w:val="179"/>
        </w:trPr>
        <w:tc>
          <w:tcPr>
            <w:tcW w:w="4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660" w:type="dxa"/>
            <w:vAlign w:val="bottom"/>
          </w:tcPr>
          <w:p>
            <w:pPr>
              <w:jc w:val="right"/>
              <w:spacing w:after="0"/>
              <w:rPr>
                <w:sz w:val="20"/>
                <w:szCs w:val="20"/>
                <w:color w:val="auto"/>
              </w:rPr>
            </w:pPr>
            <w:r>
              <w:rPr>
                <w:rFonts w:ascii="Arial" w:cs="Arial" w:eastAsia="Arial" w:hAnsi="Arial"/>
                <w:sz w:val="14"/>
                <w:szCs w:val="14"/>
                <w:color w:val="auto"/>
              </w:rPr>
              <w:t>Low</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left="269"/>
              <w:spacing w:after="0"/>
              <w:rPr>
                <w:sz w:val="20"/>
                <w:szCs w:val="20"/>
                <w:color w:val="auto"/>
              </w:rPr>
            </w:pPr>
            <w:r>
              <w:rPr>
                <w:rFonts w:ascii="Arial" w:cs="Arial" w:eastAsia="Arial" w:hAnsi="Arial"/>
                <w:sz w:val="14"/>
                <w:szCs w:val="14"/>
                <w:color w:val="auto"/>
              </w:rPr>
              <w:t>Low</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left="269"/>
              <w:spacing w:after="0"/>
              <w:rPr>
                <w:sz w:val="20"/>
                <w:szCs w:val="20"/>
                <w:color w:val="auto"/>
              </w:rPr>
            </w:pPr>
            <w:r>
              <w:rPr>
                <w:rFonts w:ascii="Arial" w:cs="Arial" w:eastAsia="Arial" w:hAnsi="Arial"/>
                <w:sz w:val="14"/>
                <w:szCs w:val="14"/>
                <w:color w:val="auto"/>
                <w:w w:val="97"/>
              </w:rPr>
              <w:t>High</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color w:val="auto"/>
              </w:rPr>
              <w:t>Low</w:t>
            </w:r>
          </w:p>
        </w:tc>
        <w:tc>
          <w:tcPr>
            <w:tcW w:w="28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Arial" w:cs="Arial" w:eastAsia="Arial" w:hAnsi="Arial"/>
                <w:sz w:val="14"/>
                <w:szCs w:val="14"/>
                <w:color w:val="auto"/>
              </w:rPr>
              <w:t>High</w:t>
            </w:r>
          </w:p>
        </w:tc>
      </w:tr>
      <w:tr>
        <w:trPr>
          <w:trHeight w:val="181"/>
        </w:trPr>
        <w:tc>
          <w:tcPr>
            <w:tcW w:w="408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66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780" w:type="dxa"/>
            <w:vAlign w:val="bottom"/>
            <w:tcBorders>
              <w:top w:val="single" w:sz="8" w:color="auto"/>
            </w:tcBorders>
          </w:tcPr>
          <w:p>
            <w:pPr>
              <w:jc w:val="center"/>
              <w:ind w:right="60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180</w:t>
            </w:r>
          </w:p>
        </w:tc>
        <w:tc>
          <w:tcPr>
            <w:tcW w:w="14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183"/>
        </w:trPr>
        <w:tc>
          <w:tcPr>
            <w:tcW w:w="40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4080" w:type="dxa"/>
            <w:vAlign w:val="bottom"/>
          </w:tcPr>
          <w:p>
            <w:pPr>
              <w:spacing w:after="0"/>
              <w:rPr>
                <w:sz w:val="20"/>
                <w:szCs w:val="20"/>
                <w:color w:val="auto"/>
              </w:rPr>
            </w:pPr>
            <w:r>
              <w:rPr>
                <w:rFonts w:ascii="Arial" w:cs="Arial" w:eastAsia="Arial" w:hAnsi="Arial"/>
                <w:sz w:val="14"/>
                <w:szCs w:val="14"/>
                <w:b w:val="1"/>
                <w:bCs w:val="1"/>
                <w:color w:val="auto"/>
              </w:rPr>
              <w:t>Adjusted general and administrative expenses</w:t>
            </w:r>
          </w:p>
        </w:tc>
        <w:tc>
          <w:tcPr>
            <w:tcW w:w="66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center"/>
              <w:ind w:right="60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17145</wp:posOffset>
            </wp:positionV>
            <wp:extent cx="4450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50715" cy="8255"/>
                    </a:xfrm>
                    <a:prstGeom prst="rect">
                      <a:avLst/>
                    </a:prstGeom>
                    <a:noFill/>
                  </pic:spPr>
                </pic:pic>
              </a:graphicData>
            </a:graphic>
          </wp:anchor>
        </w:drawing>
      </w:r>
    </w:p>
    <w:p>
      <w:pPr>
        <w:spacing w:after="0" w:line="11" w:lineRule="exact"/>
        <w:rPr>
          <w:sz w:val="20"/>
          <w:szCs w:val="20"/>
          <w:color w:val="auto"/>
        </w:rPr>
      </w:pPr>
    </w:p>
    <w:p>
      <w:pPr>
        <w:ind w:left="20" w:right="200" w:firstLine="4"/>
        <w:spacing w:after="0" w:line="225" w:lineRule="auto"/>
        <w:tabs>
          <w:tab w:leader="none" w:pos="110" w:val="left"/>
        </w:tabs>
        <w:numPr>
          <w:ilvl w:val="0"/>
          <w:numId w:val="16"/>
        </w:numPr>
        <w:rPr>
          <w:rFonts w:ascii="Arial" w:cs="Arial" w:eastAsia="Arial" w:hAnsi="Arial"/>
          <w:sz w:val="9"/>
          <w:szCs w:val="9"/>
          <w:color w:val="auto"/>
        </w:rPr>
      </w:pPr>
      <w:r>
        <w:rPr>
          <w:rFonts w:ascii="Arial" w:cs="Arial" w:eastAsia="Arial" w:hAnsi="Arial"/>
          <w:sz w:val="14"/>
          <w:szCs w:val="14"/>
          <w:color w:val="auto"/>
        </w:rPr>
        <w:t>Current guidance assumes a 2022 price of $82.50 per barrel of oil, NGL realizations consistent with prior years and NYMEX gas of $4.00 per mcf. CRC's share of production under PSCs decreases when commodity prices rise and increases when prices fall.</w:t>
      </w:r>
    </w:p>
    <w:p>
      <w:pPr>
        <w:spacing w:after="0" w:line="16" w:lineRule="exact"/>
        <w:rPr>
          <w:sz w:val="20"/>
          <w:szCs w:val="20"/>
          <w:color w:val="auto"/>
        </w:rPr>
      </w:pPr>
    </w:p>
    <w:p>
      <w:pPr>
        <w:ind w:left="120" w:hanging="96"/>
        <w:spacing w:after="0"/>
        <w:tabs>
          <w:tab w:leader="none" w:pos="120" w:val="left"/>
        </w:tabs>
        <w:numPr>
          <w:ilvl w:val="0"/>
          <w:numId w:val="17"/>
        </w:numPr>
        <w:rPr>
          <w:rFonts w:ascii="Arial" w:cs="Arial" w:eastAsia="Arial" w:hAnsi="Arial"/>
          <w:sz w:val="9"/>
          <w:szCs w:val="9"/>
          <w:color w:val="auto"/>
        </w:rPr>
      </w:pPr>
      <w:r>
        <w:rPr>
          <w:rFonts w:ascii="Arial" w:cs="Arial" w:eastAsia="Arial" w:hAnsi="Arial"/>
          <w:sz w:val="14"/>
          <w:szCs w:val="14"/>
          <w:color w:val="auto"/>
        </w:rPr>
        <w:t>CMB expenses include start-up expenditures.</w:t>
      </w:r>
    </w:p>
    <w:p>
      <w:pPr>
        <w:spacing w:after="0" w:line="25" w:lineRule="exact"/>
        <w:rPr>
          <w:sz w:val="20"/>
          <w:szCs w:val="20"/>
          <w:color w:val="auto"/>
        </w:rPr>
      </w:pPr>
    </w:p>
    <w:p>
      <w:pPr>
        <w:ind w:left="120" w:hanging="96"/>
        <w:spacing w:after="0"/>
        <w:tabs>
          <w:tab w:leader="none" w:pos="120" w:val="left"/>
        </w:tabs>
        <w:numPr>
          <w:ilvl w:val="0"/>
          <w:numId w:val="18"/>
        </w:numPr>
        <w:rPr>
          <w:rFonts w:ascii="Arial" w:cs="Arial" w:eastAsia="Arial" w:hAnsi="Arial"/>
          <w:sz w:val="9"/>
          <w:szCs w:val="9"/>
          <w:color w:val="auto"/>
        </w:rPr>
      </w:pPr>
      <w:r>
        <w:rPr>
          <w:rFonts w:ascii="Arial" w:cs="Arial" w:eastAsia="Arial" w:hAnsi="Arial"/>
          <w:sz w:val="14"/>
          <w:szCs w:val="14"/>
          <w:color w:val="auto"/>
        </w:rPr>
        <w:t>2022E E&amp;P Free Cash Flow includes settled ARO liabilities in the range of $60 million - $64 million.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26</w:t>
      </w:r>
    </w:p>
    <w:sectPr>
      <w:pgSz w:w="11900" w:h="16838" w:orient="portrait"/>
      <w:cols w:equalWidth="0" w:num="1">
        <w:col w:w="11100"/>
      </w:cols>
      <w:pgMar w:left="320" w:top="10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bullet"/>
      <w:start w:val="1"/>
    </w:lvl>
  </w:abstractNum>
  <w:abstractNum w:abstractNumId="15">
    <w:nsid w:val="25E45D32"/>
    <w:multiLevelType w:val="hybridMultilevel"/>
    <w:lvl w:ilvl="0">
      <w:lvlJc w:val="left"/>
      <w:lvlText w:val="1"/>
      <w:numFmt w:val="bullet"/>
      <w:start w:val="1"/>
    </w:lvl>
  </w:abstractNum>
  <w:abstractNum w:abstractNumId="16">
    <w:nsid w:val="519B500D"/>
    <w:multiLevelType w:val="hybridMultilevel"/>
    <w:lvl w:ilvl="0">
      <w:lvlJc w:val="left"/>
      <w:lvlText w:val="2"/>
      <w:numFmt w:val="bullet"/>
      <w:start w:val="1"/>
    </w:lvl>
  </w:abstractNum>
  <w:abstractNum w:abstractNumId="17">
    <w:nsid w:val="431BD7B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2022-02-24T08:12:31Z</dcterms:created>
  <dcterms:modified xsi:type="dcterms:W3CDTF">2022-02-24T08:12:31Z</dcterms:modified>
</cp:coreProperties>
</file>