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2760"/>
        <w:spacing w:after="0"/>
        <w:rPr>
          <w:sz w:val="20"/>
          <w:szCs w:val="20"/>
          <w:color w:val="auto"/>
        </w:rPr>
      </w:pPr>
      <w:r>
        <w:rPr>
          <w:rFonts w:ascii="Arial" w:cs="Arial" w:eastAsia="Arial" w:hAnsi="Arial"/>
          <w:sz w:val="18"/>
          <w:szCs w:val="18"/>
          <w:b w:val="1"/>
          <w:bCs w:val="1"/>
          <w:color w:val="auto"/>
        </w:rPr>
        <w:t>As filed with the Securities and Exchange Commission on November 16, 2018</w:t>
      </w:r>
    </w:p>
    <w:p>
      <w:pPr>
        <w:spacing w:after="0" w:line="27" w:lineRule="exact"/>
        <w:rPr>
          <w:sz w:val="24"/>
          <w:szCs w:val="24"/>
          <w:color w:val="auto"/>
        </w:rPr>
      </w:pPr>
    </w:p>
    <w:p>
      <w:pPr>
        <w:ind w:left="91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66040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108585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158750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REGISTRATION STATEMENT</w:t>
      </w:r>
    </w:p>
    <w:p>
      <w:pPr>
        <w:jc w:val="center"/>
        <w:ind w:right="-29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167640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9"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California Resources Corporation*</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176530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2020" w:type="dxa"/>
        <w:tblCellMar>
          <w:top w:w="0" w:type="dxa"/>
          <w:left w:w="0" w:type="dxa"/>
          <w:bottom w:w="0" w:type="dxa"/>
          <w:right w:w="0" w:type="dxa"/>
        </w:tblCellMar>
      </w:tblPr>
      <w:tr>
        <w:trPr>
          <w:trHeight w:val="212"/>
        </w:trPr>
        <w:tc>
          <w:tcPr>
            <w:tcW w:w="3940" w:type="dxa"/>
            <w:vAlign w:val="bottom"/>
          </w:tcPr>
          <w:p>
            <w:pPr>
              <w:jc w:val="center"/>
              <w:ind w:right="1982"/>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center"/>
              <w:ind w:left="1982"/>
              <w:spacing w:after="0"/>
              <w:rPr>
                <w:sz w:val="20"/>
                <w:szCs w:val="20"/>
                <w:color w:val="auto"/>
              </w:rPr>
            </w:pPr>
            <w:r>
              <w:rPr>
                <w:rFonts w:ascii="Arial" w:cs="Arial" w:eastAsia="Arial" w:hAnsi="Arial"/>
                <w:sz w:val="18"/>
                <w:szCs w:val="18"/>
                <w:b w:val="1"/>
                <w:bCs w:val="1"/>
                <w:color w:val="auto"/>
                <w:w w:val="91"/>
              </w:rPr>
              <w:t>46-5670947</w:t>
            </w:r>
          </w:p>
        </w:tc>
      </w:tr>
      <w:tr>
        <w:trPr>
          <w:trHeight w:val="149"/>
        </w:trPr>
        <w:tc>
          <w:tcPr>
            <w:tcW w:w="3940" w:type="dxa"/>
            <w:vAlign w:val="bottom"/>
          </w:tcPr>
          <w:p>
            <w:pPr>
              <w:jc w:val="center"/>
              <w:ind w:right="19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80" w:type="dxa"/>
            <w:vAlign w:val="bottom"/>
          </w:tcPr>
          <w:p>
            <w:pPr>
              <w:jc w:val="center"/>
              <w:ind w:left="19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1982"/>
              <w:spacing w:after="0"/>
              <w:rPr>
                <w:sz w:val="20"/>
                <w:szCs w:val="20"/>
                <w:color w:val="auto"/>
              </w:rPr>
            </w:pPr>
            <w:r>
              <w:rPr>
                <w:rFonts w:ascii="Arial" w:cs="Arial" w:eastAsia="Arial" w:hAnsi="Arial"/>
                <w:sz w:val="14"/>
                <w:szCs w:val="14"/>
                <w:b w:val="1"/>
                <w:bCs w:val="1"/>
                <w:color w:val="auto"/>
                <w:w w:val="94"/>
              </w:rPr>
              <w:t>incorporation or organization)</w:t>
            </w:r>
          </w:p>
        </w:tc>
        <w:tc>
          <w:tcPr>
            <w:tcW w:w="3180" w:type="dxa"/>
            <w:vAlign w:val="bottom"/>
          </w:tcPr>
          <w:p>
            <w:pPr>
              <w:jc w:val="center"/>
              <w:ind w:left="19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2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27200 Tourney Road, Suite 315</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Santa Clarita, California 91355</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(888) 848-4754</w:t>
      </w:r>
    </w:p>
    <w:p>
      <w:pPr>
        <w:spacing w:after="0" w:line="2" w:lineRule="exact"/>
        <w:rPr>
          <w:sz w:val="24"/>
          <w:szCs w:val="24"/>
          <w:color w:val="auto"/>
        </w:rPr>
      </w:pPr>
    </w:p>
    <w:p>
      <w:pPr>
        <w:ind w:left="216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159385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5" w:lineRule="exact"/>
        <w:rPr>
          <w:sz w:val="24"/>
          <w:szCs w:val="24"/>
          <w:color w:val="auto"/>
        </w:rPr>
      </w:pPr>
    </w:p>
    <w:p>
      <w:pPr>
        <w:jc w:val="center"/>
        <w:ind w:right="-299"/>
        <w:spacing w:after="0"/>
        <w:rPr>
          <w:sz w:val="20"/>
          <w:szCs w:val="20"/>
          <w:color w:val="auto"/>
        </w:rPr>
      </w:pPr>
      <w:r>
        <w:rPr>
          <w:rFonts w:ascii="Arial" w:cs="Arial" w:eastAsia="Arial" w:hAnsi="Arial"/>
          <w:sz w:val="17"/>
          <w:szCs w:val="17"/>
          <w:b w:val="1"/>
          <w:bCs w:val="1"/>
          <w:color w:val="auto"/>
        </w:rPr>
        <w:t>Michael L. Preston Executive Vice President, General Counsel and Corporate Secretary 27200 Tourney Road, Suite 315 Santa Clarita,</w:t>
      </w:r>
    </w:p>
    <w:p>
      <w:pPr>
        <w:spacing w:after="0" w:line="3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California 91355</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(888) 848-4754</w:t>
      </w:r>
    </w:p>
    <w:p>
      <w:pPr>
        <w:spacing w:after="0" w:line="2" w:lineRule="exact"/>
        <w:rPr>
          <w:sz w:val="24"/>
          <w:szCs w:val="24"/>
          <w:color w:val="auto"/>
        </w:rPr>
      </w:pPr>
    </w:p>
    <w:p>
      <w:pPr>
        <w:ind w:left="264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159385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i w:val="1"/>
          <w:iCs w:val="1"/>
          <w:color w:val="auto"/>
        </w:rPr>
        <w:t>Copies to:</w:t>
      </w:r>
    </w:p>
    <w:p>
      <w:pPr>
        <w:spacing w:after="0" w:line="7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Sarah K. Morgan</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Vinson &amp; Elkins L.L.P.</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1001 Fannin, Suite 2500</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Houston, Texas 77002-6760</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(713) 758-2222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177165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89"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185" w:lineRule="exact"/>
        <w:rPr>
          <w:sz w:val="24"/>
          <w:szCs w:val="24"/>
          <w:color w:val="auto"/>
        </w:rPr>
      </w:pPr>
    </w:p>
    <w:p>
      <w:pPr>
        <w:ind w:left="200" w:right="30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15" w:lineRule="exact"/>
        <w:rPr>
          <w:sz w:val="24"/>
          <w:szCs w:val="24"/>
          <w:color w:val="auto"/>
        </w:rPr>
      </w:pPr>
    </w:p>
    <w:p>
      <w:pPr>
        <w:ind w:left="20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01" w:lineRule="exact"/>
        <w:rPr>
          <w:sz w:val="24"/>
          <w:szCs w:val="24"/>
          <w:color w:val="auto"/>
        </w:rPr>
      </w:pPr>
    </w:p>
    <w:p>
      <w:pPr>
        <w:ind w:left="20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15" w:lineRule="exact"/>
        <w:rPr>
          <w:sz w:val="24"/>
          <w:szCs w:val="24"/>
          <w:color w:val="auto"/>
        </w:rPr>
      </w:pPr>
    </w:p>
    <w:p>
      <w:pPr>
        <w:ind w:left="200" w:right="2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120"/>
          </w:cols>
          <w:pgMar w:left="240" w:top="230" w:right="5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15" w:lineRule="exact"/>
        <w:rPr>
          <w:sz w:val="20"/>
          <w:szCs w:val="20"/>
          <w:color w:val="auto"/>
        </w:rPr>
      </w:pPr>
    </w:p>
    <w:p>
      <w:pPr>
        <w:ind w:left="200" w:right="24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15"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0"/>
          <w:szCs w:val="20"/>
          <w:color w:val="auto"/>
        </w:rPr>
      </w:pPr>
    </w:p>
    <w:tbl>
      <w:tblPr>
        <w:tblLayout w:type="fixed"/>
        <w:tblInd w:w="20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6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0"/>
          <w:szCs w:val="20"/>
          <w:color w:val="auto"/>
        </w:rPr>
      </w:pPr>
    </w:p>
    <w:p>
      <w:pPr>
        <w:ind w:left="200"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159385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6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98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98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w:t>
            </w:r>
          </w:p>
        </w:tc>
        <w:tc>
          <w:tcPr>
            <w:tcW w:w="17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7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780" w:type="dxa"/>
            <w:vAlign w:val="bottom"/>
            <w:tcBorders>
              <w:right w:val="single" w:sz="8" w:color="auto"/>
            </w:tcBorders>
            <w:vMerge w:val="continue"/>
          </w:tcPr>
          <w:p>
            <w:pPr>
              <w:spacing w:after="0"/>
              <w:rPr>
                <w:sz w:val="12"/>
                <w:szCs w:val="12"/>
                <w:color w:val="auto"/>
              </w:rPr>
            </w:pPr>
          </w:p>
        </w:tc>
        <w:tc>
          <w:tcPr>
            <w:tcW w:w="176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9"/>
              </w:rPr>
              <w:t>Maximum</w:t>
            </w:r>
          </w:p>
        </w:tc>
        <w:tc>
          <w:tcPr>
            <w:tcW w:w="176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9"/>
              </w:rPr>
              <w:t>Maximum</w:t>
            </w:r>
          </w:p>
        </w:tc>
        <w:tc>
          <w:tcPr>
            <w:tcW w:w="17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Borders>
              <w:right w:val="single" w:sz="8" w:color="auto"/>
            </w:tcBorders>
            <w:vMerge w:val="continue"/>
          </w:tcPr>
          <w:p>
            <w:pPr>
              <w:spacing w:after="0"/>
              <w:rPr>
                <w:sz w:val="12"/>
                <w:szCs w:val="12"/>
                <w:color w:val="auto"/>
              </w:rPr>
            </w:pPr>
          </w:p>
        </w:tc>
        <w:tc>
          <w:tcPr>
            <w:tcW w:w="178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9"/>
              </w:rPr>
              <w:t>to be</w:t>
            </w:r>
          </w:p>
        </w:tc>
        <w:tc>
          <w:tcPr>
            <w:tcW w:w="1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Registered(1)</w:t>
            </w:r>
          </w:p>
        </w:tc>
        <w:tc>
          <w:tcPr>
            <w:tcW w:w="178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Registered</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Security</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Offering Price(5)</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Fee(6)</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Debt Securities(2)</w:t>
            </w: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Preferred Stock, par value $0.01 per share(2)</w:t>
            </w: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Common Stock, par value $0.01 per share(2)</w:t>
            </w: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Depositary Shares(2)(3)</w:t>
            </w: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Warrants(2)</w:t>
            </w: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Guarantees of Debt Securities(4)</w:t>
            </w: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40" w:hanging="43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securities registered hereunder may be sold separately or as units with other securities registered hereunder.</w:t>
      </w:r>
    </w:p>
    <w:p>
      <w:pPr>
        <w:spacing w:after="0" w:line="22" w:lineRule="exact"/>
        <w:rPr>
          <w:rFonts w:ascii="Arial" w:cs="Arial" w:eastAsia="Arial" w:hAnsi="Arial"/>
          <w:sz w:val="18"/>
          <w:szCs w:val="18"/>
          <w:color w:val="auto"/>
        </w:rPr>
      </w:pPr>
    </w:p>
    <w:p>
      <w:pPr>
        <w:ind w:left="640" w:right="40" w:hanging="436"/>
        <w:spacing w:after="0" w:line="265" w:lineRule="auto"/>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There is being registered hereunder such indeterminate number or amount of debt securities, preferred stock, common stock, depositary shares and warrants as may from time to time be issued by the registrant at indeterminate prices and as may be issuable upon conversion, redemption, exchange, exercise or settlement of any securities registered hereunder, including under any applicable antidilution provisions.</w:t>
      </w:r>
    </w:p>
    <w:p>
      <w:pPr>
        <w:jc w:val="both"/>
        <w:ind w:left="640" w:right="440" w:hanging="436"/>
        <w:spacing w:after="0" w:line="281" w:lineRule="auto"/>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depositary shares being registered will be evidenced by depositary receipts issued under a depositary agreement. If California Resources Corporation elects to offer fractional interests in shares of preferred stock to the public, depositary receipts will be distributed to the investors purchasing the fractional interests, and the shares will be issued to the depositary under the depositary agreement.</w:t>
      </w:r>
    </w:p>
    <w:p>
      <w:pPr>
        <w:spacing w:after="0" w:line="2" w:lineRule="exact"/>
        <w:rPr>
          <w:rFonts w:ascii="Arial" w:cs="Arial" w:eastAsia="Arial" w:hAnsi="Arial"/>
          <w:sz w:val="16"/>
          <w:szCs w:val="16"/>
          <w:color w:val="auto"/>
        </w:rPr>
      </w:pPr>
    </w:p>
    <w:p>
      <w:pPr>
        <w:ind w:left="640" w:right="100" w:hanging="436"/>
        <w:spacing w:after="0" w:line="250"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Subsidiaries of California Resources Corporation named as co-registrants may fully and unconditionally guarantee on an unsecured basis the debt securities of California Resources Corporation. In accordance with Rule 457(n), no separate fee is payable with respect to the guarantees of debt securities being registered.</w:t>
      </w:r>
    </w:p>
    <w:p>
      <w:pPr>
        <w:spacing w:after="0" w:line="1" w:lineRule="exact"/>
        <w:rPr>
          <w:rFonts w:ascii="Arial" w:cs="Arial" w:eastAsia="Arial" w:hAnsi="Arial"/>
          <w:sz w:val="18"/>
          <w:szCs w:val="18"/>
          <w:color w:val="auto"/>
        </w:rPr>
      </w:pPr>
    </w:p>
    <w:p>
      <w:pPr>
        <w:ind w:left="640" w:right="280" w:hanging="436"/>
        <w:spacing w:after="0" w:line="250"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separate consideration will be received for any securities being registered that are issued in exchange for, or upon conversion or exercise of, the debt securities, preferred stock, depositary shares or warrants being registered hereunder.</w:t>
      </w:r>
    </w:p>
    <w:p>
      <w:pPr>
        <w:ind w:left="640" w:right="600" w:hanging="436"/>
        <w:spacing w:after="0" w:line="261"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reliance on Rule 456(b) and Rule 457(r) under the Securities Act, the registrants hereby defer payment of the registration fee required in connection with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160020</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66" w:lineRule="exact"/>
        <w:rPr>
          <w:sz w:val="20"/>
          <w:szCs w:val="20"/>
          <w:color w:val="auto"/>
        </w:rPr>
      </w:pPr>
    </w:p>
    <w:p>
      <w:pPr>
        <w:ind w:left="200" w:right="120"/>
        <w:spacing w:after="0" w:line="273" w:lineRule="auto"/>
        <w:rPr>
          <w:sz w:val="20"/>
          <w:szCs w:val="20"/>
          <w:color w:val="auto"/>
        </w:rPr>
      </w:pPr>
      <w:r>
        <w:rPr>
          <w:rFonts w:ascii="Arial" w:cs="Arial" w:eastAsia="Arial" w:hAnsi="Arial"/>
          <w:sz w:val="17"/>
          <w:szCs w:val="17"/>
          <w:color w:val="auto"/>
        </w:rPr>
        <w:t>In accordance with Rule 415(a)(6) under the Securities Act of 1933, as amended (the “Securities Act”), this registration statement includes 6,000,000 shares of common stock that were previously registered, but remain unsold, pursuant to the registrant’s prior Registration Statement on Form S-3 (File No. 333-208671), or the prior registration statement. Pursuant to Rule 415(a)(6) under the Securities Act, (i) the registrant will utilize $10,892.00 of the registration fee previously paid with respect to the unsold shares of common stock as an offset against the filing fees hereunder, (ii) no additional registration fee is due with respect to such shares of common stock hereunder and (iii) the offering of common stock on the prior registration statement will be deemed terminated as of the date of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45085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88265</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*ADDITIONAL REGISTRANTS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Exact Name of Additional Registrant as Specified in its Charter(1)</w:t>
            </w:r>
          </w:p>
        </w:tc>
        <w:tc>
          <w:tcPr>
            <w:tcW w:w="5120" w:type="dxa"/>
            <w:vAlign w:val="bottom"/>
            <w:gridSpan w:val="2"/>
          </w:tcPr>
          <w:p>
            <w:pPr>
              <w:jc w:val="center"/>
              <w:ind w:left="3648"/>
              <w:spacing w:after="0"/>
              <w:rPr>
                <w:sz w:val="20"/>
                <w:szCs w:val="20"/>
                <w:color w:val="auto"/>
              </w:rPr>
            </w:pPr>
            <w:r>
              <w:rPr>
                <w:rFonts w:ascii="Arial" w:cs="Arial" w:eastAsia="Arial" w:hAnsi="Arial"/>
                <w:sz w:val="14"/>
                <w:szCs w:val="14"/>
                <w:b w:val="1"/>
                <w:bCs w:val="1"/>
                <w:color w:val="auto"/>
                <w:w w:val="93"/>
              </w:rPr>
              <w:t>State of Incorporation</w:t>
            </w:r>
          </w:p>
        </w:tc>
        <w:tc>
          <w:tcPr>
            <w:tcW w:w="70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IRS Employee</w:t>
            </w:r>
          </w:p>
        </w:tc>
        <w:tc>
          <w:tcPr>
            <w:tcW w:w="0" w:type="dxa"/>
            <w:vAlign w:val="bottom"/>
          </w:tcPr>
          <w:p>
            <w:pPr>
              <w:spacing w:after="0"/>
              <w:rPr>
                <w:sz w:val="1"/>
                <w:szCs w:val="1"/>
                <w:color w:val="auto"/>
              </w:rPr>
            </w:pPr>
          </w:p>
        </w:tc>
      </w:tr>
      <w:tr>
        <w:trPr>
          <w:trHeight w:val="178"/>
        </w:trPr>
        <w:tc>
          <w:tcPr>
            <w:tcW w:w="4080" w:type="dxa"/>
            <w:vAlign w:val="bottom"/>
            <w:gridSpan w:val="2"/>
            <w:vMerge w:val="continue"/>
          </w:tcPr>
          <w:p>
            <w:pPr>
              <w:spacing w:after="0"/>
              <w:rPr>
                <w:sz w:val="15"/>
                <w:szCs w:val="15"/>
                <w:color w:val="auto"/>
              </w:rPr>
            </w:pPr>
          </w:p>
        </w:tc>
        <w:tc>
          <w:tcPr>
            <w:tcW w:w="3740" w:type="dxa"/>
            <w:vAlign w:val="bottom"/>
          </w:tcPr>
          <w:p>
            <w:pPr>
              <w:spacing w:after="0"/>
              <w:rPr>
                <w:sz w:val="15"/>
                <w:szCs w:val="15"/>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or Organization</w:t>
            </w:r>
          </w:p>
        </w:tc>
        <w:tc>
          <w:tcPr>
            <w:tcW w:w="1840" w:type="dxa"/>
            <w:vAlign w:val="bottom"/>
            <w:gridSpan w:val="3"/>
          </w:tcPr>
          <w:p>
            <w:pPr>
              <w:jc w:val="right"/>
              <w:ind w:right="80"/>
              <w:spacing w:after="0" w:line="158" w:lineRule="exact"/>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California Heavy Oil, Inc.</w:t>
            </w:r>
          </w:p>
        </w:tc>
        <w:tc>
          <w:tcPr>
            <w:tcW w:w="37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Delaware</w:t>
            </w:r>
          </w:p>
        </w:tc>
        <w:tc>
          <w:tcPr>
            <w:tcW w:w="7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98-0234630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California Resources Coles Levee, LLC</w:t>
            </w:r>
          </w:p>
        </w:tc>
        <w:tc>
          <w:tcPr>
            <w:tcW w:w="37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36-4822087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California Resources Coles Levee, L.P.</w:t>
            </w:r>
          </w:p>
        </w:tc>
        <w:tc>
          <w:tcPr>
            <w:tcW w:w="37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36-4822995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California Resources Elk Hills, LLC</w:t>
            </w:r>
          </w:p>
        </w:tc>
        <w:tc>
          <w:tcPr>
            <w:tcW w:w="37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95-4657310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California Resources Long Beach, Inc.</w:t>
            </w:r>
          </w:p>
        </w:tc>
        <w:tc>
          <w:tcPr>
            <w:tcW w:w="37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95-4236046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California Resources Petroleum Corporation</w:t>
            </w:r>
          </w:p>
        </w:tc>
        <w:tc>
          <w:tcPr>
            <w:tcW w:w="37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30-0339218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California Resources Production Corporation</w:t>
            </w:r>
          </w:p>
        </w:tc>
        <w:tc>
          <w:tcPr>
            <w:tcW w:w="37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77-0535342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California Resources Real Estate Ventures, LLC</w:t>
            </w:r>
          </w:p>
        </w:tc>
        <w:tc>
          <w:tcPr>
            <w:tcW w:w="37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38-4066931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California Resources Tidelands, Inc.</w:t>
            </w:r>
          </w:p>
        </w:tc>
        <w:tc>
          <w:tcPr>
            <w:tcW w:w="37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20-4110192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California Resources Wilmington, LLC</w:t>
            </w:r>
          </w:p>
        </w:tc>
        <w:tc>
          <w:tcPr>
            <w:tcW w:w="37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20-4110263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CRC Construction Services, LLC</w:t>
            </w:r>
          </w:p>
        </w:tc>
        <w:tc>
          <w:tcPr>
            <w:tcW w:w="37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47-3127030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CRC Marketing, Inc.</w:t>
            </w:r>
          </w:p>
        </w:tc>
        <w:tc>
          <w:tcPr>
            <w:tcW w:w="37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46-5660941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CRC Services, LLC</w:t>
            </w:r>
          </w:p>
        </w:tc>
        <w:tc>
          <w:tcPr>
            <w:tcW w:w="37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46-5676989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Socal Holding, LLC</w:t>
            </w:r>
          </w:p>
        </w:tc>
        <w:tc>
          <w:tcPr>
            <w:tcW w:w="37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46-5693524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Southern San Joaquin Production, Inc.</w:t>
            </w:r>
          </w:p>
        </w:tc>
        <w:tc>
          <w:tcPr>
            <w:tcW w:w="37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37-1694423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Thums Long Beach Company</w:t>
            </w:r>
          </w:p>
        </w:tc>
        <w:tc>
          <w:tcPr>
            <w:tcW w:w="37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95-2381774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Tidelands Oil Production Company</w:t>
            </w:r>
          </w:p>
        </w:tc>
        <w:tc>
          <w:tcPr>
            <w:tcW w:w="37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Texas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33-0335764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680" w:hanging="436"/>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for each additional registrant is 27200 Tourney Road, Suite 315, Santa Clarita, CA 91355, and the telephone number for each additional registrant is (888) 848-4754.</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California Resources Corporation</w:t>
      </w:r>
    </w:p>
    <w:p>
      <w:pPr>
        <w:spacing w:after="0" w:line="242"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Depositary Shares</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Warrants</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Guarantees of Debt Securities of California Resources Corporation by:</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California Heavy Oil, Inc.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California Resources Coles Levee, LLC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California Resources Coles Levee, L.P.</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California Resources Elk Hills, LLC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California Resources Long Beach, Inc.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California Resources Petroleum Corporation</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California Resources Production Corporation</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California Resources Tidelands, Inc.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California Resources Wilmington, LLC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California Resources Real Estate Ventures, LLC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CRC Construction Services, LLC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CRC Marketing, Inc.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CRC Services, LLC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Socal Holding, LLC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Southern San Joaquin Production, Inc.</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Thums Long Beach Company</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Tidelands Oil Production Company</w:t>
      </w:r>
    </w:p>
    <w:p>
      <w:pPr>
        <w:spacing w:after="0" w:line="211" w:lineRule="exact"/>
        <w:rPr>
          <w:sz w:val="20"/>
          <w:szCs w:val="20"/>
          <w:color w:val="auto"/>
        </w:rPr>
      </w:pPr>
    </w:p>
    <w:p>
      <w:pPr>
        <w:ind w:left="200" w:firstLine="331"/>
        <w:spacing w:after="0" w:line="293" w:lineRule="auto"/>
        <w:rPr>
          <w:sz w:val="20"/>
          <w:szCs w:val="20"/>
          <w:color w:val="auto"/>
        </w:rPr>
      </w:pPr>
      <w:r>
        <w:rPr>
          <w:rFonts w:ascii="Arial" w:cs="Arial" w:eastAsia="Arial" w:hAnsi="Arial"/>
          <w:sz w:val="16"/>
          <w:szCs w:val="16"/>
          <w:color w:val="auto"/>
        </w:rPr>
        <w:t>We may offer and sell the securities listed above from time to time in one or more offerings of one or more classes or series. Any debt securities we offer pursuant to this prospectus may be fully and unconditionally guaranteed by certain of our subsidiaries.</w:t>
      </w:r>
    </w:p>
    <w:p>
      <w:pPr>
        <w:spacing w:after="0" w:line="172" w:lineRule="exact"/>
        <w:rPr>
          <w:sz w:val="20"/>
          <w:szCs w:val="20"/>
          <w:color w:val="auto"/>
        </w:rPr>
      </w:pPr>
    </w:p>
    <w:p>
      <w:pPr>
        <w:ind w:left="200" w:right="20" w:firstLine="331"/>
        <w:spacing w:after="0" w:line="297" w:lineRule="auto"/>
        <w:rPr>
          <w:sz w:val="20"/>
          <w:szCs w:val="20"/>
          <w:color w:val="auto"/>
        </w:rPr>
      </w:pPr>
      <w:r>
        <w:rPr>
          <w:rFonts w:ascii="Arial" w:cs="Arial" w:eastAsia="Arial" w:hAnsi="Arial"/>
          <w:sz w:val="15"/>
          <w:szCs w:val="15"/>
          <w:color w:val="auto"/>
        </w:rPr>
        <w:t>This prospectus provides you with a general description of the securities that may be offered. Each time securities are offered, we will provide a prospectus supplement and attach it to this prospectus. The prospectus supplement will contain more specific information about the offering and the terms of the securities being offered, including any guarantees by our subsidiaries. A prospectus supplement may also add, update or change information contained in this prospectus. This prospectus may not be used to offer or sell securities without a prospectus supplement describing the method and terms of the offering.</w:t>
      </w:r>
    </w:p>
    <w:p>
      <w:pPr>
        <w:spacing w:after="0" w:line="173" w:lineRule="exact"/>
        <w:rPr>
          <w:sz w:val="20"/>
          <w:szCs w:val="20"/>
          <w:color w:val="auto"/>
        </w:rPr>
      </w:pPr>
    </w:p>
    <w:p>
      <w:pPr>
        <w:ind w:left="200" w:right="280" w:firstLine="331"/>
        <w:spacing w:after="0" w:line="324" w:lineRule="auto"/>
        <w:rPr>
          <w:sz w:val="20"/>
          <w:szCs w:val="20"/>
          <w:color w:val="auto"/>
        </w:rPr>
      </w:pPr>
      <w:r>
        <w:rPr>
          <w:rFonts w:ascii="Arial" w:cs="Arial" w:eastAsia="Arial" w:hAnsi="Arial"/>
          <w:sz w:val="14"/>
          <w:szCs w:val="14"/>
          <w:color w:val="auto"/>
        </w:rPr>
        <w:t>We may sell these securities directly or through agents, underwriters or dealers, or through a combination of these methods. See “Plan of Distribution.” The prospectus supplement will list any agents, underwriters or dealers that may be involved and the compensation they will receive. The prospectus supplement will also show you the total amount of money that we will receive from selling the securities being offered, after the expenses of the offering. You should carefully read this prospectus and any accompanying prospectus supplement, together with the documents we incorporate by reference, before you invest in any of our securities.</w:t>
      </w:r>
    </w:p>
    <w:p>
      <w:pPr>
        <w:spacing w:after="0" w:line="144" w:lineRule="exact"/>
        <w:rPr>
          <w:sz w:val="20"/>
          <w:szCs w:val="20"/>
          <w:color w:val="auto"/>
        </w:rPr>
      </w:pPr>
    </w:p>
    <w:p>
      <w:pPr>
        <w:jc w:val="both"/>
        <w:ind w:left="200" w:right="80" w:firstLine="441"/>
        <w:spacing w:after="0" w:line="273"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any of our securities involves risk. Please read carefully the information included and incorporated by reference in this prospectus and in any applicable prospectus supplement for a discussion of the factors you should consider before deciding to purchase our securities. See “</w:t>
      </w:r>
      <w:hyperlink w:anchor="page11">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6 of this prospectus.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Our common stock is listed on the New York Stock Exchange under the symbol “CRC.”</w:t>
      </w:r>
    </w:p>
    <w:p>
      <w:pPr>
        <w:spacing w:after="0" w:line="231" w:lineRule="exact"/>
        <w:rPr>
          <w:sz w:val="20"/>
          <w:szCs w:val="20"/>
          <w:color w:val="auto"/>
        </w:rPr>
      </w:pPr>
    </w:p>
    <w:p>
      <w:pPr>
        <w:ind w:left="200" w:right="40" w:firstLine="331"/>
        <w:spacing w:after="0" w:line="298"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This prospectus is dated November 16, 2018.</w:t>
      </w:r>
    </w:p>
    <w:p>
      <w:pPr>
        <w:sectPr>
          <w:pgSz w:w="11900" w:h="16838" w:orient="portrait"/>
          <w:cols w:equalWidth="0" w:num="1">
            <w:col w:w="11220"/>
          </w:cols>
          <w:pgMar w:left="240" w:top="459"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840" w:type="dxa"/>
            <w:vAlign w:val="bottom"/>
            <w:gridSpan w:val="16"/>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234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20" w:type="dxa"/>
            <w:vAlign w:val="bottom"/>
            <w:gridSpan w:val="2"/>
          </w:tcPr>
          <w:p>
            <w:pPr>
              <w:ind w:left="74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22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ABOUT THIS PROSPECTUS</w:t>
              </w:r>
            </w:hyperlink>
          </w:p>
        </w:tc>
        <w:tc>
          <w:tcPr>
            <w:tcW w:w="6400" w:type="dxa"/>
            <w:vAlign w:val="bottom"/>
            <w:gridSpan w:val="7"/>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WHERE YOU CAN FIND MORE INFORMATION</w:t>
              </w:r>
            </w:hyperlink>
          </w:p>
        </w:tc>
        <w:tc>
          <w:tcPr>
            <w:tcW w:w="482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8640" w:type="dxa"/>
            <w:vAlign w:val="bottom"/>
            <w:gridSpan w:val="1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CAUTIONARY STATEMENT REGARDING FORWARD-LOOKING STATEMENTS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00" w:type="dxa"/>
            <w:vAlign w:val="bottom"/>
          </w:tcPr>
          <w:p>
            <w:pPr>
              <w:spacing w:after="0"/>
              <w:rPr>
                <w:sz w:val="17"/>
                <w:szCs w:val="17"/>
                <w:color w:val="auto"/>
              </w:rPr>
            </w:pPr>
          </w:p>
        </w:tc>
        <w:tc>
          <w:tcPr>
            <w:tcW w:w="6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THE COMPANY</w:t>
              </w:r>
            </w:hyperlink>
          </w:p>
        </w:tc>
        <w:tc>
          <w:tcPr>
            <w:tcW w:w="230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RISK FACTORS</w:t>
              </w:r>
            </w:hyperlink>
          </w:p>
        </w:tc>
        <w:tc>
          <w:tcPr>
            <w:tcW w:w="20" w:type="dxa"/>
            <w:vAlign w:val="bottom"/>
            <w:tcBorders>
              <w:top w:val="single" w:sz="8" w:color="0000EE"/>
            </w:tcBorders>
          </w:tcPr>
          <w:p>
            <w:pPr>
              <w:spacing w:after="0"/>
              <w:rPr>
                <w:sz w:val="17"/>
                <w:szCs w:val="17"/>
                <w:color w:val="auto"/>
              </w:rPr>
            </w:pPr>
          </w:p>
        </w:tc>
        <w:tc>
          <w:tcPr>
            <w:tcW w:w="7360" w:type="dxa"/>
            <w:vAlign w:val="bottom"/>
            <w:gridSpan w:val="11"/>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8640" w:type="dxa"/>
            <w:vAlign w:val="bottom"/>
            <w:gridSpan w:val="1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640" w:type="dxa"/>
            <w:vAlign w:val="bottom"/>
            <w:gridSpan w:val="1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DEBT SECURITIES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DESCRIPTION OF CAPITAL STOCK</w:t>
              </w:r>
            </w:hyperlink>
          </w:p>
        </w:tc>
        <w:tc>
          <w:tcPr>
            <w:tcW w:w="140" w:type="dxa"/>
            <w:vAlign w:val="bottom"/>
            <w:tcBorders>
              <w:top w:val="single" w:sz="8" w:color="0000EE"/>
            </w:tcBorders>
          </w:tcPr>
          <w:p>
            <w:pPr>
              <w:spacing w:after="0"/>
              <w:rPr>
                <w:sz w:val="17"/>
                <w:szCs w:val="17"/>
                <w:color w:val="auto"/>
              </w:rPr>
            </w:pPr>
          </w:p>
        </w:tc>
        <w:tc>
          <w:tcPr>
            <w:tcW w:w="562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0" w:type="dxa"/>
            <w:vAlign w:val="bottom"/>
          </w:tcPr>
          <w:p>
            <w:pPr>
              <w:spacing w:after="0"/>
              <w:rPr>
                <w:sz w:val="17"/>
                <w:szCs w:val="17"/>
                <w:color w:val="auto"/>
              </w:rPr>
            </w:pPr>
          </w:p>
        </w:tc>
        <w:tc>
          <w:tcPr>
            <w:tcW w:w="8640" w:type="dxa"/>
            <w:vAlign w:val="bottom"/>
            <w:gridSpan w:val="1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DEPOSITARY SHARES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00" w:type="dxa"/>
            <w:vAlign w:val="bottom"/>
          </w:tcPr>
          <w:p>
            <w:pPr>
              <w:spacing w:after="0"/>
              <w:rPr>
                <w:sz w:val="17"/>
                <w:szCs w:val="17"/>
                <w:color w:val="auto"/>
              </w:rPr>
            </w:pPr>
          </w:p>
        </w:tc>
        <w:tc>
          <w:tcPr>
            <w:tcW w:w="33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WARRANTS</w:t>
              </w:r>
            </w:hyperlink>
          </w:p>
        </w:tc>
        <w:tc>
          <w:tcPr>
            <w:tcW w:w="532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0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PLAN OF DISTRIBUTION</w:t>
              </w:r>
            </w:hyperlink>
          </w:p>
        </w:tc>
        <w:tc>
          <w:tcPr>
            <w:tcW w:w="420" w:type="dxa"/>
            <w:vAlign w:val="bottom"/>
            <w:tcBorders>
              <w:top w:val="single" w:sz="8" w:color="0000EE"/>
            </w:tcBorders>
            <w:gridSpan w:val="2"/>
          </w:tcPr>
          <w:p>
            <w:pPr>
              <w:spacing w:after="0"/>
              <w:rPr>
                <w:sz w:val="17"/>
                <w:szCs w:val="17"/>
                <w:color w:val="auto"/>
              </w:rPr>
            </w:pPr>
          </w:p>
        </w:tc>
        <w:tc>
          <w:tcPr>
            <w:tcW w:w="616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0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LEGAL MATTERS</w:t>
              </w:r>
            </w:hyperlink>
          </w:p>
        </w:tc>
        <w:tc>
          <w:tcPr>
            <w:tcW w:w="7180" w:type="dxa"/>
            <w:vAlign w:val="bottom"/>
            <w:gridSpan w:val="1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EXPERTS</w:t>
              </w:r>
            </w:hyperlink>
          </w:p>
        </w:tc>
        <w:tc>
          <w:tcPr>
            <w:tcW w:w="7860" w:type="dxa"/>
            <w:vAlign w:val="bottom"/>
            <w:gridSpan w:val="1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right="100" w:firstLine="441"/>
        <w:spacing w:after="0" w:line="271" w:lineRule="auto"/>
        <w:rPr>
          <w:sz w:val="20"/>
          <w:szCs w:val="20"/>
          <w:color w:val="auto"/>
        </w:rPr>
      </w:pPr>
      <w:r>
        <w:rPr>
          <w:rFonts w:ascii="Arial" w:cs="Arial" w:eastAsia="Arial" w:hAnsi="Arial"/>
          <w:sz w:val="17"/>
          <w:szCs w:val="17"/>
          <w:color w:val="auto"/>
        </w:rPr>
        <w:t>You should rely only on the information contained in or incorporated by reference into this prospectus and any prospectus supplement. We have not authorized any dealer, salesman or other person to provide you with additional or different information. If anyone provides you with different or inconsistent information, you should not rely on it. This prospectus and any prospectus supplement are not an offer to sell or the solicitation of an offer to buy any securities other than the securities to which they relate and are not an offer to sell or the solicitation of an offer to buy securities in any jurisdiction to any person to whom it is unlawful to make an offer or solicitation in that jurisdiction.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46"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(the “SEC”), using a “shelf” registration process. Under this shelf registration process, we may offer and sell any combination of the securities described in this prospectus in one or more offerings. This prospectus provides you with a general description of the securities we may offer. Each time we sell securities, we will provide you with a prospectus supplement that will contain specific information about the terms of the offering and the offered securities. The prospectus supplement may also add, update or change information contained in this prospectus. Any statement that we make in this prospectus will be modified or superseded by any inconsistent statement made by us in a prospectus supplement.</w:t>
      </w:r>
    </w:p>
    <w:p>
      <w:pPr>
        <w:spacing w:after="0" w:line="178"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Additional information, including our financial statements and the notes thereto, is incorporated in this prospectus by reference to our reports filed with the SEC. Please read “Where You Can Find More Information” below. You are urged to read this prospectus carefully, including “Risk Factors,” any prospectus supplement and the documents incorporated by reference in their entirety before investing in our securities.</w:t>
      </w:r>
    </w:p>
    <w:p>
      <w:pPr>
        <w:spacing w:after="0" w:line="166"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Unless the context requires otherwise or unless otherwise noted, all references in this prospectus or any accompanying prospectus supplement to “CRC,” the “Company,” “we,” “us” or “our” are to California Resources Corporation and its subsidiaries.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We file annual, quarterly and current reports and other information with the SEC (File No. 001-36478) pursuant to the Securities Exchange Act of 1934 (the “Exchange Act”). You may read and copy any documents that are filed at the SEC’s public reference room at 100 F Street, N.E., Washington, D.C. 20549. You may also obtain copies of these documents at prescribed rates from the public reference section of the SEC at its Washington address. Please call the SEC at 1-800-SEC-0330 for further information.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Our filings are also available to the public through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25"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SEC allows us to “incorporate by reference” information that we file with it, which means that we can disclose important information to you by referring you to documents previously filed with the SEC. The information incorporated by reference is an important part of this prospectus, and the information that we later file with the SEC will automatically update and supersede this information. The following documents that we filed with the SEC pursuant to the Exchange Act are incorporated herein by reference:</w:t>
      </w:r>
    </w:p>
    <w:p>
      <w:pPr>
        <w:spacing w:after="0" w:line="92" w:lineRule="exact"/>
        <w:rPr>
          <w:sz w:val="20"/>
          <w:szCs w:val="20"/>
          <w:color w:val="auto"/>
        </w:rPr>
      </w:pPr>
    </w:p>
    <w:p>
      <w:pPr>
        <w:ind w:left="1060" w:right="140" w:hanging="316"/>
        <w:spacing w:after="0" w:line="34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Annual Report on Form 10-K for the year ended December 31, 2017, including information specifically incorporated by reference into such Annual Report on Form 10-K from our Proxy Statement for our 2018 Annual Meeting of Stockholders filed on March 27, 2018;</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Reports on Form 10-Q for the quarterly periods ended March 31, 2018, June 30, 2018 and September 30, 2018;</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Reports on Form 8-K or Form 8-K/A filed on January 19, 2018, February 7, 2018, April 9, 2018, April 11, 2018, May 14, 2018, August 24, 2018 and September 18, 2018; and</w:t>
      </w:r>
    </w:p>
    <w:p>
      <w:pPr>
        <w:spacing w:after="0" w:line="75" w:lineRule="exact"/>
        <w:rPr>
          <w:rFonts w:ascii="Arial" w:cs="Arial" w:eastAsia="Arial" w:hAnsi="Arial"/>
          <w:sz w:val="18"/>
          <w:szCs w:val="18"/>
          <w:color w:val="auto"/>
        </w:rPr>
      </w:pPr>
    </w:p>
    <w:p>
      <w:pPr>
        <w:ind w:left="1060" w:right="140" w:hanging="31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our capital stock contained in our information statement on Form 10 filed on October 8, 2014, including any amendment to that form that we may file in the future for the purpose of updating the description of our capital stock.</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reports contain important information about us, our financial condition and our results of operations.</w:t>
      </w:r>
    </w:p>
    <w:p>
      <w:pPr>
        <w:spacing w:after="0" w:line="225"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All documents subsequently filed pursuant to Sections 13(a), 13(c), 14 or 15(d) of the Exchange Act (excluding any information furnished pursuant to Item 2.02 or Item 7.01 on any Current Report on Form 8-K)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before the termination of each offering under this prospectus shall be deemed to be incorporated in this prospectus by reference and to be a part hereof from the date of filing of such documents. Any statement contained herein, or in a document incorporated or deemed to be incorporated by reference herein, shall be deemed to be modified or superseded for purposes of this prospectus to the extent that a statement contained herein modifies or supersedes such statement.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 and telephone number:</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California Resources Corporation</w:t>
      </w:r>
    </w:p>
    <w:p>
      <w:pPr>
        <w:spacing w:after="0" w:line="2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27200 Tourney Road, Suite 315</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Santa Clarita, CA 91355 Phone: (888) 848-4754</w:t>
      </w:r>
    </w:p>
    <w:p>
      <w:pPr>
        <w:spacing w:after="0" w:line="1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information in this prospectus, including the documents incorporated by reference herein, includes “forward-looking statements.” The factors identified in this cautionary statement are important factors (but not necessarily all of the important factors) that could cause actual results to differ materially from those expressed in any forward-looking statement made by us, or on our behalf. You can typically identify “forward-looking statements” by the use of words such as “aim,” “anticipate,” “believe,” “continue,” “could,” “estimate,” “expect,” “goal,” “intend,” “likely,” “may,” “might,” “plan,” “potential,” “project,” “seek,” “should,” “target,” “will” or “would” and other similar words. Such statements specifically include expectations as to our future financial position, liquidity, cash flows and results of operations, business prospects, transactions and projects, operating costs, value creation index metrics (which are based on certain estimates including future rates, costs and commodity prices), operations and operational results including production, hedging and capital investment, budgets and maintenance capital requirements and reserves. 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When considering forward-looking statements, you should keep in mind the risk factors and other cautionary statements described under the heading “Risk Factors” included in this prospectus.</w:t>
      </w:r>
    </w:p>
    <w:p>
      <w:pPr>
        <w:spacing w:after="0" w:line="18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Factors (but not necessarily all of the factors) that could cause actual results to differ materially from those expressed in any forward-looking statement made by, or on behalf of, our company include:</w:t>
      </w:r>
    </w:p>
    <w:p>
      <w:pPr>
        <w:spacing w:after="0" w:line="76" w:lineRule="exact"/>
        <w:rPr>
          <w:sz w:val="20"/>
          <w:szCs w:val="20"/>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commodity price changes;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 limitations on its financial flexibility;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debt repurchases or changes to our capital plan;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enter desirable transactions, including acquisitions, asset sales and joint ventures;</w:t>
      </w:r>
    </w:p>
    <w:p>
      <w:pPr>
        <w:spacing w:after="0" w:line="130" w:lineRule="exact"/>
        <w:rPr>
          <w:rFonts w:ascii="Arial" w:cs="Arial" w:eastAsia="Arial" w:hAnsi="Arial"/>
          <w:sz w:val="18"/>
          <w:szCs w:val="18"/>
          <w:color w:val="auto"/>
        </w:rPr>
      </w:pPr>
    </w:p>
    <w:p>
      <w:pPr>
        <w:ind w:left="1060" w:right="20" w:hanging="316"/>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its products;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joint venture and acquisition activities and our ability to achieve expected synergies;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business strategy;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PSC effects on production and unit production costs;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 of stock price on costs associated with incentive compensation;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insufficient capital, including as a result of lender restrictions, unavailability of capital markets or inability to attract potential investors;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joint ventures or acquisitions, or higher-than-expected decline rates;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6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due to accidents, mechanical failures, transportation or storage constraints, natural disasters, labor difficulties, cyber-attacks or other catastrophic events.</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Readers are cautioned not to place undue reliance on forward-looking statements, which speak only as of the date they are made. Unless legally required, we undertake no responsibility to publicly release the result of any revision of our forward-looking statements after the date they are made. Should one or more of the risks or uncertainties described in this prospectus or the documents incorporated by reference herein occur, or should underlying assumptions prove incorrect, our actual results and plans could differ materially from those expressed in any forward-looking statements. All forward-looking statements, expressed or implied, included in this prospectus and incorporated by reference herein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are an independent oil and natural gas exploration and production company operating properties within California. We are the largest oil and gas producer in California on a gross operated basis and we believe we have the largest privately held mineral acreage position in the state, consisting of approximately 2.3 million net mineral acres spanning the state’s four major oil and gas basins. We produced approximately 136 thousand barrels of oil equivalent per day (MBoe/d) for the three months ended September 30, 2018. As of December 31, 2017, we had net proved reserves of 618 million barrels of oil equivalent (MMBoe), of which approximately 71% was categorized as proved developed reserves. Oil represented 72% of our proved reserves. We were formed in April 2014 and listed on the New York Stock Exchange on December 1, 2014.</w:t>
      </w:r>
    </w:p>
    <w:p>
      <w:pPr>
        <w:spacing w:after="0" w:line="17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Our principal executive offices are located at 27200 Tourney Road, Suite 315, Santa Clarita, CA 91355. Our telephone number is (888) 848-4754. Our website is located at www.crc.com. Unless indicated otherwise, no information is incorporated herein by reference from our website or any other website and no website constitutes a part of this prospectus. Our common stock is listed on the NYSE under the symbol “CRC.”</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An investment in our securities involves a significant degree of risk. Before you invest in our securities you should carefully consider those risk factors included in our most recent Annual Report on Form 10-K, any subsequently filed Quarterly Reports on Form 10-Q and any subsequently filed Current Reports on Form 8-K, which are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securities. If any of the risks discussed in the foregoing documents were to occur, our business, financial condition, results of operations and cash flows could be materially adversely affected. Please read “Cautionary Statement Regarding Forward-Looking Statements.”</w:t>
      </w:r>
    </w:p>
    <w:p>
      <w:pPr>
        <w:spacing w:after="0" w:line="12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240" w:top="459" w:right="5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Except as may otherwise be stated in any prospectus supplement, we intend to use the net proceeds from any sales of securities by us under this prospectus for general corporate purposes, which may include, among other things, repayment or refinancing of borrowings, working capital, capital expenditures, investments and acquisitions. Pending any specific application, we may initially invest funds in short-term marketable securities or apply them to repayments of outstanding indebtedness.</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240" w:top="459" w:right="5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debt securities will be either our senior debt securities (“Senior Debt Securities”) or our subordinated debt securities (“Subordinated Debt Securities,” and together with the Senior Debt Securities, “Debt Securities”). The Senior Debt Securities and the Subordinated Debt Securities will be issued under separate indentures among us, the Subsidiary Guarantors (as defined below) of such Debt Securities, if any, and a trustee to be determined (the “Trustee”). Senior Debt Securities will be issued under a “Senior Indenture” and Subordinated Debt Securities will be issued under a “Subordinated Indenture.” Together, the Senior Indenture and the Subordinated Indenture are called “Indentures.”</w:t>
      </w:r>
    </w:p>
    <w:p>
      <w:pPr>
        <w:spacing w:after="0" w:line="173" w:lineRule="exact"/>
        <w:rPr>
          <w:sz w:val="20"/>
          <w:szCs w:val="20"/>
          <w:color w:val="auto"/>
        </w:rPr>
      </w:pPr>
    </w:p>
    <w:p>
      <w:pPr>
        <w:jc w:val="both"/>
        <w:ind w:left="200" w:right="340" w:firstLine="441"/>
        <w:spacing w:after="0" w:line="277" w:lineRule="auto"/>
        <w:rPr>
          <w:sz w:val="20"/>
          <w:szCs w:val="20"/>
          <w:color w:val="auto"/>
        </w:rPr>
      </w:pPr>
      <w:r>
        <w:rPr>
          <w:rFonts w:ascii="Arial" w:cs="Arial" w:eastAsia="Arial" w:hAnsi="Arial"/>
          <w:sz w:val="18"/>
          <w:szCs w:val="18"/>
          <w:color w:val="auto"/>
        </w:rPr>
        <w:t>The Debt Securities may be issued from time to time in one or more series. The particular terms of each series that are offered by a prospectus supplement will be described in the prospectus supplement.</w:t>
      </w:r>
    </w:p>
    <w:p>
      <w:pPr>
        <w:spacing w:after="0" w:line="170" w:lineRule="exact"/>
        <w:rPr>
          <w:sz w:val="20"/>
          <w:szCs w:val="20"/>
          <w:color w:val="auto"/>
        </w:rPr>
      </w:pPr>
    </w:p>
    <w:p>
      <w:pPr>
        <w:jc w:val="both"/>
        <w:ind w:left="200" w:right="320" w:firstLine="441"/>
        <w:spacing w:after="0" w:line="286" w:lineRule="auto"/>
        <w:rPr>
          <w:sz w:val="20"/>
          <w:szCs w:val="20"/>
          <w:color w:val="auto"/>
        </w:rPr>
      </w:pPr>
      <w:r>
        <w:rPr>
          <w:rFonts w:ascii="Arial" w:cs="Arial" w:eastAsia="Arial" w:hAnsi="Arial"/>
          <w:sz w:val="17"/>
          <w:szCs w:val="17"/>
          <w:color w:val="auto"/>
        </w:rPr>
        <w:t>Unless the Debt Securities are guaranteed by our subsidiaries as described below, the rights of CRC and our creditors, including holders of the Debt Securities, to participate in the assets of any subsidiary upon the latter’s liquidation or reorganization, will be subject to the prior claims of the subsidiary’s creditors, except to the extent that we may ourself be a creditor with recognized claims against such subsidiary.</w:t>
      </w:r>
    </w:p>
    <w:p>
      <w:pPr>
        <w:spacing w:after="0" w:line="166"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We have summarized selected provisions of the Indentures below. The summary is not complete. The form of each Indenture has been filed with the SEC as an exhibit to the registration statement of which this prospectus is a part, and you should read the Indentures for provisions that may be important to you. Capitalized terms used in the below summary but not otherwise defined herein have the meanings specified in the Indentures.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500" w:firstLine="441"/>
        <w:spacing w:after="0" w:line="259" w:lineRule="auto"/>
        <w:rPr>
          <w:sz w:val="20"/>
          <w:szCs w:val="20"/>
          <w:color w:val="auto"/>
        </w:rPr>
      </w:pPr>
      <w:r>
        <w:rPr>
          <w:rFonts w:ascii="Arial" w:cs="Arial" w:eastAsia="Arial" w:hAnsi="Arial"/>
          <w:sz w:val="18"/>
          <w:szCs w:val="18"/>
          <w:color w:val="auto"/>
        </w:rPr>
        <w:t>The Indentures provide that Debt Securities in separate series may be issued thereunder from time to time without limitation as to aggregate principal amount. We may specify a maximum aggregate principal amount for the Debt Securities of any series. We will determine the terms and conditions of the Debt Securities, including the maturity, principal and interest, but those terms must be consistent with the Indentures. The Debt Securities will be our unsecured obligations.</w:t>
      </w:r>
    </w:p>
    <w:p>
      <w:pPr>
        <w:spacing w:after="0" w:line="18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The Subordinated Debt Securities will be subordinated in right of payment to the prior payment in full of all of our Senior Debt (as defined in the Subordinated Indenture) as described under “— Subordination of Subordinated Debt Securities” and in the prospectus supplement applicable to any Subordinated Debt Securities. If the prospectus supplement so indicates, the Debt Securities will be convertible into our common stock.</w:t>
      </w:r>
    </w:p>
    <w:p>
      <w:pPr>
        <w:spacing w:after="0" w:line="166"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If specified in the prospectus supplement respecting a particular series of Debt Securities, certain of our subsidiaries named herein (each a “Subsidiary Guarantor”) will fully and unconditionally guarantee (the “Subsidiary Guarantee”) that series as described in the prospectus supplement. Each Subsidiary Guarantee will be an unsecured obligation of the Subsidiary Guarantor. A Subsidiary Guarantee of Subordinated Debt Securities will be subordinated to the Senior Debt of the Subsidiary Guarantor on the same basis as the Subordinated Debt Securities are subordinated to our Senior Debt.</w:t>
      </w:r>
    </w:p>
    <w:p>
      <w:pPr>
        <w:spacing w:after="0" w:line="15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applicable prospectus supplement will set forth the price or prices at which the Debt Securities to be issued will be offered for sale and will describe the following terms of such Debt Securities:</w:t>
      </w:r>
    </w:p>
    <w:p>
      <w:pPr>
        <w:spacing w:after="0" w:line="76" w:lineRule="exact"/>
        <w:rPr>
          <w:sz w:val="20"/>
          <w:szCs w:val="20"/>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30"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are Senior Debt Securities or Subordinated Debt Securities and, if Subordinated Debt Securities, the related subordination terms;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any Subsidiary Guarantor will provide a Subsidiary Guarantee of the Debt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date on which the principal of the Debt Securities will be payable;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place where payments on the Debt Securities will be payable;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terms upon which the Debt Securities may be redeemed, in whole or in part, at our option;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redeem or otherwise repurchase the Debt Securities;</w:t>
      </w:r>
    </w:p>
    <w:p>
      <w:pPr>
        <w:spacing w:after="0" w:line="130" w:lineRule="exact"/>
        <w:rPr>
          <w:rFonts w:ascii="Arial" w:cs="Arial" w:eastAsia="Arial" w:hAnsi="Arial"/>
          <w:sz w:val="18"/>
          <w:szCs w:val="18"/>
          <w:color w:val="auto"/>
        </w:rPr>
      </w:pPr>
    </w:p>
    <w:p>
      <w:pPr>
        <w:ind w:left="1060" w:right="58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portion of the principal amount, if less than all, of the Debt Securities that will be payable upon declaration of acceleration of the maturity of the Debt Securities;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Debt Securities are defeasible;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(as defined below);</w:t>
      </w:r>
    </w:p>
    <w:p>
      <w:pPr>
        <w:spacing w:after="0" w:line="130" w:lineRule="exact"/>
        <w:rPr>
          <w:rFonts w:ascii="Arial" w:cs="Arial" w:eastAsia="Arial" w:hAnsi="Arial"/>
          <w:sz w:val="18"/>
          <w:szCs w:val="18"/>
          <w:color w:val="auto"/>
        </w:rPr>
      </w:pPr>
    </w:p>
    <w:p>
      <w:pPr>
        <w:ind w:left="1060" w:right="480" w:hanging="424"/>
        <w:spacing w:after="0" w:line="308"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whether the Debt Securities are convertible into our common stock and, if so, the terms and conditions upon which conversion will be effected, including the initial conversion price or conversion rate and any adjustments thereto and the conversion period;</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addition to or change in the covenants in the Indenture applicable to the Debt Securities;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provisions of the Indenture.</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Debt Securities, including any Debt Securities that provide for an amount less than the principal amount thereof to be due and payable upon a declaration of acceleration of the maturity thereof (“Original Issue Discount Securities”), may be sold at a substantial discount below their principal amount. Special United States federal income tax considerations applicable to Debt Securities sold at an original issue discount may be described in the applicable prospectus supplement. In addition, special United States federal income tax or other considerations applicable to any Debt Securities that are denominated in a currency or currency unit other than United States dollars may be described in the applicable prospectus supplement.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121"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The indebtedness evidenced by the Subordinated Debt Securities will, to the extent set forth in the Subordinated Indenture with respect to each series of Subordinated Debt Securities, be subordinated in right of payment to the prior payment in full of all of our Senior Debt, including the Senior Debt Securities, and it may also be senior or subordinated in right of payment to certain of our other Subordinated Debt. The prospectus supplement relating to any Subordinated Debt Securities will summarize the subordination provisions of the Subordinated Indenture applicable to that series including:</w:t>
      </w:r>
    </w:p>
    <w:p>
      <w:pPr>
        <w:spacing w:after="0" w:line="94" w:lineRule="exact"/>
        <w:rPr>
          <w:sz w:val="20"/>
          <w:szCs w:val="20"/>
          <w:color w:val="auto"/>
        </w:rPr>
      </w:pPr>
    </w:p>
    <w:p>
      <w:pPr>
        <w:ind w:left="1060" w:right="100" w:hanging="316"/>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applicability and effect of such provisions upon any payment or distribution respecting that series following any liquidation, dissolution or other winding-up, or any assignment for the benefit of creditors or other marshalling of assets or any bankruptcy, insolvency or similar proceedings;</w:t>
      </w:r>
    </w:p>
    <w:p>
      <w:pPr>
        <w:spacing w:after="0" w:line="86" w:lineRule="exact"/>
        <w:rPr>
          <w:rFonts w:ascii="Arial" w:cs="Arial" w:eastAsia="Arial" w:hAnsi="Arial"/>
          <w:sz w:val="18"/>
          <w:szCs w:val="18"/>
          <w:color w:val="auto"/>
        </w:rPr>
      </w:pPr>
    </w:p>
    <w:p>
      <w:pPr>
        <w:ind w:left="1060" w:right="40" w:hanging="316"/>
        <w:spacing w:after="0" w:line="34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applicability and effect of such provisions in the event of specified defaults with respect to any Senior Debt, including the circumstances under which, and the periods during which, we will be prohibited from making payments on the Subordinated Debt Securities; and</w:t>
      </w:r>
    </w:p>
    <w:p>
      <w:pPr>
        <w:spacing w:after="0" w:line="29" w:lineRule="exact"/>
        <w:rPr>
          <w:rFonts w:ascii="Arial" w:cs="Arial" w:eastAsia="Arial" w:hAnsi="Arial"/>
          <w:sz w:val="16"/>
          <w:szCs w:val="16"/>
          <w:color w:val="auto"/>
        </w:rPr>
      </w:pPr>
    </w:p>
    <w:p>
      <w:pPr>
        <w:ind w:left="1060" w:right="20" w:hanging="316"/>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definition of Senior Debt applicable to the Subordinated Debt Securities of that series and, if the series is issued on a senior subordinated basis, the definition of Subordinated Debt applicable to that series.</w:t>
      </w:r>
    </w:p>
    <w:p>
      <w:pPr>
        <w:spacing w:after="0" w:line="170"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The prospectus supplement will also describe as of a recent date the approximate amount of Senior Debt to which the Subordinated Debt Securities of that series will be subordinated.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The failure to make any payment on any of the Subordinated Debt Securities by reason of the subordination provisions of the Subordinated Indenture described in the prospectus supplement will not be construed as preventing the occurrence of an Event of Default with respect to the Subordinated Debt Securities arising from any such failure to make payment.</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subordination provisions described above will not be applicable to payments in respect of the Subordinated Debt Securities from a defeasance trust established in connection with any legal defeasance or covenant defeasance of the Subordinated Debt Securities as described under “— Legal Defeasance and Covenant Defeasance.”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Subsidiary Guarantee</w:t>
      </w:r>
    </w:p>
    <w:p>
      <w:pPr>
        <w:spacing w:after="0" w:line="121" w:lineRule="exact"/>
        <w:rPr>
          <w:sz w:val="20"/>
          <w:szCs w:val="20"/>
          <w:color w:val="auto"/>
        </w:rPr>
      </w:pPr>
    </w:p>
    <w:p>
      <w:pPr>
        <w:jc w:val="both"/>
        <w:ind w:left="200" w:right="660" w:firstLine="441"/>
        <w:spacing w:after="0" w:line="342" w:lineRule="auto"/>
        <w:rPr>
          <w:sz w:val="20"/>
          <w:szCs w:val="20"/>
          <w:color w:val="auto"/>
        </w:rPr>
      </w:pPr>
      <w:r>
        <w:rPr>
          <w:rFonts w:ascii="Arial" w:cs="Arial" w:eastAsia="Arial" w:hAnsi="Arial"/>
          <w:sz w:val="16"/>
          <w:szCs w:val="16"/>
          <w:color w:val="auto"/>
        </w:rPr>
        <w:t>If specified in the prospectus supplement, one or more of the Subsidiary Guarantors will guarantee the Debt Securities of a series. Unless otherwise indicated in the prospectus supplement, the following provisions will apply to the Subsidiary Guarantee of any Subsidiary Guarantor.</w:t>
      </w:r>
    </w:p>
    <w:p>
      <w:pPr>
        <w:spacing w:after="0" w:line="124"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Subject to the limitations described below and in the prospectus supplement, one or more of the Subsidiary Guarantors will jointly and severally, fully and unconditionally guarantee the punctual payment when due, whether at stated maturity, by acceleration or otherwise, of all our payment obligations under the Indentures and the Debt Securities of a series, whether for principal of, premium, if any, or interest on the Debt Securities or otherwise. The Subsidiary Guarantors will also pay all expenses (including reasonable counsel fees and expenses) incurred by the applicable Trustee in enforcing any rights under a Subsidiary Guarantee with respect to a Subsidiary Guarantor.</w:t>
      </w:r>
    </w:p>
    <w:p>
      <w:pPr>
        <w:spacing w:after="0" w:line="173"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In the case of Subordinated Debt Securities, each Subsidiary Guarantee will be subordinated in right of payment to the Senior Debt of such Subsidiary Guarantor on the same basis as the Subordinated Debt Securities are subordinated to our Senior Debt. No payment will be made by any Subsidiary Guarantor under its Subsidiary Guarantee during any period in which payments by us on the Subordinated Debt Securities are suspended by the subordination provisions of the Subordinated Indenture.</w:t>
      </w:r>
    </w:p>
    <w:p>
      <w:pPr>
        <w:spacing w:after="0" w:line="187"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Each Subsidiary Guarantee will be limited in amount to an amount not to exceed the maximum amount that can be guaranteed by the relevant Subsidiary Guarantor without rendering such Subsidiary Guarantee voidable under applicable law relating to fraudulent conveyance or fraudulent transfer or similar laws affecting the rights of creditors generally.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Subsidiary Guarantee will be a continuing guarantee and will:</w:t>
      </w:r>
    </w:p>
    <w:p>
      <w:pPr>
        <w:spacing w:after="0" w:line="131" w:lineRule="exact"/>
        <w:rPr>
          <w:sz w:val="20"/>
          <w:szCs w:val="20"/>
          <w:color w:val="auto"/>
        </w:rPr>
      </w:pPr>
    </w:p>
    <w:p>
      <w:pPr>
        <w:ind w:left="1060" w:right="360" w:hanging="424"/>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remain in full force and effect until either (a) payment in full of all the applicable Debt Securities (or such Debt Securities are otherwise satisfied and discharged in accordance with the provisions of the applicable Indenture) or (b) released as described in the following paragraph;</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binding upon each Subsidiary Guarantor;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inure to the benefit of and be enforceable by the applicable Trustee, the holders and their successors, transferees and assigns.</w:t>
      </w:r>
    </w:p>
    <w:p>
      <w:pPr>
        <w:spacing w:after="0" w:line="225"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the event that (a) a Subsidiary Guarantor ceases to be a subsidiary, (b) either legal defeasance or covenant defeasance occurs with respect to the series or (c) all or substantially all of the assets or all of the Capital Stock of such Subsidiary Guarantor is sold, including by way of sale, merger, consolidation or otherwise, such Subsidiary Guarantor will be released and discharged of its obligations under its Subsidiary Guarantee without any further action required on the part of the Trustee or any holder, and no other person acquiring or owning the assets or Capital Stock of such Subsidiary Guarantor will be required to enter into a Subsidiary Guarantee. In addition, the prospectus supplement may specify additional circumstances under which a Subsidiary Guarantor can be released from its Subsidiary Guarantee.</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Debt Securities of each series will be issuable only in fully registered form, without coupons, and, unless otherwise specified in the applicable prospectus supplement, only in denominations of $1,000 and integral multiples thereof.</w:t>
      </w:r>
    </w:p>
    <w:p>
      <w:pPr>
        <w:spacing w:after="0" w:line="170"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At the option of the holder, subject to the terms of the applicable Indenture and the limitations applicable to securities in global form (“Global Securities”), Debt Securities of each series will be exchangeable for other Debt Securities of the same series of any authorized denomination and of a like tenor and aggregate principal amount.</w:t>
      </w:r>
    </w:p>
    <w:p>
      <w:pPr>
        <w:spacing w:after="0" w:line="18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Subject to the terms of the applicable Indenture and the limitations applicable to Global Securities, Debt Securities may be presented for exchange as provided above or for registration of transfer (duly endorsed or with the form of transfer endorsed thereon duly executed) at the office of the Security Registrar or at the office of any transfer agent designated by us for such purpose. No service charge will be made for any registration of transfer or exchange of Debt Securities, but we may require payment of a sum sufficient to cover any tax or other governmental charge payable in that connection. Such transfer or exchange will be effected upon the Security Registrar or such transfer agent, as the case may be, being satisfied with the documents of title and identity of the person making the request. The Security Registrar and any other transfer agent initially designated by us for any Debt Securities will be named in the applicable prospectus supplement.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2"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color w:val="auto"/>
        </w:rPr>
        <w:t>If the Debt Securities of any series (or of any series and specified tenor) are to be redeemed in part, we will not be required to (1) issue, register the transfer of or exchange any Debt Security of that series (or of that series and specified tenor, as the case may be) during a period beginning at the opening of business 15 days before the day of mailing of a notice of redemption of any such Debt Security that may be selected for redemption and ending at the close of business on the day of such mailing or (2) register the transfer of or exchange any Debt Security so selected for redemption, in whole or in part, except the unredeemed portion of any such Debt Security being redeemed in part.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Some or all of the Debt Securities of any series may be represented, in whole or in part, by one or more Global Securities that will have an aggregate principal amount equal to that of the Debt Securities they represent. Each Global Security will be registered in the name of a Depositary or its nominee identified in the applicable prospectus supplement, will be deposited with such Depositary or nominee or its custodian and will bear a legend regarding the restrictions on exchanges and registration of transfer thereof referred to below and any such other matters as may be provided for pursuant to the applicable Indenture.</w:t>
      </w:r>
    </w:p>
    <w:p>
      <w:pPr>
        <w:spacing w:after="0" w:line="18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Notwithstanding any provision of the Indentures or any Debt Security described in this prospectus, no Global Security may be exchanged in whole or in part for Debt Securities registered, and no transfer of a Global Security in whole or in part may be registered, in the name of any Person other than the Depositary for such Global Security or any nominee of such Depositary unless:</w:t>
      </w:r>
    </w:p>
    <w:p>
      <w:pPr>
        <w:spacing w:after="0" w:line="87" w:lineRule="exact"/>
        <w:rPr>
          <w:sz w:val="20"/>
          <w:szCs w:val="20"/>
          <w:color w:val="auto"/>
        </w:rPr>
      </w:pPr>
    </w:p>
    <w:p>
      <w:pPr>
        <w:ind w:left="1060" w:right="140" w:hanging="424"/>
        <w:spacing w:after="0" w:line="342"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Depositary has notified us that it is unwilling or unable to continue as Depositary for such Global Security or has ceased to be qualified to act as such as required by the applicable Indenture, and in either case we fail to appoint a successor Depositary within 90 days;</w:t>
      </w:r>
    </w:p>
    <w:p>
      <w:pPr>
        <w:spacing w:after="0" w:line="29" w:lineRule="exact"/>
        <w:rPr>
          <w:rFonts w:ascii="Arial" w:cs="Arial" w:eastAsia="Arial" w:hAnsi="Arial"/>
          <w:sz w:val="16"/>
          <w:szCs w:val="16"/>
          <w:color w:val="auto"/>
        </w:rPr>
      </w:pPr>
    </w:p>
    <w:p>
      <w:pPr>
        <w:ind w:left="1060" w:right="18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Event of Default with respect to the Debt Securities represented by such Global Security has occurred and is continuing and the Trustee has received a written request from the Depositary to issue certificated Debt Securities;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to the rules of the Depositary, we shall have elected to terminate the book-entry system through the Depositary; or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circumstances exist, in addition to or in lieu of those described above, as may be described in the applicable prospectus supplement.</w:t>
      </w:r>
    </w:p>
    <w:p>
      <w:pPr>
        <w:spacing w:after="0" w:line="24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All certificated Debt Securities issued in exchange for a Global Security or any portion thereof will be registered in such names as the Depositary may direct.</w:t>
      </w:r>
    </w:p>
    <w:p>
      <w:pPr>
        <w:spacing w:after="0" w:line="170"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As long as the Depositary, or its nominee, is the registered holder of a Global Security, the Depositary or such nominee, as the case may be, will be considered the sole owner and holder of such Global Security and the Debt Securities that it represents for all purposes under the Debt Securities and the applicable Indenture. Except in the limited circumstances referred to above, owners of beneficial interests in a Global Security will not be entitled to have such Global Security or any Debt Securities that it represents registered in their names, will not receive or be entitled to receive physical delivery of certificated Debt Securities in exchange for those interests and will not be considered to be the owners or holders of such Global Security or any Debt Securities that it represents for any purpose under the Debt Securities or the applicable Indenture. All payments on a Global Security will be made to the Depositary or its nominee, as the case may be, as the holder of the security. The laws of some jurisdictions may require that some purchasers of Debt Securities take physical delivery of such Debt Securities in certificated form. These laws may impair the ability to transfer beneficial interests in a Global Security.</w:t>
      </w:r>
    </w:p>
    <w:p>
      <w:pPr>
        <w:spacing w:after="0" w:line="19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Ownership of beneficial interests in a Global Security will be limited to institutions that have accounts with the Depositary or its nominee (“participants”) and to persons that may hold beneficial interests through participants. In connection with the issuance of any Global Security, the Depositary will credit, on its book-entry registration and transfer system, the respective principal amounts of Debt Securities represented by the Global Security to the accounts of its participants. Ownership of beneficial interests in a Global Security will be shown only on, and the transfer of those ownership interests will be effected only through, records maintained by the Depositary (with respect to participants’ interests) or any such participant (with respect to interests of Persons held by such participants on their behalf). Payments, transfers, exchanges and other matters relating to beneficial interests in a Global Security may be subject to various policies and procedures adopted by the Depositary from time to time. None of us, the Subsidiary Guarantors, the Trustees or the agents of us, the Subsidiary Guarantors or the Trustees will have any responsibility or liability for any aspect of the Depositary’s or any participant’s records relating to, or for payments made on account of, beneficial interests in a Global Security, or for maintaining, supervising or reviewing any records relating to such beneficial interests.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Unless otherwise indicated in the applicable prospectus supplement, payment of interest on a Debt Security on any Interest Payment Date will be made to the Person in whose name such Debt Security (or one or more Predecessor Securities) is registered at the close of business on the Regular Record Date for such interest.</w:t>
      </w:r>
    </w:p>
    <w:p>
      <w:pPr>
        <w:spacing w:after="0" w:line="18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Unless otherwise indicated in the applicable prospectus supplement, principal of and any premium and interest on the Debt Securities of a particular series will be payable at the office of such Paying Agent or Paying Agents as we may designate for such purpose from time to time, except that at our option payment of any interest on Debt Securities in certificated form may be made by check mailed to the address of the Person entitled thereto as such address appears in the Security Register. Unless otherwise indicated in the applicable prospectus supplement, the corporate trust office of the Trustee under the Senior Indenture in The City of New York will be designated as sole Paying Agent for payments with respect to Senior Debt Securities of each series, and the corporate trust office of the Trustee under the Subordinated Indenture in The City of New York will be designated as the sole Paying Agent for payment with respect to Subordinated Debt Securities of each series. Any other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All money paid by us to a Paying Agent for the payment of the principal of or any premium or interest on any Debt Security which remains unclaimed at the end of two years after such principal, premium or interest has become due and payable will be repaid to us, and the holder of such Debt Security thereafter may look only to us for payment.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Unless otherwise specified in the prospectus supplement, we may not consolidate with or merge into, or transfer, lease or otherwise dispose of all or substantially all of our assets to, any Person (a “Successor Person”), and may not permit any Person to consolidate with or merge into us, unless:</w:t>
      </w:r>
    </w:p>
    <w:p>
      <w:pPr>
        <w:spacing w:after="0" w:line="29" w:lineRule="exact"/>
        <w:rPr>
          <w:sz w:val="20"/>
          <w:szCs w:val="20"/>
          <w:color w:val="auto"/>
        </w:rPr>
      </w:pPr>
    </w:p>
    <w:p>
      <w:pPr>
        <w:ind w:left="1060" w:right="50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Successor Person (if not us) is a corporation, partnership, trust or other entity organized and validly existing under the laws of any domestic jurisdiction and assumes our obligations on the Debt Securities and under the Indentures;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has occurred and is continuing; and</w:t>
      </w:r>
    </w:p>
    <w:p>
      <w:pPr>
        <w:spacing w:after="0" w:line="130"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several other conditions, including any additional conditions with respect to any particular Debt Securities specified in the applicable prospectus supplement, are met.</w:t>
      </w:r>
    </w:p>
    <w:p>
      <w:pPr>
        <w:spacing w:after="0" w:line="170"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The Successor Person (if not us) will be substituted for us under the applicable Indenture with the same effect as if it had been an original party to such Indenture, and, except in the case of a lease, we will be relieved from any further obligations under such Indenture and the Debt Securities.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Unless otherwise specified in the prospectus supplement, each of the following will constitute an “Event of Default” under the applicable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Indenture with respect to Debt Securities of any series:</w:t>
      </w:r>
    </w:p>
    <w:p>
      <w:pPr>
        <w:spacing w:after="0" w:line="116" w:lineRule="exact"/>
        <w:rPr>
          <w:sz w:val="20"/>
          <w:szCs w:val="20"/>
          <w:color w:val="auto"/>
        </w:rPr>
      </w:pPr>
    </w:p>
    <w:p>
      <w:pPr>
        <w:ind w:left="1060" w:right="24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pay principal of or any premium on any Debt Security of that series when due, whether or not, in the case of Subordinated Debt Securities, such payment is prohibited by the subordination provisions of the Subordinated Indenture;</w:t>
      </w:r>
    </w:p>
    <w:p>
      <w:pPr>
        <w:spacing w:after="0" w:line="75" w:lineRule="exact"/>
        <w:rPr>
          <w:rFonts w:ascii="Arial" w:cs="Arial" w:eastAsia="Arial" w:hAnsi="Arial"/>
          <w:sz w:val="18"/>
          <w:szCs w:val="18"/>
          <w:color w:val="auto"/>
        </w:rPr>
      </w:pPr>
    </w:p>
    <w:p>
      <w:pPr>
        <w:ind w:left="1060" w:right="300" w:hanging="424"/>
        <w:spacing w:after="0" w:line="308"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to pay any interest on any Debt Securities of that series when due, which has continued for 30 days, whether or not, in the case of Subordinated Debt Securities, such payment is prohibited by the subordination provisions of the Subordinated Indenture;</w:t>
      </w:r>
    </w:p>
    <w:p>
      <w:pPr>
        <w:spacing w:after="0" w:line="51" w:lineRule="exact"/>
        <w:rPr>
          <w:rFonts w:ascii="Arial" w:cs="Arial" w:eastAsia="Arial" w:hAnsi="Arial"/>
          <w:sz w:val="17"/>
          <w:szCs w:val="17"/>
          <w:color w:val="auto"/>
        </w:rPr>
      </w:pPr>
    </w:p>
    <w:p>
      <w:pPr>
        <w:ind w:left="1060" w:right="740" w:hanging="424"/>
        <w:spacing w:after="0" w:line="342" w:lineRule="auto"/>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failure to deposit any sinking fund payment, when due, in respect of any Debt Security of that series, whether or not, in the case of Subordinated Debt Securities, such deposit is prohibited by the subordination provisions of the Subordinated Indenture;</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perform or comply with the provisions described under “— Consolidation, Merger and Sale of Assets”;</w:t>
      </w:r>
    </w:p>
    <w:p>
      <w:pPr>
        <w:spacing w:after="0" w:line="130" w:lineRule="exact"/>
        <w:rPr>
          <w:rFonts w:ascii="Arial" w:cs="Arial" w:eastAsia="Arial" w:hAnsi="Arial"/>
          <w:sz w:val="18"/>
          <w:szCs w:val="18"/>
          <w:color w:val="auto"/>
        </w:rPr>
      </w:pPr>
    </w:p>
    <w:p>
      <w:pPr>
        <w:ind w:left="1060" w:right="40" w:hanging="424"/>
        <w:spacing w:after="0" w:line="276"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to perform any of our other covenants in such Indenture (other than a covenant included in such Indenture solely for the benefit of a series other than that series), which has continued for 60 days after written notice has been given by the applicable Trustee, or the holders of at least 25% in principal amount of the Outstanding Debt Securities of that series, as provided in such Indenture; provided however, that we will have 90 days following such written notice to remedy or receive a waiver for any failure to comply with our obligations under the Indenture so long as we are attempting to remedy any such failure as soon as reasonably practicable;</w:t>
      </w:r>
    </w:p>
    <w:p>
      <w:pPr>
        <w:spacing w:after="0" w:line="77" w:lineRule="exact"/>
        <w:rPr>
          <w:rFonts w:ascii="Arial" w:cs="Arial" w:eastAsia="Arial" w:hAnsi="Arial"/>
          <w:sz w:val="17"/>
          <w:szCs w:val="17"/>
          <w:color w:val="auto"/>
        </w:rPr>
      </w:pPr>
    </w:p>
    <w:p>
      <w:pPr>
        <w:ind w:left="1060" w:right="480" w:hanging="424"/>
        <w:spacing w:after="0" w:line="26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Debt of CRC, any Significant Subsidiary or, if a Subsidiary Guarantor has guaranteed the series, such Subsidiary Guarantor, is accelerated by its holders because of a default and the total amount of such Debt unpaid or accelerated exceeds $100.0 million or such default results from the failure to pay</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79" w:lineRule="auto"/>
        <w:rPr>
          <w:sz w:val="20"/>
          <w:szCs w:val="20"/>
          <w:color w:val="auto"/>
        </w:rPr>
      </w:pPr>
      <w:r>
        <w:rPr>
          <w:rFonts w:ascii="Arial" w:cs="Arial" w:eastAsia="Arial" w:hAnsi="Arial"/>
          <w:sz w:val="17"/>
          <w:szCs w:val="17"/>
          <w:color w:val="auto"/>
        </w:rPr>
        <w:t>when due principal of such Debt; provided that if such default is cured or waived or such acceleration is rescinded, or such Debt (or the overdue portion thereof) is repaid within a period of 30 days from the continuation of such default beyond any applicable grace period or the occurrence of such acceleration, as the case may be, such Event of Default or any consequent acceleration shall be rescinded, so long as such rescission does not conflict with any judgment or decree or applicable provision of law;</w:t>
      </w:r>
    </w:p>
    <w:p>
      <w:pPr>
        <w:spacing w:after="0" w:line="77" w:lineRule="exact"/>
        <w:rPr>
          <w:sz w:val="20"/>
          <w:szCs w:val="20"/>
          <w:color w:val="auto"/>
        </w:rPr>
      </w:pPr>
    </w:p>
    <w:p>
      <w:pPr>
        <w:ind w:left="1060" w:right="70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affecting us, any Significant Subsidiary or, if a Subsidiary Guarantor has guaranteed the series, such Subsidiary Guarantor; and</w:t>
      </w:r>
    </w:p>
    <w:p>
      <w:pPr>
        <w:spacing w:after="0" w:line="75" w:lineRule="exact"/>
        <w:rPr>
          <w:rFonts w:ascii="Arial" w:cs="Arial" w:eastAsia="Arial" w:hAnsi="Arial"/>
          <w:sz w:val="18"/>
          <w:szCs w:val="18"/>
          <w:color w:val="auto"/>
        </w:rPr>
      </w:pPr>
    </w:p>
    <w:p>
      <w:pPr>
        <w:ind w:left="1060" w:right="120" w:hanging="424"/>
        <w:spacing w:after="0" w:line="255"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any Subsidiary Guarantor has guaranteed such series, the Subsidiary Guarantee of any such Subsidiary Guarantor is held by a final non-appealable order or judgment of a court of competent jurisdiction to be unenforceable or invalid or ceases for any reason to be in full force and effect (other than in accordance with the terms of the applicable Indenture) or any Subsidiary Guarantor or any Person acting on behalf of any Subsidiary Guarantor denies or disaffirms such Subsidiary Guarantor’s obligations under its Subsidiary Guarantee in writing (other than by reason of a release of such Subsidiary Guarantor from its Subsidiary Guarantee in accordance with the terms of the applicable Indenture).</w:t>
      </w:r>
    </w:p>
    <w:p>
      <w:pPr>
        <w:spacing w:after="0" w:line="19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If an Event of Default (other than an Event of Default with respect to CRC described in clause (7) above) with respect to the Debt Securities of any series at the time Outstanding occurs and is continuing, either the applicable Trustee or the holders of at least 25% in principal amount of the Outstanding Debt Securities of that series by notice as provided in the Indenture may declare the unpaid principal amount of the Debt Securities of that series (or, in the case of any Debt Security that is an Original Issue Discount Security, such portion of the principal amount of such Debt Security as may be specified in the terms of such Debt Security) to be due and payable immediately, together with any accrued and unpaid interest thereon. If an Event of Default with respect to CRC described in clause (7) above with respect to the Debt Securities of any series at the time Outstanding occurs, the principal amount of all the Debt Securities of that series (or, in the case of any such Original Issue Discount Security, such specified amount) will automatically, and without any action by the applicable Trustee or any holder, become immediately due and payable, together with any accrued and unpaid interest thereon. After any such acceleration, but before a judgment or decree based on acceleration, the holders of a majority in principal amount of the Outstanding Debt Securities of that series may, under certain circumstances, rescind and annul such acceleration and its consequences if all Events of Default with respect to that series, other than the non-payment of accelerated principal (or other specified amount), have been cured or waived as provided in the applicable Indenture. For information as to waiver of defaults, see “— Modification and Waiver” below.</w:t>
      </w:r>
    </w:p>
    <w:p>
      <w:pPr>
        <w:spacing w:after="0" w:line="16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Subject to the provisions of the Indentures relating to the duties of the Trustees in case an Event of Default has occurred and is continuing, no Trustee will be under any obligation to exercise any of its rights or powers under the applicable Indenture at the request or direction of any of the holders, unless such holders have offered to such Trustee reasonable security or indemnity. Subject to such provisions for the indemnification of the Trustees,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93"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No holder of a Debt Security of any series will have any right to institute any proceeding with respect to the applicable Indenture, or for the appointment of a receiver or a trustee, or for any other remedy thereunder, unless:</w:t>
      </w:r>
    </w:p>
    <w:p>
      <w:pPr>
        <w:spacing w:after="0" w:line="76" w:lineRule="exact"/>
        <w:rPr>
          <w:sz w:val="20"/>
          <w:szCs w:val="20"/>
          <w:color w:val="auto"/>
        </w:rPr>
      </w:pPr>
    </w:p>
    <w:p>
      <w:pPr>
        <w:ind w:left="1060" w:right="18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holder has previously given to the Trustee under the applicable Indenture written notice of a continuing Event of Default with respect to the Debt Securities of that series;</w:t>
      </w:r>
    </w:p>
    <w:p>
      <w:pPr>
        <w:spacing w:after="0" w:line="75" w:lineRule="exact"/>
        <w:rPr>
          <w:rFonts w:ascii="Arial" w:cs="Arial" w:eastAsia="Arial" w:hAnsi="Arial"/>
          <w:sz w:val="18"/>
          <w:szCs w:val="18"/>
          <w:color w:val="auto"/>
        </w:rPr>
      </w:pPr>
    </w:p>
    <w:p>
      <w:pPr>
        <w:ind w:left="1060" w:right="120" w:hanging="424"/>
        <w:spacing w:after="0" w:line="308"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holders of at least 25% in principal amount of the Outstanding Debt Securities of that series have made written request, and such holder or holders have offered reasonable security or indemnity, to the Trustee to institute such proceeding as trustee; and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308" w:lineRule="auto"/>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Trustee has failed to institute such proceeding and has not received from the holders of a majority in principal amount of the Outstanding Debt Securities of that series a direction inconsistent with such request within 60 days after such notice, request and offer.</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However, such limitations do not apply to a suit instituted by a holder of a Debt Security for the enforcement of payment of the principal of or any premium or interest on such Debt Security on or after the applicable due date specified in such Debt Security or, if applicable, to convert such Debt Security.</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will be required to furnish to each Trustee annually a statement by certain of our officers as to whether or not we, to their knowledge, are in default in the performance or observance of any of the terms, provisions and conditions of the applicable Indenture and, if so, specifying all such known defaults.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modify or amend an Indenture without the consent of any holders of the Debt Securities in certain circumstances, including:</w:t>
      </w:r>
    </w:p>
    <w:p>
      <w:pPr>
        <w:spacing w:after="0" w:line="131" w:lineRule="exact"/>
        <w:rPr>
          <w:sz w:val="20"/>
          <w:szCs w:val="20"/>
          <w:color w:val="auto"/>
        </w:rPr>
      </w:pPr>
    </w:p>
    <w:p>
      <w:pPr>
        <w:ind w:left="1060" w:right="80" w:hanging="424"/>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evidence the succession under the Indenture of another Person to us or any Subsidiary Guarantor and to provide for its assumption of our or such Subsidiary Guarantor’s obligations to holders of Debt Securities;</w:t>
      </w:r>
    </w:p>
    <w:p>
      <w:pPr>
        <w:spacing w:after="0" w:line="75" w:lineRule="exact"/>
        <w:rPr>
          <w:rFonts w:ascii="Arial" w:cs="Arial" w:eastAsia="Arial" w:hAnsi="Arial"/>
          <w:sz w:val="18"/>
          <w:szCs w:val="18"/>
          <w:color w:val="auto"/>
        </w:rPr>
      </w:pPr>
    </w:p>
    <w:p>
      <w:pPr>
        <w:ind w:left="1060" w:right="440" w:hanging="424"/>
        <w:spacing w:after="0" w:line="342" w:lineRule="auto"/>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make any changes that would add any additional covenants by us or the Subsidiary Guarantors for the benefit of the holders of Debt Securities or that do not adversely affect the rights under the Indenture of the holders of Debt Securities in any material respect;</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establish the form or terms of any series of Debt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of a successor Trustee;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add Subsidiary Guarantors; or</w:t>
      </w:r>
    </w:p>
    <w:p>
      <w:pPr>
        <w:spacing w:after="0" w:line="130" w:lineRule="exact"/>
        <w:rPr>
          <w:rFonts w:ascii="Arial" w:cs="Arial" w:eastAsia="Arial" w:hAnsi="Arial"/>
          <w:sz w:val="18"/>
          <w:szCs w:val="18"/>
          <w:color w:val="auto"/>
        </w:rPr>
      </w:pPr>
    </w:p>
    <w:p>
      <w:pPr>
        <w:ind w:left="1060" w:right="400" w:hanging="424"/>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Debt.</w:t>
      </w:r>
    </w:p>
    <w:p>
      <w:pPr>
        <w:spacing w:after="0" w:line="170"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Other modifications and amendments of an Indenture may be made by us, the Subsidiary Guarantors, if applicable, and the applicable Trustee with the consent of the holders of not less than a majority in principal amount of the Outstanding Debt Securities of each series affected by such modification or amendment; provided, however, that no such modification or amendment may, without the consent of the holder of each Outstanding Debt Security affected thereby:</w:t>
      </w:r>
    </w:p>
    <w:p>
      <w:pPr>
        <w:spacing w:after="0" w:line="92" w:lineRule="exact"/>
        <w:rPr>
          <w:sz w:val="20"/>
          <w:szCs w:val="20"/>
          <w:color w:val="auto"/>
        </w:rPr>
      </w:pPr>
    </w:p>
    <w:p>
      <w:pPr>
        <w:ind w:left="1060" w:right="8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percentage of principal amount of Securities of such series whose Holders must consent to an amendment, supplement or waiver of any provision of the Indenture or the Securities of such series;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rate or change the time for payment of interest, including default interest, if any, on the Securities of such series;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principal amount of any Security of such series or change the Maturity Date of the Securities of such series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amount payable upon redemption of any Security of such series;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0" w:hanging="424"/>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waive any Event of Default in the payment of principal of, any premium or interest on, the Securities of such series (except a default in payment that has become due solely because of an acceleration that has been rescinded);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Security of such series payable in money other than that stated in such Security;</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 the right of Holders of Securities of such series to receive payment of the principal of and interest on Securities on the respective due dates therefor and to institute suit for the enforcement of any such payment; or</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Securities of such series necessary to waive compliance with certain provisions of the Indenture.</w:t>
      </w:r>
    </w:p>
    <w:p>
      <w:pPr>
        <w:spacing w:after="0" w:line="170"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holders of not less than a majority in principal amount of the Outstanding Debt Securities of any series may waive compliance by us with certain restrictive provisions of the applicable Indenture. The holders of not less than a majority in principal amount of the Outstanding Debt Securities of any series may waive any past default under the applicable Indenture, except a default in the payment of principal, premium or interest and certain covenants and provisions of the Indenture which cannot be amended without the consent of the holder of each Outstanding Debt Security of such series.</w:t>
      </w:r>
    </w:p>
    <w:p>
      <w:pPr>
        <w:spacing w:after="0" w:line="154"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Each of the Indentures provides that in determining whether the holders of the requisite principal amount of the Outstanding Debt Securities have given or taken any direction, notice, consent, waiver or other action under such Indenture as of any date:</w:t>
      </w:r>
    </w:p>
    <w:p>
      <w:pPr>
        <w:spacing w:after="0" w:line="76" w:lineRule="exact"/>
        <w:rPr>
          <w:sz w:val="20"/>
          <w:szCs w:val="20"/>
          <w:color w:val="auto"/>
        </w:rPr>
      </w:pPr>
    </w:p>
    <w:p>
      <w:pPr>
        <w:ind w:left="1060" w:right="200" w:hanging="424"/>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principal amount of an Original Issue Discount Security that will be deemed to be Outstanding will be the amount of the principal that would be due and payable as of such date upon acceleration of maturity to such date;</w:t>
      </w:r>
    </w:p>
    <w:p>
      <w:pPr>
        <w:spacing w:after="0" w:line="75" w:lineRule="exact"/>
        <w:rPr>
          <w:rFonts w:ascii="Arial" w:cs="Arial" w:eastAsia="Arial" w:hAnsi="Arial"/>
          <w:sz w:val="18"/>
          <w:szCs w:val="18"/>
          <w:color w:val="auto"/>
        </w:rPr>
      </w:pPr>
    </w:p>
    <w:p>
      <w:pPr>
        <w:ind w:left="1060" w:right="160" w:hanging="424"/>
        <w:spacing w:after="0" w:line="264"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w:t>
      </w:r>
    </w:p>
    <w:p>
      <w:pPr>
        <w:spacing w:after="0" w:line="86" w:lineRule="exact"/>
        <w:rPr>
          <w:rFonts w:ascii="Arial" w:cs="Arial" w:eastAsia="Arial" w:hAnsi="Arial"/>
          <w:sz w:val="18"/>
          <w:szCs w:val="18"/>
          <w:color w:val="auto"/>
        </w:rPr>
      </w:pPr>
    </w:p>
    <w:p>
      <w:pPr>
        <w:ind w:left="1060" w:right="160" w:hanging="424"/>
        <w:spacing w:after="0" w:line="259"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principal amount of a Debt Security denominated in one or more foreign currencies or currency units that will be deemed to be Outstanding will be the United States-dollar equivalent, determined as of such date in the manner prescribed for such Debt Security, of the principal amount of such Debt Security (or, in the case of a Debt Security described in clause (1) or (2) above, of the amount described in such clause); and</w:t>
      </w:r>
    </w:p>
    <w:p>
      <w:pPr>
        <w:spacing w:after="0" w:line="92"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Debt Securities, including those owned by us, any Subsidiary Guarantor or any of our other Affiliates, will not be deemed to be Outstanding.</w:t>
      </w:r>
    </w:p>
    <w:p>
      <w:pPr>
        <w:spacing w:after="0" w:line="170"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Except in certain limited circumstances, we will be entitled to set any day as a record date for the purpose of determining the holders of Outstanding Debt Securities of any series entitled to give or take any direction, notice, consent, waiver or other action under the applicable Indenture, in the manner and subject to the limitations provided in the Indenture. In certain limited circumstances, the Trustee will be entitled to set a record date for action by holders. If a record date is set for any action to be taken by holders of a particular series, only persons who are holders of Outstanding Debt Securities of that series on the record date may take such action. To be effective, such action must be taken by holders of the requisite principal amount of such Debt Securities within a specified period following the record date. For any particular record date, this period will be 180 days or such other period as may be specified by us (or the Trustee, if it set the record date), and may be shortened or lengthened (but not beyond 180 days) from time to time.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154" w:lineRule="exact"/>
        <w:rPr>
          <w:sz w:val="20"/>
          <w:szCs w:val="20"/>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jc w:val="both"/>
        <w:ind w:left="1620" w:right="120" w:hanging="538"/>
        <w:spacing w:after="0" w:line="264"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86" w:lineRule="exact"/>
        <w:rPr>
          <w:rFonts w:ascii="Arial" w:cs="Arial" w:eastAsia="Arial" w:hAnsi="Arial"/>
          <w:sz w:val="18"/>
          <w:szCs w:val="18"/>
          <w:color w:val="auto"/>
        </w:rPr>
      </w:pPr>
    </w:p>
    <w:p>
      <w:pPr>
        <w:ind w:left="1620" w:right="60" w:hanging="538"/>
        <w:spacing w:after="0" w:line="255"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not delivered to the Trustee for cancellation have become due and payable or will become due and payable at their stated maturity within one year or are to be called for redemption within one year under arrangements satisfactory to the Trustee and in any case we have irrevocably deposited with the Trustee as trust funds money in an amount sufficient, without consideration of any reinvestment of interest, to pay the entire indebtedness of such Debt Securities not delivered to the Trustee for cancellation, for principal, premium, if any, and accrued interest to the stated maturity or redemption date; and</w:t>
      </w:r>
    </w:p>
    <w:p>
      <w:pPr>
        <w:spacing w:after="0" w:line="98"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conditions precedent to satisfaction and discharge set forth in the Indenture with respect to the Debt Securities of that series have been satisfied.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To the extent indicated in the applicable prospectus supplement, we may elect, at our option at any time, to have our obligations discharged under provisions relating to defeasance and discharge of indebtedness, which we call “legal defeasance,” or relating to defeasance of certain restrictive covenants applied to the Debt Securities of any series, or to any specified part of a series, which we call “covenant defeasance.”</w:t>
      </w:r>
    </w:p>
    <w:p>
      <w:pPr>
        <w:spacing w:after="0" w:line="14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u w:val="single" w:color="auto"/>
          <w:color w:val="auto"/>
        </w:rPr>
        <w:t>Legal Defeasance</w:t>
      </w:r>
      <w:r>
        <w:rPr>
          <w:rFonts w:ascii="Arial" w:cs="Arial" w:eastAsia="Arial" w:hAnsi="Arial"/>
          <w:sz w:val="16"/>
          <w:szCs w:val="16"/>
          <w:color w:val="auto"/>
        </w:rPr>
        <w:t>. The Indentures provide that, upon our exercise of our option (if any) to have the legal defeasance provisions applied to any series of Debt Securities, we and, if applicable, each Subsidiary Guarantor will be discharged from all our obligations, and, if such Debt Securities are Subordinated Debt Securities, the provisions of the Subordinated Indenture relating to subordination will cease to be effective, with respect to such Debt Securities (except for certain obligations to convert, exchange or register the transfer of Debt Securities, to replace stolen, lost or mutilated Debt Securities, to maintain paying agencies and to hold moneys for payment in trust) upon the deposit in trust for the benefit of the holders of such Debt Securities of money or U.S. government obligations, or both, which, through the payment of principal and interest in respect thereof in accordance with their terms, will provide money in an amount sufficient (in the opinion of a nationally recognized firm of independent public accountants) to pay the principal of and any premium and interest on such Debt Securities on the respective stated maturities in accordance with the terms of the applicable Indenture and such Debt Securities. Such defeasance or discharge may occur only if, among other things:</w:t>
      </w:r>
    </w:p>
    <w:p>
      <w:pPr>
        <w:spacing w:after="0" w:line="72" w:lineRule="exact"/>
        <w:rPr>
          <w:sz w:val="20"/>
          <w:szCs w:val="20"/>
          <w:color w:val="auto"/>
        </w:rPr>
      </w:pPr>
    </w:p>
    <w:p>
      <w:pPr>
        <w:ind w:left="1060" w:hanging="424"/>
        <w:spacing w:after="0" w:line="25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delivered to the applicable Trustee an Opinion of Counsel to the effect that we have received from, or there has been published by, the United States Internal Revenue Service a ruling, or there has been a change in tax law, in either case to the effect that holders of such Debt Securities will not recognize gain or loss for federal income tax purposes as a result of such deposit and legal defeasance and will be subject to federal income tax on the same amount, in the same manner and at the same times as would have been the case if such deposit and legal defeasance were not to occur;</w:t>
      </w:r>
    </w:p>
    <w:p>
      <w:pPr>
        <w:spacing w:after="0" w:line="93" w:lineRule="exact"/>
        <w:rPr>
          <w:rFonts w:ascii="Arial" w:cs="Arial" w:eastAsia="Arial" w:hAnsi="Arial"/>
          <w:sz w:val="18"/>
          <w:szCs w:val="18"/>
          <w:color w:val="auto"/>
        </w:rPr>
      </w:pPr>
    </w:p>
    <w:p>
      <w:pPr>
        <w:ind w:left="1060" w:right="180" w:hanging="424"/>
        <w:spacing w:after="0" w:line="259"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Event of Default or event that with the passing of time or the giving of notice, or both, shall constitute an Event of Default shall have occurred and be continuing at the time of such deposit or, with respect to any Event of Default described in clause (7) under “— Events of Default,” at any time until 121 days after such deposit (in each case, other than as a result of borrowing funds in connection with such defeasance or granting of liens in connection herewith);</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deposit and legal defeasance will not result in a material breach or violation of, or constitute a default under, any material agreement or material instrument (other than the applicable Indenture) to which we are a party or by which we are bound; and</w:t>
      </w:r>
    </w:p>
    <w:p>
      <w:pPr>
        <w:spacing w:after="0" w:line="75" w:lineRule="exact"/>
        <w:rPr>
          <w:rFonts w:ascii="Arial" w:cs="Arial" w:eastAsia="Arial" w:hAnsi="Arial"/>
          <w:sz w:val="18"/>
          <w:szCs w:val="18"/>
          <w:color w:val="auto"/>
        </w:rPr>
      </w:pPr>
    </w:p>
    <w:p>
      <w:pPr>
        <w:ind w:left="1060" w:right="20" w:hanging="424"/>
        <w:spacing w:after="0" w:line="259"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Subordinated Debt Securities, at the time of such deposit, no default in the payment of all or a portion of principal of (or premium, if any) or interest on any Senior Debt shall have occurred and be continuing, no event of default shall have resulted in the acceleration of any Senior Debt and no other material event of default with respect to any Senior Debt shall have occurred and be continuing permitting, after notice or the lapse of time, or both, the acceleration thereof.</w:t>
      </w:r>
    </w:p>
    <w:p>
      <w:pPr>
        <w:spacing w:after="0" w:line="187"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u w:val="single" w:color="auto"/>
          <w:color w:val="auto"/>
        </w:rPr>
        <w:t>Covenant Defeasance</w:t>
      </w:r>
      <w:r>
        <w:rPr>
          <w:rFonts w:ascii="Arial" w:cs="Arial" w:eastAsia="Arial" w:hAnsi="Arial"/>
          <w:sz w:val="17"/>
          <w:szCs w:val="17"/>
          <w:color w:val="auto"/>
        </w:rPr>
        <w:t>. The Indentures provide that, upon our exercise of our option (if any) to have the covenant defeasance provisions applied to any Debt Securities, we may fail to comply with certain restrictive covenants (but not with respect to conversion, if applicable), including those that may be described in the applicable prospectus supplement, and the occurrence of certain Events of Default, which are described above in clause (5) (with respect to such restrictive covenants) and clauses (6) and (8) under “— Events of Default” and any that may be described in the applicable prospectus supplement, will not be deemed to either be or result in an Event of Default and, if such Debt Securities are Subordinated Debt Securities, the provisions of the Subordinated Indenture relating to subordination will cease to be effective, in each case with respect to such Debt Securities. In order to exercise such option, we must deposit, in trust for the benefit of the holders of such Debt Securities, money or U.S. government obligations, or both, which, through the payment of principal and interest in respect thereof in accordance with their terms, will provide money in an amount sufficient (in the opinion of a nationally recognized firm of independent public accountants) to pay the principal of and any premium and interest on such Debt Securities on the respective stated maturities in accordance with the terms of the applicable Indenture and such Debt Securities. Such covenant defeasance may occur only if we have delivered to the applicable Trustee an Opinion of Counsel to the effect that holders of such Debt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were not to occur, and the requirements set forth in clauses (2), (3), (4) and (5) above are satisfied. If we exercised this option with respect to any series of Debt Securities and such Debt Securities were declared due and payable because of the occurrence of any Event of Default, the amount of money and U.S.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we would remain liable for such payments.</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we exercise either our legal defeasance or covenant defeasance option, any related Subsidiary Guarantee will terminate.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No director, officer, employee, incorporator, stockholder, member, partner or trustee of the Company or any Subsidiary Guarantor, as such, shall have any liability for any obligations of the Company or any Subsidiary Guarantor under the Debt Securities, the Indentures or any Subsidiary Guarantees or for any claim based on, in respect of, or by reason of, such obligations or their creation. By accepting a Debt Security, each holder shall be deemed to have waived and released all such liability. The waiver and release shall be a part of the consideration for the issue of the Debt Securities. The waiver may not be effective to waive liabilities under the federal securities laws, and it is the view of the SEC that such a waiver is against public policy.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Notices to holders of Debt Securities will be given by mail to the addresses of such holders as they may appear in the Security Register.</w:t>
      </w:r>
    </w:p>
    <w:p>
      <w:pPr>
        <w:spacing w:after="0" w:line="1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Title</w:t>
      </w:r>
    </w:p>
    <w:p>
      <w:pPr>
        <w:spacing w:after="0" w:line="121"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We, the Subsidiary Guarantors, the Trustees and any agent of us, the Subsidiary Guarantors or a Trustee may treat the Person in whose name a Debt Security is registered as the absolute owner of the Debt Security (whether or not such Debt Security may be overdue) for the purpose of making payment and for all other purposes.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Indentures and the Debt Securities will be governed by, and construed in accordance with, the law of the State of New York.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Trustee</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will enter into the Indentures with a Trustee that is qualified to act under the Trust Indenture Act of 1939, as amended (the “Trust Indenture Act”), and with any other Trustees chosen by us and appointed in a supplemental indenture for a particular series of Debt Securities. We may maintain a banking relationship in the ordinary course of business with our Trustee and one or more of its affiliates.</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u w:val="single" w:color="auto"/>
          <w:color w:val="auto"/>
        </w:rPr>
        <w:t>Resignation or Removal of Trustee</w:t>
      </w:r>
      <w:r>
        <w:rPr>
          <w:rFonts w:ascii="Arial" w:cs="Arial" w:eastAsia="Arial" w:hAnsi="Arial"/>
          <w:sz w:val="18"/>
          <w:szCs w:val="18"/>
          <w:color w:val="auto"/>
        </w:rPr>
        <w:t>. 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81" w:lineRule="exact"/>
        <w:rPr>
          <w:sz w:val="20"/>
          <w:szCs w:val="20"/>
          <w:color w:val="auto"/>
        </w:rPr>
      </w:pPr>
    </w:p>
    <w:p>
      <w:pPr>
        <w:jc w:val="both"/>
        <w:ind w:left="200" w:right="20" w:firstLine="441"/>
        <w:spacing w:after="0" w:line="342" w:lineRule="auto"/>
        <w:rPr>
          <w:sz w:val="20"/>
          <w:szCs w:val="20"/>
          <w:color w:val="auto"/>
        </w:rPr>
      </w:pPr>
      <w:r>
        <w:rPr>
          <w:rFonts w:ascii="Arial" w:cs="Arial" w:eastAsia="Arial" w:hAnsi="Arial"/>
          <w:sz w:val="16"/>
          <w:szCs w:val="16"/>
          <w:u w:val="single" w:color="auto"/>
          <w:color w:val="auto"/>
        </w:rPr>
        <w:t>Limitations on Trustee if It Is Our Creditor</w:t>
      </w:r>
      <w:r>
        <w:rPr>
          <w:rFonts w:ascii="Arial" w:cs="Arial" w:eastAsia="Arial" w:hAnsi="Arial"/>
          <w:sz w:val="16"/>
          <w:szCs w:val="16"/>
          <w:color w:val="auto"/>
        </w:rPr>
        <w:t>. Each Indenture will contain certain limitations on the right of the Trustee, in the event that it becomes our creditor, to obtain payment of claims in certain cases, or to realize on certain property received in respect of any such claim as security or otherwise.</w:t>
      </w:r>
    </w:p>
    <w:p>
      <w:pPr>
        <w:spacing w:after="0" w:line="124"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u w:val="single" w:color="auto"/>
          <w:color w:val="auto"/>
        </w:rPr>
        <w:t>Certificates and Opinions to Be Furnished to Trustee</w:t>
      </w:r>
      <w:r>
        <w:rPr>
          <w:rFonts w:ascii="Arial" w:cs="Arial" w:eastAsia="Arial" w:hAnsi="Arial"/>
          <w:sz w:val="16"/>
          <w:szCs w:val="16"/>
          <w:color w:val="auto"/>
        </w:rPr>
        <w:t>. Each Indenture will provide that, in addition to other certificates or opinions that may be specifically required by other provisions of an Indenture, certain applications by us for action by the Trustee must be accompanied by an Officers’ Certificate and an Opinion of Counsel stating that, in the opinion of the signers, all conditions precedent to such action have been complied with by us.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following is a description of the material terms of our capital stock as provided in our amended and restated certificate of incorporation and amended and restated bylaws. The summaries and descriptions below do not purport to be complete statements of the relevant provisions of these documents. For a complete description, we refer you to, and the following summaries and descriptions are qualified in their entirety by reference to, our amended and restated certificate of incorporation and amended and restated bylaws, copies of which will be filed as exhibits to the registration statement of which this prospectus forms a part.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Authorized Capitalization</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Our authorized capital stock consists of (i) 20,000,000 shares of preferred stock, par value $0.01 per share, of which no shares were issued and outstanding as of November 16, 2018 and (ii) 200,000,000 shares of common stock, par value $0.01 per share, of which 48,600,563 shares were issued and outstanding as of November 16, 2018.</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Except as provided by law or in a preferred stock designation, holders of our common stock are entitled to one vote for each share held of record on all matters submitted to a vote of the stockholders, have the exclusive right to vote for the election of directors and do not have cumulative voting rights. Directors are elected to our board if the number of the validly cast “for” votes exceeds the number of validly cast “against” or “withheld” votes, collectively, with respect to such election except, that directors are elected by a plurality of the validly cast votes represented in person or by proxy with respect to their election if the number of nominees for director exceeds the number of directors to be elected as set forth in our bylaws. Except as otherwise required by law, holders of our common stock are not entitled to vote on any amendment to the amended and restated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the amended and restated certificate of incorporation (including any certificate of designations relating to any series of preferred stock) or pursuant to the Delaware General Corporation Law (“DGCL”). Subject to prior rights and preferences that may be applicable to any outstanding shares or series of our preferred stock, holders of our common stock are entitled to receive ratably in proportion to the shares of our common stock held by them such dividends (payable in cash, stock or otherwise), if any, as may be declared from time to time by our board of directors out of funds legally available for dividend payments. All outstanding shares of our common stock are fully paid and non-assessable. The holders of our common stock have no preferences or rights of conversion, exchange, pre-emption or other subscription rights. There are no redemption or sinking fund provisions applicable to our common stock. In the event of any voluntary or involuntary liquidation, dissolution or winding-up of our affairs, holders of our common stock are entitled to share ratably in our assets in proportion to the shares of common stock held by then that are remaining after payment or provision for payment of all of our debts and obligations and after distribution in full of preferential amounts to be distributed to holders of outstanding shares of preferred stock, if any.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Our amended and restated certificate of incorporation authorizes our board of directors, subject to any limitations prescribed by law, without further stockholder approval, to establish and to issue from time to time one or more series of preferred stock, par value $0.01 per share, covering up to an aggregate of 20,000,000 shares of preferred stock. Each series of our preferred stock will cover the number of shares and will have the powers, preferences, rights, qualifications, limitations and restrictions determined by board of directors, which may include, among others, dividend rights, liquidation preferences, voting rights, conversion or exchange rights, preemptive rights and redemption rights. Except as provided by law or in a preferred stock designation, the holders of our preferred stock will not be entitled to vote at or receive notice of any meeting of stockholders.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80"/>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5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could make acquisition of control of our company by means of a tender offer, a proxy contest or otherwise or removal of our incumbent officers and directors more difficult. These provisions may also have the effect of preventing changes in our management. It is possible that these provisions could make it more difficult to accomplish or could deter transactions that stockholders may otherwise consider to be in their best interests or in our best interests, including transactions that might result in a premium over the market price for our shares.</w:t>
      </w:r>
    </w:p>
    <w:p>
      <w:pPr>
        <w:spacing w:after="0" w:line="18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These provisions are designed to discourage coercive takeover practices and inadequate takeover bids. These provisions are also designed to encourage persons seeking to acquire control of us to first negotiate with our board of directors. We believe that the benefits of increased protection and our potential ability to negotiate with the proponent of an unfriendly or unsolicited proposal to acquire control of our company outweigh the disadvantages of discouraging these proposals because, among other things, negotiation of these proposals could result in an improvement of their terms.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Delaware Law</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are subject to Section 203 of the DGCL, which generally prohibits a Delaware corporation, including those whose securities are listed for trading on the NYSE, from engaging in any business combination with any interested stockholder (which is defined generally as a person owning 15% or more of a Delaware corporation’s outstanding voting stock) or its affiliates or associates for a period of three years following the time that the stockholder became an interested stockholder, unless:</w:t>
      </w:r>
    </w:p>
    <w:p>
      <w:pPr>
        <w:spacing w:after="0" w:line="92" w:lineRule="exact"/>
        <w:rPr>
          <w:sz w:val="20"/>
          <w:szCs w:val="20"/>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time the interested stockholder attained that status;</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elect in the future to not be subject to the provisions of Section 203 of the DGCL.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Amended and Restated Certificate of Incorporation and Amended and Restated Bylaws</w:t>
      </w:r>
    </w:p>
    <w:p>
      <w:pPr>
        <w:spacing w:after="0" w:line="12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may delay or discourage transactions involving an actual or potential change in control or change in our management, or transactions that our stockholders might otherwise deem to be in their best interests or in our best interests, including transactions that might result in a premium over the market price for our shares. Therefore, these provisions could adversely affect the price of our common stock.</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Among other things our amended and restated certificate of incorporation and amended and restated bylaws:</w:t>
      </w:r>
    </w:p>
    <w:p>
      <w:pPr>
        <w:spacing w:after="0" w:line="131" w:lineRule="exact"/>
        <w:rPr>
          <w:sz w:val="20"/>
          <w:szCs w:val="20"/>
          <w:color w:val="auto"/>
        </w:rPr>
      </w:pPr>
    </w:p>
    <w:p>
      <w:pPr>
        <w:ind w:left="1060" w:hanging="316"/>
        <w:spacing w:after="0" w:line="259"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later than 90 days nor earlier than</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80"/>
        <w:spacing w:after="0" w:line="257" w:lineRule="auto"/>
        <w:rPr>
          <w:sz w:val="20"/>
          <w:szCs w:val="20"/>
          <w:color w:val="auto"/>
        </w:rPr>
      </w:pPr>
      <w:r>
        <w:rPr>
          <w:rFonts w:ascii="Arial" w:cs="Arial" w:eastAsia="Arial" w:hAnsi="Arial"/>
          <w:sz w:val="18"/>
          <w:szCs w:val="18"/>
          <w:color w:val="auto"/>
        </w:rPr>
        <w:t>120 days prior to the first anniversary date of the annual meeting for the preceding year. Our amended and restated bylaws specify the requirements as to form and content of all stockholder notices. These requirements may preclude stockholders from bringing matters before the stockholders at an annual or special meeting, and may discourage or deter a third party from conducting a solicitation of proxies to elect its slate of directors or to approve its proposal, without regard to whether consideration of those nominees or proposals might be harmful or beneficial to us and our stockholders;</w:t>
      </w:r>
    </w:p>
    <w:p>
      <w:pPr>
        <w:spacing w:after="0" w:line="94" w:lineRule="exact"/>
        <w:rPr>
          <w:sz w:val="20"/>
          <w:szCs w:val="20"/>
          <w:color w:val="auto"/>
        </w:rPr>
      </w:pPr>
    </w:p>
    <w:p>
      <w:pPr>
        <w:ind w:left="1060" w:right="140" w:hanging="316"/>
        <w:spacing w:after="0" w:line="259"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our board of directors the ability to authorize undesignated preferred stock. This ability makes it possible for our board of directors to issue, without stockholder approval, preferred stock with voting or other rights or preferences that could impede the success of any attempt to change control of us. These provisions may have the effect of deterring hostile takeovers or delaying changes in control or management of our company;</w:t>
      </w:r>
    </w:p>
    <w:p>
      <w:pPr>
        <w:spacing w:after="0" w:line="92" w:lineRule="exact"/>
        <w:rPr>
          <w:rFonts w:ascii="Arial" w:cs="Arial" w:eastAsia="Arial" w:hAnsi="Arial"/>
          <w:sz w:val="18"/>
          <w:szCs w:val="18"/>
          <w:color w:val="auto"/>
        </w:rPr>
      </w:pPr>
    </w:p>
    <w:p>
      <w:pPr>
        <w:ind w:left="1060" w:hanging="316"/>
        <w:spacing w:after="0" w:line="271"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provide that (x) the authorized number of directors may be changed only by resolution of the board of directors and (y) all vacancies, including newly created directorships, may, except as otherwise required by law or, if applicable, the rights of holders of a series of preferred stock, only be filled by the affirmative vote of a majority of directors then in office, even if less than a quorum. “Cause” is defined as the director’s (i) conviction of a serious felony involving moral turpitude or a violation of federal or state securities laws; (ii) the commission of any material act of dishonesty resulting or intended to result in material personal gain or enrichment of such director at the expense of CRC or any of its subsidiaries and which act, if made the subject of criminal charges, would be reasonably likely to be charged as a felony; or (iii) adjudication as legally incompetent by a court of competent jurisdiction. These provisions may have the effect of deterring hostile takeovers or delaying changes in control or management of our company;</w:t>
      </w:r>
    </w:p>
    <w:p>
      <w:pPr>
        <w:spacing w:after="0" w:line="84" w:lineRule="exact"/>
        <w:rPr>
          <w:rFonts w:ascii="Arial" w:cs="Arial" w:eastAsia="Arial" w:hAnsi="Arial"/>
          <w:sz w:val="17"/>
          <w:szCs w:val="17"/>
          <w:color w:val="auto"/>
        </w:rPr>
      </w:pPr>
    </w:p>
    <w:p>
      <w:pPr>
        <w:ind w:left="1060" w:right="120" w:hanging="316"/>
        <w:spacing w:after="0" w:line="297"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provide that (x)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our preferred stock with respect to such series, and (y) special meetings of our stockholders may only be called by the board of directors, the chief executive officer or the chairman of the board. These provisions regarding our stockholder meetings may have the effect of deterring hostile takeovers or delaying changes in control or management of our company; and</w:t>
      </w:r>
    </w:p>
    <w:p>
      <w:pPr>
        <w:spacing w:after="0" w:line="63" w:lineRule="exact"/>
        <w:rPr>
          <w:rFonts w:ascii="Arial" w:cs="Arial" w:eastAsia="Arial" w:hAnsi="Arial"/>
          <w:sz w:val="16"/>
          <w:szCs w:val="16"/>
          <w:color w:val="auto"/>
        </w:rPr>
      </w:pPr>
    </w:p>
    <w:p>
      <w:pPr>
        <w:ind w:left="1060" w:right="20" w:hanging="316"/>
        <w:spacing w:after="0" w:line="289"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provide that (x) certain provisions of our certificate of incorporation related to the voting rights of stockholders, our board of directors, special meetings of our stockholders, the ability of our stockholders to act by written consent, the forum for certain disputes related to us or our stockholders, and the applicability of Section 203 DGCL may be amended only by the affirmative vote of the holders of at least 75% of the voting power of our then outstanding common stock and that other provisions of our certificate of incorporation may be amended upon the affirmative vote of the holders of at least a majority of our then outstanding common stock, in each case, in addition to the approval of a majority of our directors then in office and (y) our bylaws can be amended or repealed at any regular or special meeting of stockholders or by the board of directors but any amendment by the stockholders will require the affirmative vote of the holders of at least 75% of the voting power of the shares of our common stock outstanding and entitled to vote thereon. These provisions regarding the amendment of our constituent documents may have the effect of deterring hostile takeovers or delaying changes in control or management of our company.</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Forum Selection</w:t>
      </w:r>
    </w:p>
    <w:p>
      <w:pPr>
        <w:spacing w:after="0" w:line="121"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will, to the fullest extent permitted by applicable law, be the sole and exclusive forum for:</w:t>
      </w:r>
    </w:p>
    <w:p>
      <w:pPr>
        <w:spacing w:after="0" w:line="52" w:lineRule="exact"/>
        <w:rPr>
          <w:sz w:val="20"/>
          <w:szCs w:val="20"/>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72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stockholders;</w:t>
      </w:r>
    </w:p>
    <w:p>
      <w:pPr>
        <w:spacing w:after="0" w:line="75"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our amended and restated certificate of incorporation or our bylaws (as either may be amended from time to time); or</w:t>
      </w:r>
    </w:p>
    <w:p>
      <w:pPr>
        <w:spacing w:after="0" w:line="75"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in each such case subject to such Court of Chancery having personal jurisdiction over the indispensable parties named as defendants therein.</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amended and restated certificate of incorporation also provides that any person or entity purchasing or otherwise holding any interest in shares of our capital stock will be deemed to have notice of and to have consented to this forum selection provision. However, it is possible that a court could find our forum selection provision to be inapplicable or unenforceable.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240" w:top="459" w:right="5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DEPOSITARY SHARES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may offer depositary shares (either separately or together with other securities) representing fractional interests in our preferred stock of any series. In connection with the issuance of any depositary shares, we will enter into a depositary agreement with a bank or trust company, as depositary, which will be named in the applicable prospectus supplement. Depositary shares will be evidenced by depositary receipts issued pursuant to the related depositary agreement. If we elect to offer fractional interests in shares of preferred stock to the public, we will deposit the preferred stock with the relevant preferred stock depositary and will cause the preferred stock depositary to issue, on our behalf, the related depositary receipts. Subject to the terms of the depositary agreement, each owner of a depositary receipt will be entitled, in proportion to the fraction of a share of preferred stock represented by the related depositary share, to all the rights, preferences and privileges of, and will be subject to all of the limitations and restrictions on, the preferred stock represented by the depositary receipt (including, if applicable, dividend, voting, conversion, exchange redemption and liquidation rights). This summary of certain provisions of the depositary shares does not purport to be complete and is subject to, and is qualified in its entirety by reference to, all provisions of the depositary shares.</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may issue warrants for the purchase of our common stock. Warrants may be issued independently or together with Debt Securities, preferred stock or common stock offered by any prospectus supplement and may be attached to or separate from any such offered securities. Each series of warrants will be issued under a separate warrant agreement to be entered into between us and a bank or trust company, as warrant agent, all as set forth in the prospectus supplement relating to the particular issue of warrants. The warrant agent will act solely as our agent in connection with the warrants and will not assume any obligation or relationship of agency or trust for or with any holders of warrants or beneficial owners of warrants. The following summary of certain provisions of the warrants does not purport to be complete and is subject to, and is qualified in its entirety by reference to, all provisions of the warrant agreements.</w:t>
      </w:r>
    </w:p>
    <w:p>
      <w:pPr>
        <w:spacing w:after="0" w:line="18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You should refer to the prospectus supplement relating to a particular issue of warrants for the terms of and information relating to the warrants, including, where applicable:</w:t>
      </w:r>
    </w:p>
    <w:p>
      <w:pPr>
        <w:spacing w:after="0" w:line="76" w:lineRule="exact"/>
        <w:rPr>
          <w:sz w:val="20"/>
          <w:szCs w:val="20"/>
          <w:color w:val="auto"/>
        </w:rPr>
      </w:pPr>
    </w:p>
    <w:p>
      <w:pPr>
        <w:ind w:left="1060" w:right="60" w:hanging="424"/>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shares of common stock purchasable upon exercise of the warrants and the price at which such number of shares of common stock may be purchased upon exercise of the warrants;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commences and the date on which such right expires (the “Expiration Date”);</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the warrants outstanding as of the most recent practicable date;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terms of the warrants.</w:t>
      </w:r>
    </w:p>
    <w:p>
      <w:pPr>
        <w:spacing w:after="0" w:line="225" w:lineRule="exact"/>
        <w:rPr>
          <w:sz w:val="20"/>
          <w:szCs w:val="20"/>
          <w:color w:val="auto"/>
        </w:rPr>
      </w:pPr>
    </w:p>
    <w:p>
      <w:pPr>
        <w:ind w:left="200" w:right="280" w:firstLine="441"/>
        <w:spacing w:after="0" w:line="308" w:lineRule="auto"/>
        <w:rPr>
          <w:sz w:val="20"/>
          <w:szCs w:val="20"/>
          <w:color w:val="auto"/>
        </w:rPr>
      </w:pPr>
      <w:r>
        <w:rPr>
          <w:rFonts w:ascii="Arial" w:cs="Arial" w:eastAsia="Arial" w:hAnsi="Arial"/>
          <w:sz w:val="17"/>
          <w:szCs w:val="17"/>
          <w:color w:val="auto"/>
        </w:rPr>
        <w:t>Prior to the exercise of any warrants, holders of the warrants will not have any of the rights of holders of common stock, including the right to receive payments of any dividends on the common stock purchasable upon exercise of the warrants, or to exercise any right to vote.</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60"/>
          </w:cols>
          <w:pgMar w:left="24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We may sell the offered securities in and outside the United States (1) through underwriters or dealers, (2) directly to purchasers, including our affiliates and stockholders, (3) through agents, (4) in “at the market offerings” to or through a market maker or into an existing trading market, or a securities exchange or otherwise or (5) through a combination of any of these methods. The prospectus supplement will include the following information:</w:t>
      </w:r>
    </w:p>
    <w:p>
      <w:pPr>
        <w:spacing w:after="0" w:line="92" w:lineRule="exact"/>
        <w:rPr>
          <w:sz w:val="20"/>
          <w:szCs w:val="20"/>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estimated net proceeds to us from the sale of the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21"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If underwriters are used in the sale, the underwriters will acquire the securities for their own account for resale to the public, either on a firm commitment basis or a best efforts basis.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certain conditions. The underwriters may change from time to time any offering price and any discounts or concessions allowed or reallowed or paid to dealers.</w:t>
      </w:r>
    </w:p>
    <w:p>
      <w:pPr>
        <w:spacing w:after="0" w:line="165"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65"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If dealers are used, we will sell the securities to them as principals. The dealers may then resell those securities to the public at varying prices determined by the dealers at the time of resale. We will include in the prospectus supplement the names of the dealers and the terms of the transaction.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may sell the securities directly. In this case, no underwriters or agents would be involved. We may also sell the securities through agents designated from time to time. In the prospectus supplement, we will name any agent involved in the offer or sale of the offered securities, and we will describe any commissions payable to the agent. Unless we inform you otherwise in the prospectus supplement, any agent will agree to use its reasonable best efforts to solicit purchases for the period of its appointment.</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securities. We will describe the terms of any such sales in the prospectus supplement.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Remarketing Arrangements</w:t>
      </w:r>
    </w:p>
    <w:p>
      <w:pPr>
        <w:spacing w:after="0" w:line="12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Offered securities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 Remarketing firms may be deemed to be underwriters, as that term is defined in the Securities Act, in connection with the securities remarketed.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Delayed Delivery Contracts</w:t>
      </w:r>
    </w:p>
    <w:p>
      <w:pPr>
        <w:spacing w:after="0" w:line="121"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underwriters or remarketing firms may be required to make. Agents, dealers, underwriters and remarketing firms may be customers of, engage in transactions with, or perform services for us in the ordinary course of their businesses.</w:t>
      </w:r>
    </w:p>
    <w:p>
      <w:pPr>
        <w:spacing w:after="0" w:line="18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Unless otherwise specified in the applicable prospectus supplement each series of securities will be a new issue and will have no established trading market, other than our common stock, which is listed on the NYSE. We may elect to list any series of securities on an exchange, but we are not obligated to do so.</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Certain legal matters in connection with the securities will be passed upon by Vinson &amp; Elkins L.L.P., Houston, Texas, as our counsel. Any underwriter or agent will be advised about other issues relating to any offering by its own legal counsel.</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consolidated financial statements of California Resources Corporation and subsidiaries as of December 31, 2017 and 2016, and for each of the years in the three-year period ended December 31, 2017 and management’s assessment of the effectiveness of internal control over financial reporting as of December 31, 2017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Certain information incorporated by reference into this prospectus with respect to the oil and gas reserves associated with California Resources Corporation’s oil and gas properties is confirmed in a letter of Ryder Scott Company, L.P., independent petroleum engineers, detailing the audit of the proved reserves at the effective date prepared by California Resources Corporation’s staff. We have included this information in reliance on the authority of such firm as an expert in these matters.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Set forth below are the expenses (other than underwriting discounts and commissions) expected to be incurred in connection with the issuance and distribution of the securities registered hereby:</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Rating agency fees</w:t>
            </w: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Miscellaneous</w:t>
            </w: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are deferring payment of the registration fee in reliance on Rule 456(b) and Rule 457(r).</w:t>
      </w:r>
    </w:p>
    <w:p>
      <w:pPr>
        <w:spacing w:after="0" w:line="23" w:lineRule="exact"/>
        <w:rPr>
          <w:sz w:val="20"/>
          <w:szCs w:val="20"/>
          <w:color w:val="auto"/>
        </w:rPr>
      </w:pPr>
    </w:p>
    <w:p>
      <w:pPr>
        <w:ind w:left="640" w:hanging="436"/>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These fees are calculated based on the number of issuances and amount of securities offered and accordingly cannot be estimated at this time.</w:t>
      </w:r>
    </w:p>
    <w:p>
      <w:pPr>
        <w:spacing w:after="0" w:line="378"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auto"/>
        </w:rPr>
        <w:t>Our amended and restated certificate of incorporation limits the liability of our directors for monetary damages for breach of their fiduciary duty as directors, except for liability that cannot be eliminated under the DGCL. Delaware law permits a certificate of incorporation to provide that directors of a company will not be personally liable for monetary damages for breach of their fiduciary duty as directors, except for liabilities:</w:t>
      </w:r>
    </w:p>
    <w:p>
      <w:pPr>
        <w:spacing w:after="0" w:line="71" w:lineRule="exact"/>
        <w:rPr>
          <w:sz w:val="20"/>
          <w:szCs w:val="20"/>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any breach of their duty of loyalty to us or our stockholders;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or acts or omissions not in good faith or which involve intentional misconduct or a knowing violation of law;</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unlawful payment of dividend or unlawful stock repurchase or redemption, as provided under Section 174 of the DGCL;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Any amendment, repeal or modification of these provisions will be prospective only and would not affect any limitation on liability of a director for acts or omissions that occurred prior to any such amendment, repeal or modification.</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Our amended and restated bylaws also provide that we will indemnify our directors and officers to the fullest extent permitted by Delaware law. Our amended and restated bylaws also permit us to purchase insurance on behalf of any officer, director, employee or other agent for any liability arising out of that person’s actions as our officer, director, employee or agent, regardless of whether Delaware law would permit indemnification. We may from time to time enter into indemnification agreements with our directors and officers. These agreements will typically require us to indemnify these individuals to the fullest extent permitted under Delaware law against liability that may arise by reason of their service to us, and to advance expenses incurred as a result of any proceeding against them as to which they could be indemnified.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documents are filed as exhibits to this Registration Statement:</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720" w:type="dxa"/>
            <w:vAlign w:val="bottom"/>
            <w:gridSpan w:val="23"/>
            <w:vMerge w:val="restart"/>
          </w:tcPr>
          <w:p>
            <w:pPr>
              <w:ind w:left="48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8"/>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Number</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720" w:type="dxa"/>
            <w:vAlign w:val="bottom"/>
            <w:tcBorders>
              <w:bottom w:val="single" w:sz="8" w:color="auto"/>
            </w:tcBorders>
            <w:gridSpan w:val="2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24"/>
                <w:szCs w:val="24"/>
                <w:color w:val="auto"/>
              </w:rPr>
            </w:pPr>
          </w:p>
        </w:tc>
        <w:tc>
          <w:tcPr>
            <w:tcW w:w="9680" w:type="dxa"/>
            <w:vAlign w:val="bottom"/>
            <w:gridSpan w:val="28"/>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8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2.1</w:t>
            </w:r>
          </w:p>
        </w:tc>
        <w:tc>
          <w:tcPr>
            <w:tcW w:w="840" w:type="dxa"/>
            <w:vAlign w:val="bottom"/>
          </w:tcPr>
          <w:p>
            <w:pPr>
              <w:spacing w:after="0"/>
              <w:rPr>
                <w:sz w:val="24"/>
                <w:szCs w:val="24"/>
                <w:color w:val="auto"/>
              </w:rPr>
            </w:pPr>
          </w:p>
        </w:tc>
        <w:tc>
          <w:tcPr>
            <w:tcW w:w="9680" w:type="dxa"/>
            <w:vAlign w:val="bottom"/>
            <w:gridSpan w:val="28"/>
          </w:tcPr>
          <w:p>
            <w:pPr>
              <w:spacing w:after="0"/>
              <w:rPr>
                <w:rFonts w:ascii="Arial" w:cs="Arial" w:eastAsia="Arial" w:hAnsi="Arial"/>
                <w:sz w:val="18"/>
                <w:szCs w:val="18"/>
                <w:color w:val="0000EE"/>
                <w:w w:val="93"/>
              </w:rPr>
            </w:pPr>
            <w:hyperlink r:id="rId56">
              <w:r>
                <w:rPr>
                  <w:rFonts w:ascii="Arial" w:cs="Arial" w:eastAsia="Arial" w:hAnsi="Arial"/>
                  <w:sz w:val="18"/>
                  <w:szCs w:val="18"/>
                  <w:color w:val="0000EE"/>
                  <w:w w:val="93"/>
                </w:rPr>
                <w:t>Separation and Distribution Agreement between Occidental Petroleum Corporation and California Resources Corporation (filed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5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Exhibit 2.1 to Registrant’s Current Report on Form 8-K filed December 1, 2014 and incorporated herein by reference).</w:t>
              </w:r>
            </w:hyperlink>
          </w:p>
        </w:tc>
        <w:tc>
          <w:tcPr>
            <w:tcW w:w="860" w:type="dxa"/>
            <w:vAlign w:val="bottom"/>
            <w:tcBorders>
              <w:top w:val="single" w:sz="8" w:color="0000EE"/>
            </w:tcBorders>
            <w:gridSpan w:val="7"/>
          </w:tcPr>
          <w:p>
            <w:pPr>
              <w:spacing w:after="0"/>
              <w:rPr>
                <w:sz w:val="17"/>
                <w:szCs w:val="17"/>
                <w:color w:val="auto"/>
              </w:rPr>
            </w:pPr>
          </w:p>
        </w:tc>
        <w:tc>
          <w:tcPr>
            <w:tcW w:w="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840" w:type="dxa"/>
            <w:vAlign w:val="bottom"/>
          </w:tcPr>
          <w:p>
            <w:pPr>
              <w:spacing w:after="0"/>
              <w:rPr>
                <w:sz w:val="24"/>
                <w:szCs w:val="24"/>
                <w:color w:val="auto"/>
              </w:rPr>
            </w:pPr>
          </w:p>
        </w:tc>
        <w:tc>
          <w:tcPr>
            <w:tcW w:w="9540" w:type="dxa"/>
            <w:vAlign w:val="bottom"/>
            <w:tcBorders>
              <w:bottom w:val="single" w:sz="8" w:color="0000EE"/>
            </w:tcBorders>
            <w:gridSpan w:val="24"/>
          </w:tcPr>
          <w:p>
            <w:pPr>
              <w:spacing w:after="0"/>
              <w:rPr>
                <w:rFonts w:ascii="Arial" w:cs="Arial" w:eastAsia="Arial" w:hAnsi="Arial"/>
                <w:sz w:val="18"/>
                <w:szCs w:val="18"/>
                <w:color w:val="0000EE"/>
                <w:w w:val="91"/>
              </w:rPr>
            </w:pPr>
            <w:hyperlink r:id="rId57">
              <w:r>
                <w:rPr>
                  <w:rFonts w:ascii="Arial" w:cs="Arial" w:eastAsia="Arial" w:hAnsi="Arial"/>
                  <w:sz w:val="18"/>
                  <w:szCs w:val="18"/>
                  <w:color w:val="0000EE"/>
                  <w:w w:val="91"/>
                </w:rPr>
                <w:t>Amended and Restated Certificate of Incorporation of California Resources Corporation (filed as Exhibit 3.1 to Registrant’s Current</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57">
              <w:r>
                <w:rPr>
                  <w:rFonts w:ascii="Arial" w:cs="Arial" w:eastAsia="Arial" w:hAnsi="Arial"/>
                  <w:sz w:val="18"/>
                  <w:szCs w:val="18"/>
                  <w:color w:val="0000EE"/>
                  <w:w w:val="90"/>
                </w:rPr>
                <w:t>Report on Form 8-K filed June 3, 2016 and incorporated herein by reference).</w:t>
              </w:r>
            </w:hyperlink>
          </w:p>
        </w:tc>
        <w:tc>
          <w:tcPr>
            <w:tcW w:w="40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840" w:type="dxa"/>
            <w:vAlign w:val="bottom"/>
          </w:tcPr>
          <w:p>
            <w:pPr>
              <w:spacing w:after="0"/>
              <w:rPr>
                <w:sz w:val="24"/>
                <w:szCs w:val="24"/>
                <w:color w:val="auto"/>
              </w:rPr>
            </w:pPr>
          </w:p>
        </w:tc>
        <w:tc>
          <w:tcPr>
            <w:tcW w:w="9560" w:type="dxa"/>
            <w:vAlign w:val="bottom"/>
            <w:tcBorders>
              <w:bottom w:val="single" w:sz="8" w:color="0000EE"/>
            </w:tcBorders>
            <w:gridSpan w:val="25"/>
          </w:tcPr>
          <w:p>
            <w:pPr>
              <w:spacing w:after="0"/>
              <w:rPr>
                <w:rFonts w:ascii="Arial" w:cs="Arial" w:eastAsia="Arial" w:hAnsi="Arial"/>
                <w:sz w:val="18"/>
                <w:szCs w:val="18"/>
                <w:color w:val="0000EE"/>
                <w:w w:val="91"/>
              </w:rPr>
            </w:pPr>
            <w:hyperlink r:id="rId58">
              <w:r>
                <w:rPr>
                  <w:rFonts w:ascii="Arial" w:cs="Arial" w:eastAsia="Arial" w:hAnsi="Arial"/>
                  <w:sz w:val="18"/>
                  <w:szCs w:val="18"/>
                  <w:color w:val="0000EE"/>
                  <w:w w:val="91"/>
                </w:rPr>
                <w:t>Amended and Restated Bylaws of California Resources Corporation (filed as Exhibit 3.2 to the Registrant’s Current Report on Form</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8-K filed November 10, 2015 and incorporated herein by reference).</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840" w:type="dxa"/>
            <w:vAlign w:val="bottom"/>
          </w:tcPr>
          <w:p>
            <w:pPr>
              <w:spacing w:after="0"/>
              <w:rPr>
                <w:sz w:val="24"/>
                <w:szCs w:val="24"/>
                <w:color w:val="auto"/>
              </w:rPr>
            </w:pPr>
          </w:p>
        </w:tc>
        <w:tc>
          <w:tcPr>
            <w:tcW w:w="9480" w:type="dxa"/>
            <w:vAlign w:val="bottom"/>
            <w:tcBorders>
              <w:bottom w:val="single" w:sz="8" w:color="0000EE"/>
            </w:tcBorders>
            <w:gridSpan w:val="21"/>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Indenture, dated October 1, 2014, by and among California Resources Corporation, the Guarantors and Wells Fargo Bank, National</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Association (filed as Exhibit 4.2 to Amendment No. 4 to the Registrant’s Information Statement on Form 10 filed October 8, 2014</w:t>
              </w:r>
            </w:hyperlink>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and incorporated herein by reference).</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840" w:type="dxa"/>
            <w:vAlign w:val="bottom"/>
          </w:tcPr>
          <w:p>
            <w:pPr>
              <w:spacing w:after="0"/>
              <w:rPr>
                <w:sz w:val="24"/>
                <w:szCs w:val="24"/>
                <w:color w:val="auto"/>
              </w:rPr>
            </w:pPr>
          </w:p>
        </w:tc>
        <w:tc>
          <w:tcPr>
            <w:tcW w:w="9360" w:type="dxa"/>
            <w:vAlign w:val="bottom"/>
            <w:tcBorders>
              <w:bottom w:val="single" w:sz="8" w:color="0000EE"/>
            </w:tcBorders>
            <w:gridSpan w:val="16"/>
          </w:tcPr>
          <w:p>
            <w:pPr>
              <w:spacing w:after="0"/>
              <w:rPr>
                <w:rFonts w:ascii="Arial" w:cs="Arial" w:eastAsia="Arial" w:hAnsi="Arial"/>
                <w:sz w:val="18"/>
                <w:szCs w:val="18"/>
                <w:color w:val="0000EE"/>
                <w:w w:val="90"/>
              </w:rPr>
            </w:pPr>
            <w:hyperlink r:id="rId60">
              <w:r>
                <w:rPr>
                  <w:rFonts w:ascii="Arial" w:cs="Arial" w:eastAsia="Arial" w:hAnsi="Arial"/>
                  <w:sz w:val="18"/>
                  <w:szCs w:val="18"/>
                  <w:color w:val="0000EE"/>
                  <w:w w:val="90"/>
                </w:rPr>
                <w:t>Indenture, dated December 15, 2015, by and among California Resources Corporation, the Guarantors and the Bank of New York</w:t>
              </w:r>
            </w:hyperlink>
          </w:p>
        </w:tc>
        <w:tc>
          <w:tcPr>
            <w:tcW w:w="3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9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60">
              <w:r>
                <w:rPr>
                  <w:rFonts w:ascii="Arial" w:cs="Arial" w:eastAsia="Arial" w:hAnsi="Arial"/>
                  <w:sz w:val="18"/>
                  <w:szCs w:val="18"/>
                  <w:color w:val="0000EE"/>
                  <w:w w:val="92"/>
                </w:rPr>
                <w:t>Mellon Trust Company, N.A. (filed as Exhibit 4.1 to Registrant’s Current Report on Form 8-K filed December 18, 2015 and</w:t>
              </w:r>
            </w:hyperlink>
          </w:p>
        </w:tc>
        <w:tc>
          <w:tcPr>
            <w:tcW w:w="7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60">
              <w:r>
                <w:rPr>
                  <w:rFonts w:ascii="Arial" w:cs="Arial" w:eastAsia="Arial" w:hAnsi="Arial"/>
                  <w:sz w:val="18"/>
                  <w:szCs w:val="18"/>
                  <w:color w:val="0000EE"/>
                  <w:w w:val="89"/>
                </w:rPr>
                <w:t>incorporated herein by reference).</w:t>
              </w:r>
            </w:hyperlink>
          </w:p>
        </w:tc>
        <w:tc>
          <w:tcPr>
            <w:tcW w:w="72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840" w:type="dxa"/>
            <w:vAlign w:val="bottom"/>
          </w:tcPr>
          <w:p>
            <w:pPr>
              <w:spacing w:after="0"/>
              <w:rPr>
                <w:sz w:val="24"/>
                <w:szCs w:val="24"/>
                <w:color w:val="auto"/>
              </w:rPr>
            </w:pPr>
          </w:p>
        </w:tc>
        <w:tc>
          <w:tcPr>
            <w:tcW w:w="9400" w:type="dxa"/>
            <w:vAlign w:val="bottom"/>
            <w:tcBorders>
              <w:bottom w:val="single" w:sz="8" w:color="0000EE"/>
            </w:tcBorders>
            <w:gridSpan w:val="17"/>
          </w:tcPr>
          <w:p>
            <w:pPr>
              <w:spacing w:after="0"/>
              <w:rPr>
                <w:rFonts w:ascii="Arial" w:cs="Arial" w:eastAsia="Arial" w:hAnsi="Arial"/>
                <w:sz w:val="18"/>
                <w:szCs w:val="18"/>
                <w:color w:val="0000EE"/>
                <w:w w:val="89"/>
              </w:rPr>
            </w:pPr>
            <w:hyperlink r:id="rId61">
              <w:r>
                <w:rPr>
                  <w:rFonts w:ascii="Arial" w:cs="Arial" w:eastAsia="Arial" w:hAnsi="Arial"/>
                  <w:sz w:val="18"/>
                  <w:szCs w:val="18"/>
                  <w:color w:val="0000EE"/>
                  <w:w w:val="89"/>
                </w:rPr>
                <w:t>Guarantor Supplemental Indenture dated as of March 5, 2015, among California Resources Corporation, certain guarantors named</w:t>
              </w:r>
            </w:hyperlink>
          </w:p>
        </w:tc>
        <w:tc>
          <w:tcPr>
            <w:tcW w:w="2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3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therein and Wells Fargo Bank, National Association (filed as Exhibit 4.2 to Registrant’s Registration Statement on Form S-4 filed</w:t>
              </w:r>
            </w:hyperlink>
          </w:p>
        </w:tc>
        <w:tc>
          <w:tcPr>
            <w:tcW w:w="3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9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March 12, 2015 and incorporated herein by reference).</w:t>
              </w:r>
            </w:hyperlink>
          </w:p>
        </w:tc>
        <w:tc>
          <w:tcPr>
            <w:tcW w:w="57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4.4</w:t>
            </w:r>
          </w:p>
        </w:tc>
        <w:tc>
          <w:tcPr>
            <w:tcW w:w="840" w:type="dxa"/>
            <w:vAlign w:val="bottom"/>
          </w:tcPr>
          <w:p>
            <w:pPr>
              <w:spacing w:after="0"/>
              <w:rPr>
                <w:sz w:val="24"/>
                <w:szCs w:val="24"/>
                <w:color w:val="auto"/>
              </w:rPr>
            </w:pPr>
          </w:p>
        </w:tc>
        <w:tc>
          <w:tcPr>
            <w:tcW w:w="9400" w:type="dxa"/>
            <w:vAlign w:val="bottom"/>
            <w:tcBorders>
              <w:bottom w:val="single" w:sz="8" w:color="0000EE"/>
            </w:tcBorders>
            <w:gridSpan w:val="17"/>
          </w:tcPr>
          <w:p>
            <w:pPr>
              <w:spacing w:after="0"/>
              <w:rPr>
                <w:rFonts w:ascii="Arial" w:cs="Arial" w:eastAsia="Arial" w:hAnsi="Arial"/>
                <w:sz w:val="18"/>
                <w:szCs w:val="18"/>
                <w:color w:val="0000EE"/>
                <w:w w:val="89"/>
              </w:rPr>
            </w:pPr>
            <w:hyperlink r:id="rId62">
              <w:r>
                <w:rPr>
                  <w:rFonts w:ascii="Arial" w:cs="Arial" w:eastAsia="Arial" w:hAnsi="Arial"/>
                  <w:sz w:val="18"/>
                  <w:szCs w:val="18"/>
                  <w:color w:val="0000EE"/>
                  <w:w w:val="89"/>
                </w:rPr>
                <w:t>Guarantor Supplemental Indenture dated as of March 4, 2016, among California Resources Corporation, certain guarantors named</w:t>
              </w:r>
            </w:hyperlink>
          </w:p>
        </w:tc>
        <w:tc>
          <w:tcPr>
            <w:tcW w:w="2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therein and The Bank of New York Mellon Trust Company, N.A., as trustee (filed as Exhibit 4.1 to Registrant’s Quarterly Report on</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1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Form 10-Q filed August 4, 2016 and incorporated herein by reference).</w:t>
              </w:r>
            </w:hyperlink>
          </w:p>
        </w:tc>
        <w:tc>
          <w:tcPr>
            <w:tcW w:w="45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4.5</w:t>
            </w:r>
          </w:p>
        </w:tc>
        <w:tc>
          <w:tcPr>
            <w:tcW w:w="840" w:type="dxa"/>
            <w:vAlign w:val="bottom"/>
          </w:tcPr>
          <w:p>
            <w:pPr>
              <w:spacing w:after="0"/>
              <w:rPr>
                <w:sz w:val="24"/>
                <w:szCs w:val="24"/>
                <w:color w:val="auto"/>
              </w:rPr>
            </w:pPr>
          </w:p>
        </w:tc>
        <w:tc>
          <w:tcPr>
            <w:tcW w:w="9680" w:type="dxa"/>
            <w:vAlign w:val="bottom"/>
            <w:gridSpan w:val="28"/>
          </w:tcPr>
          <w:p>
            <w:pPr>
              <w:spacing w:after="0"/>
              <w:rPr>
                <w:rFonts w:ascii="Arial" w:cs="Arial" w:eastAsia="Arial" w:hAnsi="Arial"/>
                <w:sz w:val="18"/>
                <w:szCs w:val="18"/>
                <w:color w:val="0000EE"/>
                <w:w w:val="93"/>
              </w:rPr>
            </w:pPr>
            <w:hyperlink r:id="rId63">
              <w:r>
                <w:rPr>
                  <w:rFonts w:ascii="Arial" w:cs="Arial" w:eastAsia="Arial" w:hAnsi="Arial"/>
                  <w:sz w:val="18"/>
                  <w:szCs w:val="18"/>
                  <w:color w:val="0000EE"/>
                  <w:w w:val="93"/>
                </w:rPr>
                <w:t>Guarantor Supplement Indenture dated as of March 4, 2016, among California Resources Corporation, certain guarantors named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56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therein and The Bank of New York Mellon Trust Company, N.A., as trustee (filed as Exhibit 4.2 to Registrant’s Quarterly Report on</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1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Form 10-Q filed August 4, 2016 and incorporated herein by reference).</w:t>
              </w:r>
            </w:hyperlink>
          </w:p>
        </w:tc>
        <w:tc>
          <w:tcPr>
            <w:tcW w:w="45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4.6</w:t>
            </w:r>
          </w:p>
        </w:tc>
        <w:tc>
          <w:tcPr>
            <w:tcW w:w="840" w:type="dxa"/>
            <w:vAlign w:val="bottom"/>
          </w:tcPr>
          <w:p>
            <w:pPr>
              <w:spacing w:after="0"/>
              <w:rPr>
                <w:sz w:val="24"/>
                <w:szCs w:val="24"/>
                <w:color w:val="auto"/>
              </w:rPr>
            </w:pPr>
          </w:p>
        </w:tc>
        <w:tc>
          <w:tcPr>
            <w:tcW w:w="9680" w:type="dxa"/>
            <w:vAlign w:val="bottom"/>
            <w:gridSpan w:val="28"/>
          </w:tcPr>
          <w:p>
            <w:pPr>
              <w:spacing w:after="0"/>
              <w:rPr>
                <w:rFonts w:ascii="Arial" w:cs="Arial" w:eastAsia="Arial" w:hAnsi="Arial"/>
                <w:sz w:val="18"/>
                <w:szCs w:val="18"/>
                <w:color w:val="0000EE"/>
                <w:w w:val="93"/>
              </w:rPr>
            </w:pPr>
            <w:hyperlink r:id="rId64">
              <w:r>
                <w:rPr>
                  <w:rFonts w:ascii="Arial" w:cs="Arial" w:eastAsia="Arial" w:hAnsi="Arial"/>
                  <w:sz w:val="18"/>
                  <w:szCs w:val="18"/>
                  <w:color w:val="0000EE"/>
                  <w:w w:val="93"/>
                </w:rPr>
                <w:t>Guarantor Supplemental Indenture No. 2, dated as of April 29, 2016, among California Resources Corporation, certain guarantors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0" w:type="dxa"/>
            <w:vAlign w:val="bottom"/>
            <w:gridSpan w:val="7"/>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2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named therein and Wilmington Trust, National Association, as trustee (filed as Exhibit 10.4 to Registrant’s Quarterly Report on Form</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10-Q filed August 4, 2016 and incorporated herein by reference).</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4.7</w:t>
            </w:r>
          </w:p>
        </w:tc>
        <w:tc>
          <w:tcPr>
            <w:tcW w:w="840" w:type="dxa"/>
            <w:vAlign w:val="bottom"/>
          </w:tcPr>
          <w:p>
            <w:pPr>
              <w:spacing w:after="0"/>
              <w:rPr>
                <w:sz w:val="24"/>
                <w:szCs w:val="24"/>
                <w:color w:val="auto"/>
              </w:rPr>
            </w:pPr>
          </w:p>
        </w:tc>
        <w:tc>
          <w:tcPr>
            <w:tcW w:w="9460" w:type="dxa"/>
            <w:vAlign w:val="bottom"/>
            <w:tcBorders>
              <w:bottom w:val="single" w:sz="8" w:color="0000EE"/>
            </w:tcBorders>
            <w:gridSpan w:val="20"/>
          </w:tcPr>
          <w:p>
            <w:pPr>
              <w:spacing w:after="0"/>
              <w:rPr>
                <w:rFonts w:ascii="Arial" w:cs="Arial" w:eastAsia="Arial" w:hAnsi="Arial"/>
                <w:sz w:val="18"/>
                <w:szCs w:val="18"/>
                <w:color w:val="0000EE"/>
                <w:w w:val="90"/>
              </w:rPr>
            </w:pPr>
            <w:hyperlink r:id="rId65">
              <w:r>
                <w:rPr>
                  <w:rFonts w:ascii="Arial" w:cs="Arial" w:eastAsia="Arial" w:hAnsi="Arial"/>
                  <w:sz w:val="18"/>
                  <w:szCs w:val="18"/>
                  <w:color w:val="0000EE"/>
                  <w:w w:val="90"/>
                </w:rPr>
                <w:t>Assumption Agreement dated as of March 6, 2015, among CRC Construction Services, LLC and JP Morgan Chase Bank, N.A., as</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Administrative Agent for lenders (filed as Exhibit 10.31 to Registrant’s Registration Statement on Form S-4 filed March 12, 2015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65">
              <w:r>
                <w:rPr>
                  <w:rFonts w:ascii="Arial" w:cs="Arial" w:eastAsia="Arial" w:hAnsi="Arial"/>
                  <w:sz w:val="18"/>
                  <w:szCs w:val="18"/>
                  <w:color w:val="0000EE"/>
                  <w:w w:val="89"/>
                </w:rPr>
                <w:t>incorporated herein by reference).</w:t>
              </w:r>
            </w:hyperlink>
          </w:p>
        </w:tc>
        <w:tc>
          <w:tcPr>
            <w:tcW w:w="72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4.8</w:t>
            </w:r>
          </w:p>
        </w:tc>
        <w:tc>
          <w:tcPr>
            <w:tcW w:w="840" w:type="dxa"/>
            <w:vAlign w:val="bottom"/>
          </w:tcPr>
          <w:p>
            <w:pPr>
              <w:spacing w:after="0"/>
              <w:rPr>
                <w:sz w:val="24"/>
                <w:szCs w:val="24"/>
                <w:color w:val="auto"/>
              </w:rPr>
            </w:pPr>
          </w:p>
        </w:tc>
        <w:tc>
          <w:tcPr>
            <w:tcW w:w="9300" w:type="dxa"/>
            <w:vAlign w:val="bottom"/>
            <w:tcBorders>
              <w:bottom w:val="single" w:sz="8" w:color="0000EE"/>
            </w:tcBorders>
            <w:gridSpan w:val="14"/>
          </w:tcPr>
          <w:p>
            <w:pPr>
              <w:spacing w:after="0"/>
              <w:rPr>
                <w:rFonts w:ascii="Arial" w:cs="Arial" w:eastAsia="Arial" w:hAnsi="Arial"/>
                <w:sz w:val="18"/>
                <w:szCs w:val="18"/>
                <w:color w:val="0000EE"/>
                <w:w w:val="90"/>
              </w:rPr>
            </w:pPr>
            <w:hyperlink r:id="rId66">
              <w:r>
                <w:rPr>
                  <w:rFonts w:ascii="Arial" w:cs="Arial" w:eastAsia="Arial" w:hAnsi="Arial"/>
                  <w:sz w:val="18"/>
                  <w:szCs w:val="18"/>
                  <w:color w:val="0000EE"/>
                  <w:w w:val="90"/>
                </w:rPr>
                <w:t>Registration Rights Agreement, dated October 1, 2014, by and among California Resources Corporation, the Guarantors and the</w:t>
              </w:r>
            </w:hyperlink>
          </w:p>
        </w:tc>
        <w:tc>
          <w:tcPr>
            <w:tcW w:w="3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4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Initial Purchasers (filed as Exhibit 4.3 to Amendment No. 4 to the Registrant’s Information Statement on Form 10 filed October 8,</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80" w:type="dxa"/>
            <w:vAlign w:val="bottom"/>
            <w:gridSpan w:val="28"/>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2014 and incorporated herein by reference).</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920" w:type="dxa"/>
            <w:vAlign w:val="bottom"/>
            <w:gridSpan w:val="1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4.9</w:t>
            </w:r>
          </w:p>
        </w:tc>
        <w:tc>
          <w:tcPr>
            <w:tcW w:w="840" w:type="dxa"/>
            <w:vAlign w:val="bottom"/>
          </w:tcPr>
          <w:p>
            <w:pPr>
              <w:spacing w:after="0"/>
              <w:rPr>
                <w:sz w:val="24"/>
                <w:szCs w:val="24"/>
                <w:color w:val="auto"/>
              </w:rPr>
            </w:pPr>
          </w:p>
        </w:tc>
        <w:tc>
          <w:tcPr>
            <w:tcW w:w="9680" w:type="dxa"/>
            <w:vAlign w:val="bottom"/>
            <w:gridSpan w:val="28"/>
          </w:tcPr>
          <w:p>
            <w:pPr>
              <w:spacing w:after="0"/>
              <w:rPr>
                <w:rFonts w:ascii="Arial" w:cs="Arial" w:eastAsia="Arial" w:hAnsi="Arial"/>
                <w:sz w:val="18"/>
                <w:szCs w:val="18"/>
                <w:color w:val="0000EE"/>
                <w:w w:val="93"/>
              </w:rPr>
            </w:pPr>
            <w:hyperlink r:id="rId59">
              <w:r>
                <w:rPr>
                  <w:rFonts w:ascii="Arial" w:cs="Arial" w:eastAsia="Arial" w:hAnsi="Arial"/>
                  <w:sz w:val="18"/>
                  <w:szCs w:val="18"/>
                  <w:color w:val="0000EE"/>
                  <w:w w:val="93"/>
                </w:rPr>
                <w:t>Form of 5% Senior Note due 2020 (included in Exhibit 4.2 to Amendment No. 4 to the Registrant’s Information Statement on Form</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10 filed October 8, 2014 and incorporated herein by reference).</w:t>
              </w:r>
            </w:hyperlink>
          </w:p>
        </w:tc>
        <w:tc>
          <w:tcPr>
            <w:tcW w:w="4920" w:type="dxa"/>
            <w:vAlign w:val="bottom"/>
            <w:tcBorders>
              <w:top w:val="single" w:sz="8" w:color="0000EE"/>
            </w:tcBorders>
            <w:gridSpan w:val="16"/>
          </w:tcPr>
          <w:p>
            <w:pPr>
              <w:spacing w:after="0"/>
              <w:rPr>
                <w:sz w:val="17"/>
                <w:szCs w:val="17"/>
                <w:color w:val="auto"/>
              </w:rPr>
            </w:pPr>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60" w:type="dxa"/>
            <w:vAlign w:val="bottom"/>
            <w:gridSpan w:val="16"/>
            <w:vMerge w:val="restart"/>
          </w:tcPr>
          <w:p>
            <w:pPr>
              <w:ind w:left="2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8"/>
        </w:trPr>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7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60" w:type="dxa"/>
            <w:vAlign w:val="bottom"/>
            <w:tcBorders>
              <w:bottom w:val="single" w:sz="8" w:color="auto"/>
            </w:tcBorders>
            <w:gridSpan w:val="1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4.10</w:t>
            </w:r>
          </w:p>
        </w:tc>
        <w:tc>
          <w:tcPr>
            <w:tcW w:w="820" w:type="dxa"/>
            <w:vAlign w:val="bottom"/>
          </w:tcPr>
          <w:p>
            <w:pPr>
              <w:spacing w:after="0"/>
              <w:rPr>
                <w:sz w:val="23"/>
                <w:szCs w:val="23"/>
                <w:color w:val="auto"/>
              </w:rPr>
            </w:pPr>
          </w:p>
        </w:tc>
        <w:tc>
          <w:tcPr>
            <w:tcW w:w="9340" w:type="dxa"/>
            <w:vAlign w:val="bottom"/>
            <w:tcBorders>
              <w:bottom w:val="single" w:sz="8" w:color="0000EE"/>
            </w:tcBorders>
            <w:gridSpan w:val="17"/>
          </w:tcPr>
          <w:p>
            <w:pPr>
              <w:spacing w:after="0"/>
              <w:rPr>
                <w:rFonts w:ascii="Arial" w:cs="Arial" w:eastAsia="Arial" w:hAnsi="Arial"/>
                <w:sz w:val="18"/>
                <w:szCs w:val="18"/>
                <w:color w:val="0000EE"/>
                <w:w w:val="91"/>
              </w:rPr>
            </w:pPr>
            <w:hyperlink r:id="rId59">
              <w:r>
                <w:rPr>
                  <w:rFonts w:ascii="Arial" w:cs="Arial" w:eastAsia="Arial" w:hAnsi="Arial"/>
                  <w:sz w:val="18"/>
                  <w:szCs w:val="18"/>
                  <w:color w:val="0000EE"/>
                  <w:w w:val="91"/>
                </w:rPr>
                <w:t>Form of 5 1/2% Senior Note due 2021 (included in Exhibit 4.2 to Amendment No. 4 to the Registrant’s Information Statement on</w:t>
              </w:r>
            </w:hyperlink>
          </w:p>
        </w:tc>
        <w:tc>
          <w:tcPr>
            <w:tcW w:w="360" w:type="dxa"/>
            <w:vAlign w:val="bottom"/>
            <w:gridSpan w:val="6"/>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Form 10 filed October 8, 2014 and incorporated herein by reference).</w:t>
              </w:r>
            </w:hyperlink>
          </w:p>
        </w:tc>
        <w:tc>
          <w:tcPr>
            <w:tcW w:w="47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4.11</w:t>
            </w:r>
          </w:p>
        </w:tc>
        <w:tc>
          <w:tcPr>
            <w:tcW w:w="820" w:type="dxa"/>
            <w:vAlign w:val="bottom"/>
          </w:tcPr>
          <w:p>
            <w:pPr>
              <w:spacing w:after="0"/>
              <w:rPr>
                <w:sz w:val="24"/>
                <w:szCs w:val="24"/>
                <w:color w:val="auto"/>
              </w:rPr>
            </w:pPr>
          </w:p>
        </w:tc>
        <w:tc>
          <w:tcPr>
            <w:tcW w:w="9500" w:type="dxa"/>
            <w:vAlign w:val="bottom"/>
            <w:tcBorders>
              <w:bottom w:val="single" w:sz="8" w:color="0000EE"/>
            </w:tcBorders>
            <w:gridSpan w:val="21"/>
          </w:tcPr>
          <w:p>
            <w:pPr>
              <w:spacing w:after="0"/>
              <w:rPr>
                <w:rFonts w:ascii="Arial" w:cs="Arial" w:eastAsia="Arial" w:hAnsi="Arial"/>
                <w:sz w:val="18"/>
                <w:szCs w:val="18"/>
                <w:color w:val="0000EE"/>
                <w:w w:val="91"/>
              </w:rPr>
            </w:pPr>
            <w:hyperlink r:id="rId59">
              <w:r>
                <w:rPr>
                  <w:rFonts w:ascii="Arial" w:cs="Arial" w:eastAsia="Arial" w:hAnsi="Arial"/>
                  <w:sz w:val="18"/>
                  <w:szCs w:val="18"/>
                  <w:color w:val="0000EE"/>
                  <w:w w:val="91"/>
                </w:rPr>
                <w:t>Form of 6% Senior Note due 2024 (included in Exhibit 4.2 to Amendment No. 4 to the Registrant’s Information Statement on Form</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00" w:type="dxa"/>
            <w:vAlign w:val="bottom"/>
            <w:gridSpan w:val="23"/>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10 filed October 8, 2014 and incorporated herein by reference).</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4.12</w:t>
            </w:r>
          </w:p>
        </w:tc>
        <w:tc>
          <w:tcPr>
            <w:tcW w:w="820" w:type="dxa"/>
            <w:vAlign w:val="bottom"/>
          </w:tcPr>
          <w:p>
            <w:pPr>
              <w:spacing w:after="0"/>
              <w:rPr>
                <w:sz w:val="24"/>
                <w:szCs w:val="24"/>
                <w:color w:val="auto"/>
              </w:rPr>
            </w:pPr>
          </w:p>
        </w:tc>
        <w:tc>
          <w:tcPr>
            <w:tcW w:w="9400" w:type="dxa"/>
            <w:vAlign w:val="bottom"/>
            <w:tcBorders>
              <w:bottom w:val="single" w:sz="8" w:color="0000EE"/>
            </w:tcBorders>
            <w:gridSpan w:val="18"/>
          </w:tcPr>
          <w:p>
            <w:pPr>
              <w:spacing w:after="0"/>
              <w:rPr>
                <w:rFonts w:ascii="Arial" w:cs="Arial" w:eastAsia="Arial" w:hAnsi="Arial"/>
                <w:sz w:val="18"/>
                <w:szCs w:val="18"/>
                <w:color w:val="0000EE"/>
                <w:w w:val="91"/>
              </w:rPr>
            </w:pPr>
            <w:hyperlink r:id="rId60">
              <w:r>
                <w:rPr>
                  <w:rFonts w:ascii="Arial" w:cs="Arial" w:eastAsia="Arial" w:hAnsi="Arial"/>
                  <w:sz w:val="18"/>
                  <w:szCs w:val="18"/>
                  <w:color w:val="0000EE"/>
                  <w:w w:val="91"/>
                </w:rPr>
                <w:t>Form of 8% Senior Secured Second Lien Note due 2022 (included in Exhibit 4.1 to Registrant’s Current Report on Form 8-K filed</w:t>
              </w:r>
            </w:hyperlink>
          </w:p>
        </w:tc>
        <w:tc>
          <w:tcPr>
            <w:tcW w:w="3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60">
              <w:r>
                <w:rPr>
                  <w:rFonts w:ascii="Arial" w:cs="Arial" w:eastAsia="Arial" w:hAnsi="Arial"/>
                  <w:sz w:val="18"/>
                  <w:szCs w:val="18"/>
                  <w:color w:val="0000EE"/>
                  <w:w w:val="89"/>
                </w:rPr>
                <w:t>December 18, 2015 and incorporated herein by reference).</w:t>
              </w:r>
            </w:hyperlink>
          </w:p>
        </w:tc>
        <w:tc>
          <w:tcPr>
            <w:tcW w:w="54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4.13</w:t>
            </w:r>
          </w:p>
        </w:tc>
        <w:tc>
          <w:tcPr>
            <w:tcW w:w="820" w:type="dxa"/>
            <w:vAlign w:val="bottom"/>
          </w:tcPr>
          <w:p>
            <w:pPr>
              <w:spacing w:after="0"/>
              <w:rPr>
                <w:sz w:val="24"/>
                <w:szCs w:val="24"/>
                <w:color w:val="auto"/>
              </w:rPr>
            </w:pPr>
          </w:p>
        </w:tc>
        <w:tc>
          <w:tcPr>
            <w:tcW w:w="9640" w:type="dxa"/>
            <w:vAlign w:val="bottom"/>
            <w:tcBorders>
              <w:bottom w:val="single" w:sz="8" w:color="0000EE"/>
            </w:tcBorders>
            <w:gridSpan w:val="22"/>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Registration Rights Agreement, dated as of February 7, 2018, by and between California Resources Corporation and AF V Energy IV</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00" w:type="dxa"/>
            <w:vAlign w:val="bottom"/>
            <w:gridSpan w:val="23"/>
          </w:tcPr>
          <w:p>
            <w:pPr>
              <w:spacing w:after="0" w:line="196" w:lineRule="exact"/>
              <w:rPr>
                <w:rFonts w:ascii="Arial" w:cs="Arial" w:eastAsia="Arial" w:hAnsi="Arial"/>
                <w:sz w:val="18"/>
                <w:szCs w:val="18"/>
                <w:color w:val="0000EE"/>
                <w:w w:val="96"/>
              </w:rPr>
            </w:pPr>
            <w:hyperlink r:id="rId68">
              <w:r>
                <w:rPr>
                  <w:rFonts w:ascii="Arial" w:cs="Arial" w:eastAsia="Arial" w:hAnsi="Arial"/>
                  <w:sz w:val="18"/>
                  <w:szCs w:val="18"/>
                  <w:color w:val="0000EE"/>
                  <w:w w:val="96"/>
                </w:rPr>
                <w:t>AIV 2, L.P., AF V Energy IV AIV 3, L.P., Ares Special Situations Fund IV, L.P., AEOF Holdings I, L.P. and AEOF GP Sub, LLC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340" w:type="dxa"/>
            <w:vAlign w:val="bottom"/>
            <w:tcBorders>
              <w:top w:val="single" w:sz="8" w:color="0000EE"/>
            </w:tcBorders>
            <w:gridSpan w:val="17"/>
          </w:tcPr>
          <w:p>
            <w:pPr>
              <w:spacing w:after="0" w:line="196" w:lineRule="exact"/>
              <w:rPr>
                <w:rFonts w:ascii="Arial" w:cs="Arial" w:eastAsia="Arial" w:hAnsi="Arial"/>
                <w:sz w:val="18"/>
                <w:szCs w:val="18"/>
                <w:color w:val="0000EE"/>
                <w:w w:val="96"/>
              </w:rPr>
            </w:pPr>
            <w:hyperlink r:id="rId68">
              <w:r>
                <w:rPr>
                  <w:rFonts w:ascii="Arial" w:cs="Arial" w:eastAsia="Arial" w:hAnsi="Arial"/>
                  <w:sz w:val="18"/>
                  <w:szCs w:val="18"/>
                  <w:color w:val="0000EE"/>
                  <w:w w:val="96"/>
                </w:rPr>
                <w:t>(included in Exhibit 10.5 to the Registrant’s Current Report on Form 8-K filed February 7, 2018 and incorporated herein by</w:t>
              </w:r>
            </w:hyperlink>
          </w:p>
        </w:tc>
        <w:tc>
          <w:tcPr>
            <w:tcW w:w="3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68">
              <w:r>
                <w:rPr>
                  <w:rFonts w:ascii="Arial" w:cs="Arial" w:eastAsia="Arial" w:hAnsi="Arial"/>
                  <w:sz w:val="18"/>
                  <w:szCs w:val="18"/>
                  <w:color w:val="0000EE"/>
                  <w:w w:val="87"/>
                </w:rPr>
                <w:t>reference).</w:t>
              </w:r>
            </w:hyperlink>
          </w:p>
        </w:tc>
        <w:tc>
          <w:tcPr>
            <w:tcW w:w="8120" w:type="dxa"/>
            <w:vAlign w:val="bottom"/>
            <w:tcBorders>
              <w:top w:val="single" w:sz="8" w:color="0000EE"/>
            </w:tcBorders>
            <w:gridSpan w:val="13"/>
          </w:tcPr>
          <w:p>
            <w:pPr>
              <w:spacing w:after="0"/>
              <w:rPr>
                <w:sz w:val="17"/>
                <w:szCs w:val="17"/>
                <w:color w:val="auto"/>
              </w:rPr>
            </w:pPr>
          </w:p>
        </w:tc>
        <w:tc>
          <w:tcPr>
            <w:tcW w:w="8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4.14</w:t>
            </w:r>
          </w:p>
        </w:tc>
        <w:tc>
          <w:tcPr>
            <w:tcW w:w="820" w:type="dxa"/>
            <w:vAlign w:val="bottom"/>
          </w:tcPr>
          <w:p>
            <w:pPr>
              <w:spacing w:after="0"/>
              <w:rPr>
                <w:sz w:val="24"/>
                <w:szCs w:val="24"/>
                <w:color w:val="auto"/>
              </w:rPr>
            </w:pPr>
          </w:p>
        </w:tc>
        <w:tc>
          <w:tcPr>
            <w:tcW w:w="9700" w:type="dxa"/>
            <w:vAlign w:val="bottom"/>
            <w:gridSpan w:val="23"/>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Registration Rights Agreement, dated as of April 9, 2018, by and between California Resources Corporation and Chevron U.S.A. Inc.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1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(filed as Exhibit 4.01 to the Registrant’s Current Report on Form 8-K filed April 9, 2018 and incorporated herein by reference).</w:t>
              </w:r>
            </w:hyperlink>
          </w:p>
        </w:tc>
        <w:tc>
          <w:tcPr>
            <w:tcW w:w="460" w:type="dxa"/>
            <w:vAlign w:val="bottom"/>
            <w:tcBorders>
              <w:top w:val="single" w:sz="8" w:color="0000EE"/>
            </w:tcBorders>
            <w:gridSpan w:val="6"/>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4.15</w:t>
            </w:r>
          </w:p>
        </w:tc>
        <w:tc>
          <w:tcPr>
            <w:tcW w:w="820" w:type="dxa"/>
            <w:vAlign w:val="bottom"/>
          </w:tcPr>
          <w:p>
            <w:pPr>
              <w:spacing w:after="0"/>
              <w:rPr>
                <w:sz w:val="24"/>
                <w:szCs w:val="24"/>
                <w:color w:val="auto"/>
              </w:rPr>
            </w:pPr>
          </w:p>
        </w:tc>
        <w:tc>
          <w:tcPr>
            <w:tcW w:w="9480" w:type="dxa"/>
            <w:vAlign w:val="bottom"/>
            <w:tcBorders>
              <w:bottom w:val="single" w:sz="8" w:color="0000EE"/>
            </w:tcBorders>
            <w:gridSpan w:val="20"/>
          </w:tcPr>
          <w:p>
            <w:pPr>
              <w:spacing w:after="0"/>
              <w:rPr>
                <w:rFonts w:ascii="Arial" w:cs="Arial" w:eastAsia="Arial" w:hAnsi="Arial"/>
                <w:sz w:val="18"/>
                <w:szCs w:val="18"/>
                <w:color w:val="0000EE"/>
                <w:w w:val="90"/>
              </w:rPr>
            </w:pPr>
            <w:hyperlink r:id="rId70">
              <w:r>
                <w:rPr>
                  <w:rFonts w:ascii="Arial" w:cs="Arial" w:eastAsia="Arial" w:hAnsi="Arial"/>
                  <w:sz w:val="18"/>
                  <w:szCs w:val="18"/>
                  <w:color w:val="0000EE"/>
                  <w:w w:val="90"/>
                </w:rPr>
                <w:t>Guarantor Supplemental Indenture, dated as of April 16, 2018, among California Resources Corporation, certain guarantors named</w:t>
              </w:r>
            </w:hyperlink>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00" w:type="dxa"/>
            <w:vAlign w:val="bottom"/>
            <w:gridSpan w:val="23"/>
          </w:tcPr>
          <w:p>
            <w:pPr>
              <w:spacing w:after="0" w:line="196" w:lineRule="exact"/>
              <w:rPr>
                <w:rFonts w:ascii="Arial" w:cs="Arial" w:eastAsia="Arial" w:hAnsi="Arial"/>
                <w:sz w:val="18"/>
                <w:szCs w:val="18"/>
                <w:color w:val="0000EE"/>
                <w:w w:val="94"/>
              </w:rPr>
            </w:pPr>
            <w:hyperlink r:id="rId70">
              <w:r>
                <w:rPr>
                  <w:rFonts w:ascii="Arial" w:cs="Arial" w:eastAsia="Arial" w:hAnsi="Arial"/>
                  <w:sz w:val="18"/>
                  <w:szCs w:val="18"/>
                  <w:color w:val="0000EE"/>
                  <w:w w:val="94"/>
                </w:rPr>
                <w:t>therein and The Bank of New York Mellon Trust Company, N.A., a trustee (filed as Exhibit 4.1 to Registrant’s Quarterly Report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Form 10-Q filed on August 2, 2018 and incorporated herein by reference).</w:t>
              </w:r>
            </w:hyperlink>
          </w:p>
        </w:tc>
        <w:tc>
          <w:tcPr>
            <w:tcW w:w="4020" w:type="dxa"/>
            <w:vAlign w:val="bottom"/>
            <w:tcBorders>
              <w:top w:val="single" w:sz="8" w:color="0000EE"/>
            </w:tcBorders>
            <w:gridSpan w:val="8"/>
          </w:tcPr>
          <w:p>
            <w:pPr>
              <w:spacing w:after="0"/>
              <w:rPr>
                <w:sz w:val="17"/>
                <w:szCs w:val="17"/>
                <w:color w:val="auto"/>
              </w:rPr>
            </w:pPr>
          </w:p>
        </w:tc>
        <w:tc>
          <w:tcPr>
            <w:tcW w:w="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4.16</w:t>
            </w:r>
          </w:p>
        </w:tc>
        <w:tc>
          <w:tcPr>
            <w:tcW w:w="820" w:type="dxa"/>
            <w:vAlign w:val="bottom"/>
          </w:tcPr>
          <w:p>
            <w:pPr>
              <w:spacing w:after="0"/>
              <w:rPr>
                <w:sz w:val="24"/>
                <w:szCs w:val="24"/>
                <w:color w:val="auto"/>
              </w:rPr>
            </w:pPr>
          </w:p>
        </w:tc>
        <w:tc>
          <w:tcPr>
            <w:tcW w:w="9700" w:type="dxa"/>
            <w:vAlign w:val="bottom"/>
            <w:gridSpan w:val="23"/>
          </w:tcPr>
          <w:p>
            <w:pPr>
              <w:spacing w:after="0"/>
              <w:rPr>
                <w:rFonts w:ascii="Arial" w:cs="Arial" w:eastAsia="Arial" w:hAnsi="Arial"/>
                <w:sz w:val="18"/>
                <w:szCs w:val="18"/>
                <w:color w:val="0000EE"/>
                <w:w w:val="93"/>
              </w:rPr>
            </w:pPr>
            <w:hyperlink r:id="rId71">
              <w:r>
                <w:rPr>
                  <w:rFonts w:ascii="Arial" w:cs="Arial" w:eastAsia="Arial" w:hAnsi="Arial"/>
                  <w:sz w:val="18"/>
                  <w:szCs w:val="18"/>
                  <w:color w:val="0000EE"/>
                  <w:w w:val="93"/>
                </w:rPr>
                <w:t>Third Guarantor Supplemental Indenture, dated as of June 29, 2018, among California Resources Corporation, certain guarantors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340" w:type="dxa"/>
            <w:vAlign w:val="bottom"/>
            <w:tcBorders>
              <w:top w:val="single" w:sz="8" w:color="0000EE"/>
            </w:tcBorders>
            <w:gridSpan w:val="17"/>
          </w:tcPr>
          <w:p>
            <w:pPr>
              <w:spacing w:after="0" w:line="196" w:lineRule="exact"/>
              <w:rPr>
                <w:rFonts w:ascii="Arial" w:cs="Arial" w:eastAsia="Arial" w:hAnsi="Arial"/>
                <w:sz w:val="18"/>
                <w:szCs w:val="18"/>
                <w:color w:val="0000EE"/>
                <w:w w:val="93"/>
              </w:rPr>
            </w:pPr>
            <w:hyperlink r:id="rId71">
              <w:r>
                <w:rPr>
                  <w:rFonts w:ascii="Arial" w:cs="Arial" w:eastAsia="Arial" w:hAnsi="Arial"/>
                  <w:sz w:val="18"/>
                  <w:szCs w:val="18"/>
                  <w:color w:val="0000EE"/>
                  <w:w w:val="93"/>
                </w:rPr>
                <w:t>named therein and Wilmington Trust, National Association, as trustee (filed as Exhibit 4.2 to Registrant’s Quarterly Report on</w:t>
              </w:r>
            </w:hyperlink>
          </w:p>
        </w:tc>
        <w:tc>
          <w:tcPr>
            <w:tcW w:w="3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Form 10-Q filed on August 2, 2018 and incorporated herein by reference).</w:t>
              </w:r>
            </w:hyperlink>
          </w:p>
        </w:tc>
        <w:tc>
          <w:tcPr>
            <w:tcW w:w="3680" w:type="dxa"/>
            <w:vAlign w:val="bottom"/>
            <w:tcBorders>
              <w:top w:val="single" w:sz="8" w:color="0000EE"/>
            </w:tcBorders>
            <w:gridSpan w:val="5"/>
          </w:tcPr>
          <w:p>
            <w:pPr>
              <w:spacing w:after="0"/>
              <w:rPr>
                <w:sz w:val="17"/>
                <w:szCs w:val="17"/>
                <w:color w:val="auto"/>
              </w:rPr>
            </w:pPr>
          </w:p>
        </w:tc>
        <w:tc>
          <w:tcPr>
            <w:tcW w:w="6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w w:val="95"/>
              </w:rPr>
              <w:t>4.17*</w:t>
            </w:r>
          </w:p>
        </w:tc>
        <w:tc>
          <w:tcPr>
            <w:tcW w:w="820" w:type="dxa"/>
            <w:vAlign w:val="bottom"/>
          </w:tcPr>
          <w:p>
            <w:pPr>
              <w:spacing w:after="0"/>
              <w:rPr>
                <w:sz w:val="24"/>
                <w:szCs w:val="24"/>
                <w:color w:val="auto"/>
              </w:rPr>
            </w:pPr>
          </w:p>
        </w:tc>
        <w:tc>
          <w:tcPr>
            <w:tcW w:w="9700" w:type="dxa"/>
            <w:vAlign w:val="bottom"/>
            <w:gridSpan w:val="23"/>
          </w:tcPr>
          <w:p>
            <w:pPr>
              <w:spacing w:after="0"/>
              <w:rPr>
                <w:sz w:val="20"/>
                <w:szCs w:val="20"/>
                <w:color w:val="auto"/>
              </w:rPr>
            </w:pPr>
            <w:r>
              <w:rPr>
                <w:rFonts w:ascii="Arial" w:cs="Arial" w:eastAsia="Arial" w:hAnsi="Arial"/>
                <w:sz w:val="18"/>
                <w:szCs w:val="18"/>
                <w:color w:val="0000EE"/>
              </w:rPr>
              <w:t>Form of Senior Indenture.</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w w:val="95"/>
              </w:rPr>
              <w:t>4.18*</w:t>
            </w:r>
          </w:p>
        </w:tc>
        <w:tc>
          <w:tcPr>
            <w:tcW w:w="820" w:type="dxa"/>
            <w:vAlign w:val="bottom"/>
          </w:tcPr>
          <w:p>
            <w:pPr>
              <w:spacing w:after="0"/>
              <w:rPr>
                <w:sz w:val="24"/>
                <w:szCs w:val="24"/>
                <w:color w:val="auto"/>
              </w:rPr>
            </w:pPr>
          </w:p>
        </w:tc>
        <w:tc>
          <w:tcPr>
            <w:tcW w:w="23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Form of Subordinated Indenture.</w:t>
            </w:r>
          </w:p>
        </w:tc>
        <w:tc>
          <w:tcPr>
            <w:tcW w:w="73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340" w:type="dxa"/>
            <w:vAlign w:val="bottom"/>
            <w:gridSpan w:val="3"/>
          </w:tcPr>
          <w:p>
            <w:pPr>
              <w:ind w:left="100"/>
              <w:spacing w:after="0"/>
              <w:rPr>
                <w:sz w:val="20"/>
                <w:szCs w:val="20"/>
                <w:color w:val="auto"/>
              </w:rPr>
            </w:pPr>
            <w:r>
              <w:rPr>
                <w:rFonts w:ascii="Arial" w:cs="Arial" w:eastAsia="Arial" w:hAnsi="Arial"/>
                <w:sz w:val="18"/>
                <w:szCs w:val="18"/>
                <w:color w:val="auto"/>
              </w:rPr>
              <w:t>4.19**</w:t>
            </w:r>
          </w:p>
        </w:tc>
        <w:tc>
          <w:tcPr>
            <w:tcW w:w="9700" w:type="dxa"/>
            <w:vAlign w:val="bottom"/>
            <w:gridSpan w:val="23"/>
          </w:tcPr>
          <w:p>
            <w:pPr>
              <w:spacing w:after="0"/>
              <w:rPr>
                <w:sz w:val="20"/>
                <w:szCs w:val="20"/>
                <w:color w:val="auto"/>
              </w:rPr>
            </w:pPr>
            <w:r>
              <w:rPr>
                <w:rFonts w:ascii="Arial" w:cs="Arial" w:eastAsia="Arial" w:hAnsi="Arial"/>
                <w:sz w:val="18"/>
                <w:szCs w:val="18"/>
                <w:color w:val="auto"/>
              </w:rPr>
              <w:t>Form of Senior Debt Securities (including Form of Guarantee).</w:t>
            </w:r>
          </w:p>
        </w:tc>
        <w:tc>
          <w:tcPr>
            <w:tcW w:w="0" w:type="dxa"/>
            <w:vAlign w:val="bottom"/>
          </w:tcPr>
          <w:p>
            <w:pPr>
              <w:spacing w:after="0"/>
              <w:rPr>
                <w:sz w:val="1"/>
                <w:szCs w:val="1"/>
                <w:color w:val="auto"/>
              </w:rPr>
            </w:pPr>
          </w:p>
        </w:tc>
      </w:tr>
      <w:tr>
        <w:trPr>
          <w:trHeight w:val="324"/>
        </w:trPr>
        <w:tc>
          <w:tcPr>
            <w:tcW w:w="1340" w:type="dxa"/>
            <w:vAlign w:val="bottom"/>
            <w:gridSpan w:val="3"/>
          </w:tcPr>
          <w:p>
            <w:pPr>
              <w:ind w:left="100"/>
              <w:spacing w:after="0"/>
              <w:rPr>
                <w:sz w:val="20"/>
                <w:szCs w:val="20"/>
                <w:color w:val="auto"/>
              </w:rPr>
            </w:pPr>
            <w:r>
              <w:rPr>
                <w:rFonts w:ascii="Arial" w:cs="Arial" w:eastAsia="Arial" w:hAnsi="Arial"/>
                <w:sz w:val="18"/>
                <w:szCs w:val="18"/>
                <w:color w:val="auto"/>
              </w:rPr>
              <w:t>4.20**</w:t>
            </w:r>
          </w:p>
        </w:tc>
        <w:tc>
          <w:tcPr>
            <w:tcW w:w="9700" w:type="dxa"/>
            <w:vAlign w:val="bottom"/>
            <w:gridSpan w:val="23"/>
          </w:tcPr>
          <w:p>
            <w:pPr>
              <w:spacing w:after="0"/>
              <w:rPr>
                <w:sz w:val="20"/>
                <w:szCs w:val="20"/>
                <w:color w:val="auto"/>
              </w:rPr>
            </w:pPr>
            <w:r>
              <w:rPr>
                <w:rFonts w:ascii="Arial" w:cs="Arial" w:eastAsia="Arial" w:hAnsi="Arial"/>
                <w:sz w:val="18"/>
                <w:szCs w:val="18"/>
                <w:color w:val="auto"/>
              </w:rPr>
              <w:t>Form of Subordinated Debt Securities (including Form of Guarantee).</w:t>
            </w:r>
          </w:p>
        </w:tc>
        <w:tc>
          <w:tcPr>
            <w:tcW w:w="0" w:type="dxa"/>
            <w:vAlign w:val="bottom"/>
          </w:tcPr>
          <w:p>
            <w:pPr>
              <w:spacing w:after="0"/>
              <w:rPr>
                <w:sz w:val="1"/>
                <w:szCs w:val="1"/>
                <w:color w:val="auto"/>
              </w:rPr>
            </w:pPr>
          </w:p>
        </w:tc>
      </w:tr>
      <w:tr>
        <w:trPr>
          <w:trHeight w:val="324"/>
        </w:trPr>
        <w:tc>
          <w:tcPr>
            <w:tcW w:w="1340" w:type="dxa"/>
            <w:vAlign w:val="bottom"/>
            <w:gridSpan w:val="3"/>
          </w:tcPr>
          <w:p>
            <w:pPr>
              <w:ind w:left="100"/>
              <w:spacing w:after="0"/>
              <w:rPr>
                <w:sz w:val="20"/>
                <w:szCs w:val="20"/>
                <w:color w:val="auto"/>
              </w:rPr>
            </w:pPr>
            <w:r>
              <w:rPr>
                <w:rFonts w:ascii="Arial" w:cs="Arial" w:eastAsia="Arial" w:hAnsi="Arial"/>
                <w:sz w:val="18"/>
                <w:szCs w:val="18"/>
                <w:color w:val="auto"/>
              </w:rPr>
              <w:t>4.21**</w:t>
            </w:r>
          </w:p>
        </w:tc>
        <w:tc>
          <w:tcPr>
            <w:tcW w:w="9700" w:type="dxa"/>
            <w:vAlign w:val="bottom"/>
            <w:gridSpan w:val="23"/>
          </w:tcPr>
          <w:p>
            <w:pPr>
              <w:spacing w:after="0"/>
              <w:rPr>
                <w:sz w:val="20"/>
                <w:szCs w:val="20"/>
                <w:color w:val="auto"/>
              </w:rPr>
            </w:pPr>
            <w:r>
              <w:rPr>
                <w:rFonts w:ascii="Arial" w:cs="Arial" w:eastAsia="Arial" w:hAnsi="Arial"/>
                <w:sz w:val="18"/>
                <w:szCs w:val="18"/>
                <w:color w:val="auto"/>
              </w:rPr>
              <w:t>Form of Preferred Stock Designation.</w:t>
            </w:r>
          </w:p>
        </w:tc>
        <w:tc>
          <w:tcPr>
            <w:tcW w:w="0" w:type="dxa"/>
            <w:vAlign w:val="bottom"/>
          </w:tcPr>
          <w:p>
            <w:pPr>
              <w:spacing w:after="0"/>
              <w:rPr>
                <w:sz w:val="1"/>
                <w:szCs w:val="1"/>
                <w:color w:val="auto"/>
              </w:rPr>
            </w:pPr>
          </w:p>
        </w:tc>
      </w:tr>
      <w:tr>
        <w:trPr>
          <w:trHeight w:val="324"/>
        </w:trPr>
        <w:tc>
          <w:tcPr>
            <w:tcW w:w="1340" w:type="dxa"/>
            <w:vAlign w:val="bottom"/>
            <w:gridSpan w:val="3"/>
          </w:tcPr>
          <w:p>
            <w:pPr>
              <w:ind w:left="100"/>
              <w:spacing w:after="0"/>
              <w:rPr>
                <w:sz w:val="20"/>
                <w:szCs w:val="20"/>
                <w:color w:val="auto"/>
              </w:rPr>
            </w:pPr>
            <w:r>
              <w:rPr>
                <w:rFonts w:ascii="Arial" w:cs="Arial" w:eastAsia="Arial" w:hAnsi="Arial"/>
                <w:sz w:val="18"/>
                <w:szCs w:val="18"/>
                <w:color w:val="auto"/>
              </w:rPr>
              <w:t>4.22**</w:t>
            </w:r>
          </w:p>
        </w:tc>
        <w:tc>
          <w:tcPr>
            <w:tcW w:w="9700" w:type="dxa"/>
            <w:vAlign w:val="bottom"/>
            <w:gridSpan w:val="23"/>
          </w:tcPr>
          <w:p>
            <w:pPr>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324"/>
        </w:trPr>
        <w:tc>
          <w:tcPr>
            <w:tcW w:w="1340" w:type="dxa"/>
            <w:vAlign w:val="bottom"/>
            <w:gridSpan w:val="3"/>
          </w:tcPr>
          <w:p>
            <w:pPr>
              <w:ind w:left="100"/>
              <w:spacing w:after="0"/>
              <w:rPr>
                <w:sz w:val="20"/>
                <w:szCs w:val="20"/>
                <w:color w:val="auto"/>
              </w:rPr>
            </w:pPr>
            <w:r>
              <w:rPr>
                <w:rFonts w:ascii="Arial" w:cs="Arial" w:eastAsia="Arial" w:hAnsi="Arial"/>
                <w:sz w:val="18"/>
                <w:szCs w:val="18"/>
                <w:color w:val="auto"/>
              </w:rPr>
              <w:t>4.23**</w:t>
            </w:r>
          </w:p>
        </w:tc>
        <w:tc>
          <w:tcPr>
            <w:tcW w:w="9700" w:type="dxa"/>
            <w:vAlign w:val="bottom"/>
            <w:gridSpan w:val="23"/>
          </w:tcPr>
          <w:p>
            <w:pPr>
              <w:spacing w:after="0"/>
              <w:rPr>
                <w:sz w:val="20"/>
                <w:szCs w:val="20"/>
                <w:color w:val="auto"/>
              </w:rPr>
            </w:pPr>
            <w:r>
              <w:rPr>
                <w:rFonts w:ascii="Arial" w:cs="Arial" w:eastAsia="Arial" w:hAnsi="Arial"/>
                <w:sz w:val="18"/>
                <w:szCs w:val="18"/>
                <w:color w:val="auto"/>
              </w:rPr>
              <w:t>Form of Depositary Agreement.</w:t>
            </w:r>
          </w:p>
        </w:tc>
        <w:tc>
          <w:tcPr>
            <w:tcW w:w="0" w:type="dxa"/>
            <w:vAlign w:val="bottom"/>
          </w:tcPr>
          <w:p>
            <w:pPr>
              <w:spacing w:after="0"/>
              <w:rPr>
                <w:sz w:val="1"/>
                <w:szCs w:val="1"/>
                <w:color w:val="auto"/>
              </w:rPr>
            </w:pPr>
          </w:p>
        </w:tc>
      </w:tr>
      <w:tr>
        <w:trPr>
          <w:trHeight w:val="324"/>
        </w:trPr>
        <w:tc>
          <w:tcPr>
            <w:tcW w:w="1340" w:type="dxa"/>
            <w:vAlign w:val="bottom"/>
            <w:gridSpan w:val="3"/>
          </w:tcPr>
          <w:p>
            <w:pPr>
              <w:ind w:left="100"/>
              <w:spacing w:after="0"/>
              <w:rPr>
                <w:sz w:val="20"/>
                <w:szCs w:val="20"/>
                <w:color w:val="auto"/>
              </w:rPr>
            </w:pPr>
            <w:r>
              <w:rPr>
                <w:rFonts w:ascii="Arial" w:cs="Arial" w:eastAsia="Arial" w:hAnsi="Arial"/>
                <w:sz w:val="18"/>
                <w:szCs w:val="18"/>
                <w:color w:val="auto"/>
              </w:rPr>
              <w:t>4.24**</w:t>
            </w:r>
          </w:p>
        </w:tc>
        <w:tc>
          <w:tcPr>
            <w:tcW w:w="9700" w:type="dxa"/>
            <w:vAlign w:val="bottom"/>
            <w:gridSpan w:val="23"/>
          </w:tcPr>
          <w:p>
            <w:pPr>
              <w:spacing w:after="0"/>
              <w:rPr>
                <w:sz w:val="20"/>
                <w:szCs w:val="20"/>
                <w:color w:val="auto"/>
              </w:rPr>
            </w:pPr>
            <w:r>
              <w:rPr>
                <w:rFonts w:ascii="Arial" w:cs="Arial" w:eastAsia="Arial" w:hAnsi="Arial"/>
                <w:sz w:val="18"/>
                <w:szCs w:val="18"/>
                <w:color w:val="auto"/>
              </w:rPr>
              <w:t>Form of Unit Agreement (including Form of Unit).</w:t>
            </w:r>
          </w:p>
        </w:tc>
        <w:tc>
          <w:tcPr>
            <w:tcW w:w="0" w:type="dxa"/>
            <w:vAlign w:val="bottom"/>
          </w:tcPr>
          <w:p>
            <w:pPr>
              <w:spacing w:after="0"/>
              <w:rPr>
                <w:sz w:val="1"/>
                <w:szCs w:val="1"/>
                <w:color w:val="auto"/>
              </w:rPr>
            </w:pPr>
          </w:p>
        </w:tc>
      </w:tr>
      <w:tr>
        <w:trPr>
          <w:trHeight w:val="28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820" w:type="dxa"/>
            <w:vAlign w:val="bottom"/>
          </w:tcPr>
          <w:p>
            <w:pPr>
              <w:spacing w:after="0"/>
              <w:rPr>
                <w:sz w:val="24"/>
                <w:szCs w:val="24"/>
                <w:color w:val="auto"/>
              </w:rPr>
            </w:pPr>
          </w:p>
        </w:tc>
        <w:tc>
          <w:tcPr>
            <w:tcW w:w="9700" w:type="dxa"/>
            <w:vAlign w:val="bottom"/>
            <w:gridSpan w:val="23"/>
          </w:tcPr>
          <w:p>
            <w:pPr>
              <w:spacing w:after="0"/>
              <w:rPr>
                <w:sz w:val="20"/>
                <w:szCs w:val="20"/>
                <w:color w:val="auto"/>
              </w:rPr>
            </w:pPr>
            <w:r>
              <w:rPr>
                <w:rFonts w:ascii="Arial" w:cs="Arial" w:eastAsia="Arial" w:hAnsi="Arial"/>
                <w:sz w:val="18"/>
                <w:szCs w:val="18"/>
                <w:color w:val="0000EE"/>
              </w:rPr>
              <w:t>Opinion of Vinson &amp; Elkins L.L.P. as to the legality of the securities being registered.</w:t>
            </w: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23.1*</w:t>
            </w:r>
          </w:p>
        </w:tc>
        <w:tc>
          <w:tcPr>
            <w:tcW w:w="820" w:type="dxa"/>
            <w:vAlign w:val="bottom"/>
          </w:tcPr>
          <w:p>
            <w:pPr>
              <w:spacing w:after="0"/>
              <w:rPr>
                <w:sz w:val="24"/>
                <w:szCs w:val="24"/>
                <w:color w:val="auto"/>
              </w:rPr>
            </w:pPr>
          </w:p>
        </w:tc>
        <w:tc>
          <w:tcPr>
            <w:tcW w:w="616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Consent of Independent Registered Public Accounting Firm.</w:t>
            </w:r>
          </w:p>
        </w:tc>
        <w:tc>
          <w:tcPr>
            <w:tcW w:w="35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23.2*</w:t>
            </w:r>
          </w:p>
        </w:tc>
        <w:tc>
          <w:tcPr>
            <w:tcW w:w="820" w:type="dxa"/>
            <w:vAlign w:val="bottom"/>
          </w:tcPr>
          <w:p>
            <w:pPr>
              <w:spacing w:after="0"/>
              <w:rPr>
                <w:sz w:val="24"/>
                <w:szCs w:val="24"/>
                <w:color w:val="auto"/>
              </w:rPr>
            </w:pPr>
          </w:p>
        </w:tc>
        <w:tc>
          <w:tcPr>
            <w:tcW w:w="332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89"/>
              </w:rPr>
              <w:t>Consent of Independent Petroleum Engineers.</w:t>
            </w:r>
          </w:p>
        </w:tc>
        <w:tc>
          <w:tcPr>
            <w:tcW w:w="1040" w:type="dxa"/>
            <w:vAlign w:val="bottom"/>
            <w:tcBorders>
              <w:top w:val="single" w:sz="8" w:color="0000EE"/>
            </w:tcBorders>
            <w:gridSpan w:val="2"/>
          </w:tcPr>
          <w:p>
            <w:pPr>
              <w:spacing w:after="0"/>
              <w:rPr>
                <w:sz w:val="24"/>
                <w:szCs w:val="24"/>
                <w:color w:val="auto"/>
              </w:rPr>
            </w:pPr>
          </w:p>
        </w:tc>
        <w:tc>
          <w:tcPr>
            <w:tcW w:w="53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23.3*</w:t>
            </w:r>
          </w:p>
        </w:tc>
        <w:tc>
          <w:tcPr>
            <w:tcW w:w="820" w:type="dxa"/>
            <w:vAlign w:val="bottom"/>
          </w:tcPr>
          <w:p>
            <w:pPr>
              <w:spacing w:after="0"/>
              <w:rPr>
                <w:sz w:val="24"/>
                <w:szCs w:val="24"/>
                <w:color w:val="auto"/>
              </w:rPr>
            </w:pPr>
          </w:p>
        </w:tc>
        <w:tc>
          <w:tcPr>
            <w:tcW w:w="9700" w:type="dxa"/>
            <w:vAlign w:val="bottom"/>
            <w:gridSpan w:val="23"/>
          </w:tcPr>
          <w:p>
            <w:pPr>
              <w:spacing w:after="0"/>
              <w:rPr>
                <w:sz w:val="20"/>
                <w:szCs w:val="20"/>
                <w:color w:val="auto"/>
              </w:rPr>
            </w:pPr>
            <w:r>
              <w:rPr>
                <w:rFonts w:ascii="Arial" w:cs="Arial" w:eastAsia="Arial" w:hAnsi="Arial"/>
                <w:sz w:val="18"/>
                <w:szCs w:val="18"/>
                <w:color w:val="0000EE"/>
              </w:rPr>
              <w:t>Consent of Vinson &amp; Elkins L.L.P. (contained in Exhibit 5.1).</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40" w:type="dxa"/>
            <w:vAlign w:val="bottom"/>
            <w:gridSpan w:val="7"/>
            <w:shd w:val="clear" w:color="auto" w:fill="0000EE"/>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7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24.1*</w:t>
            </w:r>
          </w:p>
        </w:tc>
        <w:tc>
          <w:tcPr>
            <w:tcW w:w="820" w:type="dxa"/>
            <w:vAlign w:val="bottom"/>
          </w:tcPr>
          <w:p>
            <w:pPr>
              <w:spacing w:after="0"/>
              <w:rPr>
                <w:sz w:val="24"/>
                <w:szCs w:val="24"/>
                <w:color w:val="auto"/>
              </w:rPr>
            </w:pPr>
          </w:p>
        </w:tc>
        <w:tc>
          <w:tcPr>
            <w:tcW w:w="9700" w:type="dxa"/>
            <w:vAlign w:val="bottom"/>
            <w:gridSpan w:val="2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Power of Attorney (included on the signature page to this Registration Statement).</w:t>
              </w:r>
            </w:hyperlink>
          </w:p>
        </w:tc>
        <w:tc>
          <w:tcPr>
            <w:tcW w:w="0" w:type="dxa"/>
            <w:vAlign w:val="bottom"/>
          </w:tcPr>
          <w:p>
            <w:pPr>
              <w:spacing w:after="0"/>
              <w:rPr>
                <w:sz w:val="1"/>
                <w:szCs w:val="1"/>
                <w:color w:val="auto"/>
              </w:rPr>
            </w:pPr>
          </w:p>
        </w:tc>
      </w:tr>
      <w:tr>
        <w:trPr>
          <w:trHeight w:val="20"/>
        </w:trPr>
        <w:tc>
          <w:tcPr>
            <w:tcW w:w="1340" w:type="dxa"/>
            <w:vAlign w:val="bottom"/>
            <w:gridSpan w:val="3"/>
          </w:tcPr>
          <w:p>
            <w:pPr>
              <w:spacing w:after="0" w:line="20" w:lineRule="exact"/>
              <w:rPr>
                <w:sz w:val="1"/>
                <w:szCs w:val="1"/>
                <w:color w:val="auto"/>
              </w:rPr>
            </w:pPr>
          </w:p>
        </w:tc>
        <w:tc>
          <w:tcPr>
            <w:tcW w:w="5920" w:type="dxa"/>
            <w:vAlign w:val="bottom"/>
            <w:gridSpan w:val="12"/>
            <w:shd w:val="clear" w:color="auto" w:fill="0000EE"/>
          </w:tcPr>
          <w:p>
            <w:pPr>
              <w:spacing w:after="0" w:line="20" w:lineRule="exact"/>
              <w:rPr>
                <w:sz w:val="1"/>
                <w:szCs w:val="1"/>
                <w:color w:val="auto"/>
              </w:rPr>
            </w:pPr>
          </w:p>
        </w:tc>
        <w:tc>
          <w:tcPr>
            <w:tcW w:w="37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340" w:type="dxa"/>
            <w:vAlign w:val="bottom"/>
            <w:gridSpan w:val="3"/>
          </w:tcPr>
          <w:p>
            <w:pPr>
              <w:spacing w:after="0"/>
              <w:rPr>
                <w:sz w:val="20"/>
                <w:szCs w:val="20"/>
                <w:color w:val="auto"/>
              </w:rPr>
            </w:pPr>
            <w:r>
              <w:rPr>
                <w:rFonts w:ascii="Arial" w:cs="Arial" w:eastAsia="Arial" w:hAnsi="Arial"/>
                <w:sz w:val="18"/>
                <w:szCs w:val="18"/>
                <w:color w:val="auto"/>
              </w:rPr>
              <w:t>25.1***</w:t>
            </w:r>
          </w:p>
        </w:tc>
        <w:tc>
          <w:tcPr>
            <w:tcW w:w="9700" w:type="dxa"/>
            <w:vAlign w:val="bottom"/>
            <w:gridSpan w:val="23"/>
          </w:tcPr>
          <w:p>
            <w:pPr>
              <w:spacing w:after="0"/>
              <w:rPr>
                <w:sz w:val="20"/>
                <w:szCs w:val="20"/>
                <w:color w:val="auto"/>
              </w:rPr>
            </w:pPr>
            <w:r>
              <w:rPr>
                <w:rFonts w:ascii="Arial" w:cs="Arial" w:eastAsia="Arial" w:hAnsi="Arial"/>
                <w:sz w:val="18"/>
                <w:szCs w:val="18"/>
                <w:color w:val="auto"/>
              </w:rPr>
              <w:t>Form T-1 Statement of Eligibility and Qualification under the Trust Indenture Act of 1939 respecting the Senior Indenture.</w:t>
            </w:r>
          </w:p>
        </w:tc>
        <w:tc>
          <w:tcPr>
            <w:tcW w:w="0" w:type="dxa"/>
            <w:vAlign w:val="bottom"/>
          </w:tcPr>
          <w:p>
            <w:pPr>
              <w:spacing w:after="0"/>
              <w:rPr>
                <w:sz w:val="1"/>
                <w:szCs w:val="1"/>
                <w:color w:val="auto"/>
              </w:rPr>
            </w:pPr>
          </w:p>
        </w:tc>
      </w:tr>
      <w:tr>
        <w:trPr>
          <w:trHeight w:val="324"/>
        </w:trPr>
        <w:tc>
          <w:tcPr>
            <w:tcW w:w="1340" w:type="dxa"/>
            <w:vAlign w:val="bottom"/>
            <w:gridSpan w:val="3"/>
          </w:tcPr>
          <w:p>
            <w:pPr>
              <w:spacing w:after="0"/>
              <w:rPr>
                <w:sz w:val="20"/>
                <w:szCs w:val="20"/>
                <w:color w:val="auto"/>
              </w:rPr>
            </w:pPr>
            <w:r>
              <w:rPr>
                <w:rFonts w:ascii="Arial" w:cs="Arial" w:eastAsia="Arial" w:hAnsi="Arial"/>
                <w:sz w:val="18"/>
                <w:szCs w:val="18"/>
                <w:color w:val="auto"/>
              </w:rPr>
              <w:t>25.2***</w:t>
            </w:r>
          </w:p>
        </w:tc>
        <w:tc>
          <w:tcPr>
            <w:tcW w:w="9700" w:type="dxa"/>
            <w:vAlign w:val="bottom"/>
            <w:gridSpan w:val="23"/>
          </w:tcPr>
          <w:p>
            <w:pPr>
              <w:spacing w:after="0"/>
              <w:rPr>
                <w:sz w:val="20"/>
                <w:szCs w:val="20"/>
                <w:color w:val="auto"/>
              </w:rPr>
            </w:pPr>
            <w:r>
              <w:rPr>
                <w:rFonts w:ascii="Arial" w:cs="Arial" w:eastAsia="Arial" w:hAnsi="Arial"/>
                <w:sz w:val="18"/>
                <w:szCs w:val="18"/>
                <w:color w:val="auto"/>
                <w:w w:val="95"/>
              </w:rPr>
              <w:t>Form T-1 Statement of Eligibility and Qualification under the Trust Indenture Act of 1939 respecting the Subordinated Indenture.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40" w:right="240" w:hanging="436"/>
        <w:spacing w:after="0" w:line="250"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be filed as an exhibit to a report pursuant to Section 13(a) or 15(d) of the Exchange Act or in a post-effective amendment to this Registration Statement.</w:t>
      </w:r>
    </w:p>
    <w:p>
      <w:pPr>
        <w:ind w:left="640" w:hanging="43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be filed in accordance with Section 310(a) of the Trust Indenture Act of 1939, as amended.</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undersigned registrant hereby undertakes:</w:t>
      </w:r>
    </w:p>
    <w:p>
      <w:pPr>
        <w:spacing w:after="0" w:line="131" w:lineRule="exact"/>
        <w:rPr>
          <w:sz w:val="20"/>
          <w:szCs w:val="20"/>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“Securities Act”);</w:t>
      </w:r>
    </w:p>
    <w:p>
      <w:pPr>
        <w:spacing w:after="0" w:line="130" w:lineRule="exact"/>
        <w:rPr>
          <w:rFonts w:ascii="Arial" w:cs="Arial" w:eastAsia="Arial" w:hAnsi="Arial"/>
          <w:sz w:val="18"/>
          <w:szCs w:val="18"/>
          <w:color w:val="auto"/>
        </w:rPr>
      </w:pPr>
    </w:p>
    <w:p>
      <w:pPr>
        <w:ind w:left="1620" w:right="80" w:hanging="538"/>
        <w:spacing w:after="0" w:line="254"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97" w:lineRule="exact"/>
        <w:rPr>
          <w:rFonts w:ascii="Arial" w:cs="Arial" w:eastAsia="Arial" w:hAnsi="Arial"/>
          <w:sz w:val="18"/>
          <w:szCs w:val="18"/>
          <w:color w:val="auto"/>
        </w:rPr>
      </w:pPr>
    </w:p>
    <w:p>
      <w:pPr>
        <w:ind w:left="1620" w:right="160" w:hanging="538"/>
        <w:spacing w:after="0" w:line="277"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rFonts w:ascii="Arial" w:cs="Arial" w:eastAsia="Arial" w:hAnsi="Arial"/>
          <w:sz w:val="18"/>
          <w:szCs w:val="18"/>
          <w:color w:val="auto"/>
        </w:rPr>
      </w:pPr>
    </w:p>
    <w:p>
      <w:pPr>
        <w:ind w:left="1640" w:right="120"/>
        <w:spacing w:after="0" w:line="302" w:lineRule="auto"/>
        <w:rPr>
          <w:rFonts w:ascii="Arial" w:cs="Arial" w:eastAsia="Arial" w:hAnsi="Arial"/>
          <w:sz w:val="18"/>
          <w:szCs w:val="18"/>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paragraphs 1(a), 1(b) and 1(c) of this section do not apply if the information required to be included in a</w:t>
      </w:r>
      <w:r>
        <w:rPr>
          <w:rFonts w:ascii="Arial" w:cs="Arial" w:eastAsia="Arial" w:hAnsi="Arial"/>
          <w:sz w:val="16"/>
          <w:szCs w:val="16"/>
          <w:i w:val="1"/>
          <w:iCs w:val="1"/>
          <w:color w:val="auto"/>
        </w:rPr>
        <w:t xml:space="preserve"> </w:t>
      </w:r>
      <w:r>
        <w:rPr>
          <w:rFonts w:ascii="Arial" w:cs="Arial" w:eastAsia="Arial" w:hAnsi="Arial"/>
          <w:sz w:val="16"/>
          <w:szCs w:val="16"/>
          <w:color w:val="auto"/>
        </w:rPr>
        <w:t>post-effective amendment by those paragraphs is contained in reports filed with or furnished to the Commission by the registrant pursuant to section 13 or 15(d) of the Exchange Act of 1934 (the “Exchange Act”) that are incorporated by reference in the registration statement, or is contained in a form of prospectus filed pursuant to Rule 424(b) that is part of the registration statement.</w:t>
      </w:r>
    </w:p>
    <w:p>
      <w:pPr>
        <w:spacing w:after="0" w:line="59"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1060" w:right="480" w:hanging="424"/>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620" w:right="220" w:hanging="538"/>
        <w:spacing w:after="0" w:line="277"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620" w:hanging="538"/>
        <w:spacing w:after="0" w:line="290" w:lineRule="auto"/>
        <w:tabs>
          <w:tab w:leader="none" w:pos="16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spacing w:after="0" w:line="279" w:lineRule="auto"/>
        <w:rPr>
          <w:sz w:val="20"/>
          <w:szCs w:val="20"/>
          <w:color w:val="auto"/>
        </w:rPr>
      </w:pPr>
      <w:r>
        <w:rPr>
          <w:rFonts w:ascii="Arial" w:cs="Arial" w:eastAsia="Arial" w:hAnsi="Arial"/>
          <w:sz w:val="17"/>
          <w:szCs w:val="17"/>
          <w:color w:val="auto"/>
        </w:rPr>
        <w:t>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7" w:lineRule="exact"/>
        <w:rPr>
          <w:sz w:val="20"/>
          <w:szCs w:val="20"/>
          <w:color w:val="auto"/>
        </w:rPr>
      </w:pPr>
    </w:p>
    <w:p>
      <w:pPr>
        <w:ind w:left="1060" w:right="40" w:hanging="424"/>
        <w:spacing w:after="0" w:line="25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1620" w:right="100" w:hanging="538"/>
        <w:spacing w:after="0" w:line="277" w:lineRule="auto"/>
        <w:tabs>
          <w:tab w:leader="none" w:pos="1620" w:val="left"/>
        </w:tabs>
        <w:numPr>
          <w:ilvl w:val="2"/>
          <w:numId w:val="38"/>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620" w:right="160" w:hanging="538"/>
        <w:spacing w:after="0" w:line="277" w:lineRule="auto"/>
        <w:tabs>
          <w:tab w:leader="none" w:pos="1620" w:val="left"/>
        </w:tabs>
        <w:numPr>
          <w:ilvl w:val="2"/>
          <w:numId w:val="3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620" w:right="460" w:hanging="538"/>
        <w:spacing w:after="0" w:line="277" w:lineRule="auto"/>
        <w:tabs>
          <w:tab w:leader="none" w:pos="162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2"/>
          <w:numId w:val="3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1060" w:hanging="424"/>
        <w:spacing w:after="0" w:line="259"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2" w:lineRule="exact"/>
        <w:rPr>
          <w:rFonts w:ascii="Arial" w:cs="Arial" w:eastAsia="Arial" w:hAnsi="Arial"/>
          <w:sz w:val="18"/>
          <w:szCs w:val="18"/>
          <w:color w:val="auto"/>
        </w:rPr>
      </w:pPr>
    </w:p>
    <w:p>
      <w:pPr>
        <w:ind w:left="1060" w:right="20" w:hanging="424"/>
        <w:spacing w:after="0" w:line="290" w:lineRule="auto"/>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1" w:lineRule="exact"/>
        <w:rPr>
          <w:rFonts w:ascii="Arial" w:cs="Arial" w:eastAsia="Arial" w:hAnsi="Arial"/>
          <w:sz w:val="16"/>
          <w:szCs w:val="16"/>
          <w:color w:val="auto"/>
        </w:rPr>
      </w:pPr>
    </w:p>
    <w:p>
      <w:pPr>
        <w:ind w:left="1060" w:hanging="424"/>
        <w:spacing w:after="0"/>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file an application for the purpose of determining the eligibility of the trustee under the Subordinated Indenture to act under subsection</w:t>
      </w:r>
    </w:p>
    <w:p>
      <w:pPr>
        <w:spacing w:after="0" w:line="46" w:lineRule="exact"/>
        <w:rPr>
          <w:rFonts w:ascii="Arial" w:cs="Arial" w:eastAsia="Arial" w:hAnsi="Arial"/>
          <w:sz w:val="16"/>
          <w:szCs w:val="16"/>
          <w:color w:val="auto"/>
        </w:rPr>
      </w:pPr>
    </w:p>
    <w:p>
      <w:pPr>
        <w:ind w:left="1060" w:right="20" w:firstLine="8"/>
        <w:spacing w:after="0" w:line="261" w:lineRule="auto"/>
        <w:tabs>
          <w:tab w:leader="none" w:pos="1305" w:val="left"/>
        </w:tabs>
        <w:numPr>
          <w:ilvl w:val="1"/>
          <w:numId w:val="38"/>
        </w:numPr>
        <w:rPr>
          <w:rFonts w:ascii="Arial" w:cs="Arial" w:eastAsia="Arial" w:hAnsi="Arial"/>
          <w:sz w:val="18"/>
          <w:szCs w:val="18"/>
          <w:color w:val="auto"/>
        </w:rPr>
      </w:pPr>
      <w:r>
        <w:rPr>
          <w:rFonts w:ascii="Arial" w:cs="Arial" w:eastAsia="Arial" w:hAnsi="Arial"/>
          <w:sz w:val="18"/>
          <w:szCs w:val="18"/>
          <w:color w:val="auto"/>
        </w:rPr>
        <w:t>of Section 310 of the Trust Indenture Act of 1939, as amended (the “Act”) in accordance with the rules and regulations prescribed by the Commission under section 305(b)(2) of the Act.</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Pursuant to the requirements of the Securities Act of 1933, each registrant certifies that it has reasonable grounds to believe that it meets all of the requirements for filing on Form S-3 and has duly caused this Registration Statement to be signed on its behalf by the undersigned, thereunto duly authorized, in the 27200 Tourney Road, Suite 315, City of Santa Clarita, State of California, on the 16th day of November, 2018.</w:t>
      </w:r>
    </w:p>
    <w:p>
      <w:pPr>
        <w:spacing w:after="0" w:line="18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California Resources Corporation</w:t>
      </w:r>
    </w:p>
    <w:p>
      <w:pPr>
        <w:spacing w:after="0" w:line="229"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Todd A. Stevens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Todd A. Stevens</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President and Chief Executive Officer and</w:t>
            </w:r>
          </w:p>
        </w:tc>
      </w:tr>
      <w:tr>
        <w:trPr>
          <w:trHeight w:val="230"/>
        </w:trPr>
        <w:tc>
          <w:tcPr>
            <w:tcW w:w="54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Director</w:t>
            </w:r>
          </w:p>
        </w:tc>
      </w:tr>
    </w:tbl>
    <w:p>
      <w:pPr>
        <w:spacing w:after="0" w:line="238"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California Heavy Oil, Inc.</w:t>
      </w:r>
    </w:p>
    <w:p>
      <w:pPr>
        <w:spacing w:after="0" w:line="27"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California Resources Coles Levee, LLC</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California Resources Elk Hills, LLC</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California Resources Long Beach, Inc.</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California Resources Petroleum Corporation</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California Resources Production Corporation</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California Resources Real Estate Ventures, LLC</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California Resources Tidelands, Inc.</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California Resources Wilmington, LLC</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CRC Construction Services, LLC</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CRC Services, LLC</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Socal Holding, LLC</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Southern San Joaquin Production, Inc.</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Thums Long Beach Company</w:t>
      </w:r>
    </w:p>
    <w:p>
      <w:pPr>
        <w:spacing w:after="0" w:line="200" w:lineRule="exact"/>
        <w:rPr>
          <w:sz w:val="20"/>
          <w:szCs w:val="20"/>
          <w:color w:val="auto"/>
        </w:rPr>
      </w:pPr>
    </w:p>
    <w:p>
      <w:pPr>
        <w:spacing w:after="0" w:line="254"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Todd A. Stevens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Todd A. Stevens</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President</w:t>
            </w:r>
          </w:p>
        </w:tc>
      </w:tr>
      <w:tr>
        <w:trPr>
          <w:trHeight w:val="459"/>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CRC Marketing, Inc.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Michael L. Preston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Michael L. Preston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President</w:t>
            </w:r>
          </w:p>
        </w:tc>
      </w:tr>
    </w:tbl>
    <w:p>
      <w:pPr>
        <w:spacing w:after="0" w:line="238"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Tidelands Oil Production Company</w:t>
      </w:r>
    </w:p>
    <w:p>
      <w:pPr>
        <w:spacing w:after="0" w:line="229"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Todd A. Stevens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Todd A. Stevens</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President</w:t>
            </w:r>
          </w:p>
        </w:tc>
      </w:tr>
    </w:tbl>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California Resources Coles Levee, L.P.</w:t>
      </w:r>
    </w:p>
    <w:p>
      <w:pPr>
        <w:spacing w:after="0" w:line="27"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California Resources Coles Levee, LLC, its general</w:t>
      </w:r>
    </w:p>
    <w:p>
      <w:pPr>
        <w:spacing w:after="0" w:line="32"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Ulrik Damborg</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Ulrik Damborg</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Assistant Secretary</w:t>
            </w: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Todd A. Stevens, Marshall D. Smith, Michael L. Preston, Jody L. Johnson and Ulrik Damborg, and each of them severally, his true and lawful attorney or attorneys-in-fact and agents, with full power to act with or without the others and with full power of substitution and resubstitution, to execute in his or her name, place and stead, in any and all capacities, any or all amendments (including pre-effective and post-effective amendments) to this Registration Statement and any registration statement for the same offering filed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in the name of on behalf of the undersigned, in any and all capacities, each and every act and thing necessary or desirable to be done in and about the premises, to all intents and purposes and as fully as they might or could do in person, hereby ratifying, approving and confirming all that said attorneys-in-fact and agents or their substitutes may lawfully do or cause to be done by virtue hereof.</w:t>
      </w:r>
    </w:p>
    <w:p>
      <w:pPr>
        <w:spacing w:after="0" w:line="17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indicated on November 16th, 2018.</w:t>
      </w:r>
    </w:p>
    <w:p>
      <w:pPr>
        <w:spacing w:after="0" w:line="38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520" w:type="dxa"/>
            <w:vAlign w:val="bottom"/>
            <w:gridSpan w:val="4"/>
          </w:tcPr>
          <w:p>
            <w:pPr>
              <w:jc w:val="center"/>
              <w:ind w:right="3060"/>
              <w:spacing w:after="0"/>
              <w:rPr>
                <w:sz w:val="20"/>
                <w:szCs w:val="20"/>
                <w:color w:val="auto"/>
              </w:rPr>
            </w:pPr>
            <w:r>
              <w:rPr>
                <w:rFonts w:ascii="Arial" w:cs="Arial" w:eastAsia="Arial" w:hAnsi="Arial"/>
                <w:sz w:val="18"/>
                <w:szCs w:val="18"/>
                <w:b w:val="1"/>
                <w:bCs w:val="1"/>
                <w:color w:val="auto"/>
                <w:w w:val="90"/>
              </w:rPr>
              <w:t>California Resources Corporation</w:t>
            </w:r>
          </w:p>
        </w:tc>
      </w:tr>
      <w:tr>
        <w:trPr>
          <w:trHeight w:val="392"/>
        </w:trPr>
        <w:tc>
          <w:tcPr>
            <w:tcW w:w="2300" w:type="dxa"/>
            <w:vAlign w:val="bottom"/>
          </w:tcPr>
          <w:p>
            <w:pPr>
              <w:spacing w:after="0"/>
              <w:rPr>
                <w:sz w:val="24"/>
                <w:szCs w:val="24"/>
                <w:color w:val="auto"/>
              </w:rPr>
            </w:pPr>
          </w:p>
        </w:tc>
        <w:tc>
          <w:tcPr>
            <w:tcW w:w="146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4"/>
              </w:rPr>
              <w:t>Name</w:t>
            </w:r>
          </w:p>
        </w:tc>
        <w:tc>
          <w:tcPr>
            <w:tcW w:w="1220" w:type="dxa"/>
            <w:vAlign w:val="bottom"/>
          </w:tcPr>
          <w:p>
            <w:pPr>
              <w:spacing w:after="0"/>
              <w:rPr>
                <w:sz w:val="24"/>
                <w:szCs w:val="24"/>
                <w:color w:val="auto"/>
              </w:rPr>
            </w:pPr>
          </w:p>
        </w:tc>
        <w:tc>
          <w:tcPr>
            <w:tcW w:w="5300" w:type="dxa"/>
            <w:vAlign w:val="bottom"/>
            <w:gridSpan w:val="3"/>
          </w:tcPr>
          <w:p>
            <w:pPr>
              <w:jc w:val="center"/>
              <w:ind w:left="852"/>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2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26"/>
        </w:trPr>
        <w:tc>
          <w:tcPr>
            <w:tcW w:w="3760" w:type="dxa"/>
            <w:vAlign w:val="bottom"/>
            <w:tcBorders>
              <w:bottom w:val="single" w:sz="8" w:color="auto"/>
            </w:tcBorders>
            <w:gridSpan w:val="3"/>
          </w:tcPr>
          <w:p>
            <w:pPr>
              <w:jc w:val="center"/>
              <w:ind w:left="1110"/>
              <w:spacing w:after="0"/>
              <w:rPr>
                <w:sz w:val="20"/>
                <w:szCs w:val="20"/>
                <w:color w:val="auto"/>
              </w:rPr>
            </w:pPr>
            <w:r>
              <w:rPr>
                <w:rFonts w:ascii="Arial" w:cs="Arial" w:eastAsia="Arial" w:hAnsi="Arial"/>
                <w:sz w:val="18"/>
                <w:szCs w:val="18"/>
                <w:color w:val="auto"/>
                <w:w w:val="89"/>
              </w:rPr>
              <w:t>/s/ Todd A. Stevens</w:t>
            </w:r>
          </w:p>
        </w:tc>
        <w:tc>
          <w:tcPr>
            <w:tcW w:w="1220" w:type="dxa"/>
            <w:vAlign w:val="bottom"/>
            <w:tcBorders>
              <w:bottom w:val="single" w:sz="8" w:color="auto"/>
            </w:tcBorders>
          </w:tcPr>
          <w:p>
            <w:pPr>
              <w:spacing w:after="0"/>
              <w:rPr>
                <w:sz w:val="24"/>
                <w:szCs w:val="24"/>
                <w:color w:val="auto"/>
              </w:rPr>
            </w:pPr>
          </w:p>
        </w:tc>
        <w:tc>
          <w:tcPr>
            <w:tcW w:w="5300" w:type="dxa"/>
            <w:vAlign w:val="bottom"/>
            <w:gridSpan w:val="3"/>
          </w:tcPr>
          <w:p>
            <w:pPr>
              <w:jc w:val="center"/>
              <w:ind w:left="852"/>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24"/>
        </w:trPr>
        <w:tc>
          <w:tcPr>
            <w:tcW w:w="376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Todd A. Stevens</w:t>
            </w:r>
          </w:p>
        </w:tc>
        <w:tc>
          <w:tcPr>
            <w:tcW w:w="12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3760" w:type="dxa"/>
            <w:vAlign w:val="bottom"/>
            <w:tcBorders>
              <w:bottom w:val="single" w:sz="8" w:color="auto"/>
            </w:tcBorders>
            <w:gridSpan w:val="3"/>
          </w:tcPr>
          <w:p>
            <w:pPr>
              <w:jc w:val="center"/>
              <w:ind w:left="1110"/>
              <w:spacing w:after="0"/>
              <w:rPr>
                <w:sz w:val="20"/>
                <w:szCs w:val="20"/>
                <w:color w:val="auto"/>
              </w:rPr>
            </w:pPr>
            <w:r>
              <w:rPr>
                <w:rFonts w:ascii="Arial" w:cs="Arial" w:eastAsia="Arial" w:hAnsi="Arial"/>
                <w:sz w:val="18"/>
                <w:szCs w:val="18"/>
                <w:color w:val="auto"/>
                <w:w w:val="93"/>
              </w:rPr>
              <w:t>/s/ Marshall D. Smith</w:t>
            </w:r>
          </w:p>
        </w:tc>
        <w:tc>
          <w:tcPr>
            <w:tcW w:w="1220" w:type="dxa"/>
            <w:vAlign w:val="bottom"/>
            <w:tcBorders>
              <w:bottom w:val="single" w:sz="8" w:color="auto"/>
            </w:tcBorders>
          </w:tcPr>
          <w:p>
            <w:pPr>
              <w:spacing w:after="0"/>
              <w:rPr>
                <w:sz w:val="24"/>
                <w:szCs w:val="24"/>
                <w:color w:val="auto"/>
              </w:rPr>
            </w:pPr>
          </w:p>
        </w:tc>
        <w:tc>
          <w:tcPr>
            <w:tcW w:w="5300" w:type="dxa"/>
            <w:vAlign w:val="bottom"/>
            <w:gridSpan w:val="3"/>
          </w:tcPr>
          <w:p>
            <w:pPr>
              <w:jc w:val="center"/>
              <w:ind w:left="852"/>
              <w:spacing w:after="0"/>
              <w:rPr>
                <w:sz w:val="20"/>
                <w:szCs w:val="20"/>
                <w:color w:val="auto"/>
              </w:rPr>
            </w:pPr>
            <w:r>
              <w:rPr>
                <w:rFonts w:ascii="Arial" w:cs="Arial" w:eastAsia="Arial" w:hAnsi="Arial"/>
                <w:sz w:val="18"/>
                <w:szCs w:val="18"/>
                <w:color w:val="auto"/>
                <w:w w:val="92"/>
              </w:rPr>
              <w:t>Senior Executive Vice President and Chief Financial Officer</w:t>
            </w:r>
          </w:p>
        </w:tc>
      </w:tr>
      <w:tr>
        <w:trPr>
          <w:trHeight w:val="224"/>
        </w:trPr>
        <w:tc>
          <w:tcPr>
            <w:tcW w:w="3760" w:type="dxa"/>
            <w:vAlign w:val="bottom"/>
            <w:gridSpan w:val="3"/>
          </w:tcPr>
          <w:p>
            <w:pPr>
              <w:jc w:val="center"/>
              <w:ind w:left="1110"/>
              <w:spacing w:after="0"/>
              <w:rPr>
                <w:sz w:val="20"/>
                <w:szCs w:val="20"/>
                <w:color w:val="auto"/>
              </w:rPr>
            </w:pPr>
            <w:r>
              <w:rPr>
                <w:rFonts w:ascii="Arial" w:cs="Arial" w:eastAsia="Arial" w:hAnsi="Arial"/>
                <w:sz w:val="18"/>
                <w:szCs w:val="18"/>
                <w:color w:val="auto"/>
                <w:w w:val="92"/>
              </w:rPr>
              <w:t>Marshall D. Smith</w:t>
            </w:r>
          </w:p>
        </w:tc>
        <w:tc>
          <w:tcPr>
            <w:tcW w:w="1220" w:type="dxa"/>
            <w:vAlign w:val="bottom"/>
          </w:tcPr>
          <w:p>
            <w:pPr>
              <w:spacing w:after="0"/>
              <w:rPr>
                <w:sz w:val="19"/>
                <w:szCs w:val="19"/>
                <w:color w:val="auto"/>
              </w:rPr>
            </w:pPr>
          </w:p>
        </w:tc>
        <w:tc>
          <w:tcPr>
            <w:tcW w:w="5300" w:type="dxa"/>
            <w:vAlign w:val="bottom"/>
            <w:gridSpan w:val="3"/>
          </w:tcPr>
          <w:p>
            <w:pPr>
              <w:jc w:val="center"/>
              <w:ind w:left="872"/>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431"/>
        </w:trPr>
        <w:tc>
          <w:tcPr>
            <w:tcW w:w="3760" w:type="dxa"/>
            <w:vAlign w:val="bottom"/>
            <w:tcBorders>
              <w:bottom w:val="single" w:sz="8" w:color="auto"/>
            </w:tcBorders>
            <w:gridSpan w:val="3"/>
          </w:tcPr>
          <w:p>
            <w:pPr>
              <w:jc w:val="center"/>
              <w:ind w:left="1110"/>
              <w:spacing w:after="0"/>
              <w:rPr>
                <w:sz w:val="20"/>
                <w:szCs w:val="20"/>
                <w:color w:val="auto"/>
              </w:rPr>
            </w:pPr>
            <w:r>
              <w:rPr>
                <w:rFonts w:ascii="Arial" w:cs="Arial" w:eastAsia="Arial" w:hAnsi="Arial"/>
                <w:sz w:val="18"/>
                <w:szCs w:val="18"/>
                <w:color w:val="auto"/>
                <w:w w:val="90"/>
              </w:rPr>
              <w:t>/s/ Roy Pineci</w:t>
            </w:r>
          </w:p>
        </w:tc>
        <w:tc>
          <w:tcPr>
            <w:tcW w:w="1220" w:type="dxa"/>
            <w:vAlign w:val="bottom"/>
            <w:tcBorders>
              <w:bottom w:val="single" w:sz="8" w:color="auto"/>
            </w:tcBorders>
          </w:tcPr>
          <w:p>
            <w:pPr>
              <w:spacing w:after="0"/>
              <w:rPr>
                <w:sz w:val="24"/>
                <w:szCs w:val="24"/>
                <w:color w:val="auto"/>
              </w:rPr>
            </w:pPr>
          </w:p>
        </w:tc>
        <w:tc>
          <w:tcPr>
            <w:tcW w:w="5300" w:type="dxa"/>
            <w:vAlign w:val="bottom"/>
            <w:gridSpan w:val="3"/>
          </w:tcPr>
          <w:p>
            <w:pPr>
              <w:jc w:val="center"/>
              <w:ind w:left="852"/>
              <w:spacing w:after="0"/>
              <w:rPr>
                <w:sz w:val="20"/>
                <w:szCs w:val="20"/>
                <w:color w:val="auto"/>
              </w:rPr>
            </w:pPr>
            <w:r>
              <w:rPr>
                <w:rFonts w:ascii="Arial" w:cs="Arial" w:eastAsia="Arial" w:hAnsi="Arial"/>
                <w:sz w:val="18"/>
                <w:szCs w:val="18"/>
                <w:color w:val="auto"/>
                <w:w w:val="90"/>
              </w:rPr>
              <w:t>Executive Vice President — Finance</w:t>
            </w:r>
          </w:p>
        </w:tc>
      </w:tr>
      <w:tr>
        <w:trPr>
          <w:trHeight w:val="224"/>
        </w:trPr>
        <w:tc>
          <w:tcPr>
            <w:tcW w:w="3760" w:type="dxa"/>
            <w:vAlign w:val="bottom"/>
            <w:gridSpan w:val="3"/>
          </w:tcPr>
          <w:p>
            <w:pPr>
              <w:jc w:val="center"/>
              <w:ind w:left="1110"/>
              <w:spacing w:after="0"/>
              <w:rPr>
                <w:sz w:val="20"/>
                <w:szCs w:val="20"/>
                <w:color w:val="auto"/>
              </w:rPr>
            </w:pPr>
            <w:r>
              <w:rPr>
                <w:rFonts w:ascii="Arial" w:cs="Arial" w:eastAsia="Arial" w:hAnsi="Arial"/>
                <w:sz w:val="18"/>
                <w:szCs w:val="18"/>
                <w:color w:val="auto"/>
                <w:w w:val="92"/>
              </w:rPr>
              <w:t>Roy Pineci</w:t>
            </w:r>
          </w:p>
        </w:tc>
        <w:tc>
          <w:tcPr>
            <w:tcW w:w="1220" w:type="dxa"/>
            <w:vAlign w:val="bottom"/>
          </w:tcPr>
          <w:p>
            <w:pPr>
              <w:spacing w:after="0"/>
              <w:rPr>
                <w:sz w:val="19"/>
                <w:szCs w:val="19"/>
                <w:color w:val="auto"/>
              </w:rPr>
            </w:pPr>
          </w:p>
        </w:tc>
        <w:tc>
          <w:tcPr>
            <w:tcW w:w="5300" w:type="dxa"/>
            <w:vAlign w:val="bottom"/>
            <w:gridSpan w:val="3"/>
          </w:tcPr>
          <w:p>
            <w:pPr>
              <w:jc w:val="center"/>
              <w:ind w:left="872"/>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431"/>
        </w:trPr>
        <w:tc>
          <w:tcPr>
            <w:tcW w:w="3760" w:type="dxa"/>
            <w:vAlign w:val="bottom"/>
            <w:tcBorders>
              <w:bottom w:val="single" w:sz="8" w:color="auto"/>
            </w:tcBorders>
            <w:gridSpan w:val="3"/>
          </w:tcPr>
          <w:p>
            <w:pPr>
              <w:jc w:val="center"/>
              <w:ind w:left="1110"/>
              <w:spacing w:after="0"/>
              <w:rPr>
                <w:sz w:val="20"/>
                <w:szCs w:val="20"/>
                <w:color w:val="auto"/>
              </w:rPr>
            </w:pPr>
            <w:r>
              <w:rPr>
                <w:rFonts w:ascii="Arial" w:cs="Arial" w:eastAsia="Arial" w:hAnsi="Arial"/>
                <w:sz w:val="18"/>
                <w:szCs w:val="18"/>
                <w:color w:val="auto"/>
                <w:w w:val="95"/>
              </w:rPr>
              <w:t>/s/ William E. Albrecht</w:t>
            </w:r>
          </w:p>
        </w:tc>
        <w:tc>
          <w:tcPr>
            <w:tcW w:w="1220" w:type="dxa"/>
            <w:vAlign w:val="bottom"/>
            <w:tcBorders>
              <w:bottom w:val="single" w:sz="8" w:color="auto"/>
            </w:tcBorders>
          </w:tcPr>
          <w:p>
            <w:pPr>
              <w:spacing w:after="0"/>
              <w:rPr>
                <w:sz w:val="24"/>
                <w:szCs w:val="24"/>
                <w:color w:val="auto"/>
              </w:rPr>
            </w:pPr>
          </w:p>
        </w:tc>
        <w:tc>
          <w:tcPr>
            <w:tcW w:w="5300" w:type="dxa"/>
            <w:vAlign w:val="bottom"/>
            <w:gridSpan w:val="3"/>
          </w:tcPr>
          <w:p>
            <w:pPr>
              <w:jc w:val="center"/>
              <w:ind w:left="852"/>
              <w:spacing w:after="0"/>
              <w:rPr>
                <w:sz w:val="20"/>
                <w:szCs w:val="20"/>
                <w:color w:val="auto"/>
              </w:rPr>
            </w:pPr>
            <w:r>
              <w:rPr>
                <w:rFonts w:ascii="Arial" w:cs="Arial" w:eastAsia="Arial" w:hAnsi="Arial"/>
                <w:sz w:val="18"/>
                <w:szCs w:val="18"/>
                <w:color w:val="auto"/>
                <w:w w:val="92"/>
              </w:rPr>
              <w:t>Chairman</w:t>
            </w:r>
          </w:p>
        </w:tc>
      </w:tr>
      <w:tr>
        <w:trPr>
          <w:trHeight w:val="224"/>
        </w:trPr>
        <w:tc>
          <w:tcPr>
            <w:tcW w:w="3760" w:type="dxa"/>
            <w:vAlign w:val="bottom"/>
            <w:gridSpan w:val="3"/>
          </w:tcPr>
          <w:p>
            <w:pPr>
              <w:jc w:val="center"/>
              <w:ind w:left="1130"/>
              <w:spacing w:after="0"/>
              <w:rPr>
                <w:sz w:val="20"/>
                <w:szCs w:val="20"/>
                <w:color w:val="auto"/>
              </w:rPr>
            </w:pPr>
            <w:r>
              <w:rPr>
                <w:rFonts w:ascii="Arial" w:cs="Arial" w:eastAsia="Arial" w:hAnsi="Arial"/>
                <w:sz w:val="18"/>
                <w:szCs w:val="18"/>
                <w:color w:val="auto"/>
                <w:w w:val="96"/>
              </w:rPr>
              <w:t>William E. Albrecht</w:t>
            </w:r>
          </w:p>
        </w:tc>
        <w:tc>
          <w:tcPr>
            <w:tcW w:w="12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3760" w:type="dxa"/>
            <w:vAlign w:val="bottom"/>
            <w:tcBorders>
              <w:bottom w:val="single" w:sz="8" w:color="auto"/>
            </w:tcBorders>
            <w:gridSpan w:val="3"/>
          </w:tcPr>
          <w:p>
            <w:pPr>
              <w:jc w:val="center"/>
              <w:ind w:left="1110"/>
              <w:spacing w:after="0"/>
              <w:rPr>
                <w:sz w:val="20"/>
                <w:szCs w:val="20"/>
                <w:color w:val="auto"/>
              </w:rPr>
            </w:pPr>
            <w:r>
              <w:rPr>
                <w:rFonts w:ascii="Arial" w:cs="Arial" w:eastAsia="Arial" w:hAnsi="Arial"/>
                <w:sz w:val="18"/>
                <w:szCs w:val="18"/>
                <w:color w:val="auto"/>
                <w:w w:val="91"/>
              </w:rPr>
              <w:t>/s/ Justin A. Gannon</w:t>
            </w:r>
          </w:p>
        </w:tc>
        <w:tc>
          <w:tcPr>
            <w:tcW w:w="1220" w:type="dxa"/>
            <w:vAlign w:val="bottom"/>
            <w:tcBorders>
              <w:bottom w:val="single" w:sz="8" w:color="auto"/>
            </w:tcBorders>
          </w:tcPr>
          <w:p>
            <w:pPr>
              <w:spacing w:after="0"/>
              <w:rPr>
                <w:sz w:val="24"/>
                <w:szCs w:val="24"/>
                <w:color w:val="auto"/>
              </w:rPr>
            </w:pPr>
          </w:p>
        </w:tc>
        <w:tc>
          <w:tcPr>
            <w:tcW w:w="5300" w:type="dxa"/>
            <w:vAlign w:val="bottom"/>
            <w:gridSpan w:val="3"/>
          </w:tcPr>
          <w:p>
            <w:pPr>
              <w:jc w:val="center"/>
              <w:ind w:left="852"/>
              <w:spacing w:after="0"/>
              <w:rPr>
                <w:sz w:val="20"/>
                <w:szCs w:val="20"/>
                <w:color w:val="auto"/>
              </w:rPr>
            </w:pPr>
            <w:r>
              <w:rPr>
                <w:rFonts w:ascii="Arial" w:cs="Arial" w:eastAsia="Arial" w:hAnsi="Arial"/>
                <w:sz w:val="18"/>
                <w:szCs w:val="18"/>
                <w:color w:val="auto"/>
                <w:w w:val="95"/>
              </w:rPr>
              <w:t>Director</w:t>
            </w:r>
          </w:p>
        </w:tc>
      </w:tr>
      <w:tr>
        <w:trPr>
          <w:trHeight w:val="224"/>
        </w:trPr>
        <w:tc>
          <w:tcPr>
            <w:tcW w:w="3760" w:type="dxa"/>
            <w:vAlign w:val="bottom"/>
            <w:gridSpan w:val="3"/>
          </w:tcPr>
          <w:p>
            <w:pPr>
              <w:jc w:val="center"/>
              <w:ind w:left="1110"/>
              <w:spacing w:after="0"/>
              <w:rPr>
                <w:sz w:val="20"/>
                <w:szCs w:val="20"/>
                <w:color w:val="auto"/>
              </w:rPr>
            </w:pPr>
            <w:r>
              <w:rPr>
                <w:rFonts w:ascii="Arial" w:cs="Arial" w:eastAsia="Arial" w:hAnsi="Arial"/>
                <w:sz w:val="18"/>
                <w:szCs w:val="18"/>
                <w:color w:val="auto"/>
                <w:w w:val="89"/>
              </w:rPr>
              <w:t>Justin A. Gannon</w:t>
            </w:r>
          </w:p>
        </w:tc>
        <w:tc>
          <w:tcPr>
            <w:tcW w:w="12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3760" w:type="dxa"/>
            <w:vAlign w:val="bottom"/>
            <w:tcBorders>
              <w:bottom w:val="single" w:sz="8" w:color="auto"/>
            </w:tcBorders>
            <w:gridSpan w:val="3"/>
          </w:tcPr>
          <w:p>
            <w:pPr>
              <w:jc w:val="center"/>
              <w:ind w:left="1110"/>
              <w:spacing w:after="0"/>
              <w:rPr>
                <w:sz w:val="20"/>
                <w:szCs w:val="20"/>
                <w:color w:val="auto"/>
              </w:rPr>
            </w:pPr>
            <w:r>
              <w:rPr>
                <w:rFonts w:ascii="Arial" w:cs="Arial" w:eastAsia="Arial" w:hAnsi="Arial"/>
                <w:sz w:val="18"/>
                <w:szCs w:val="18"/>
                <w:color w:val="auto"/>
                <w:w w:val="96"/>
              </w:rPr>
              <w:t>/s/ Harold M. Korell</w:t>
            </w:r>
          </w:p>
        </w:tc>
        <w:tc>
          <w:tcPr>
            <w:tcW w:w="1220" w:type="dxa"/>
            <w:vAlign w:val="bottom"/>
            <w:tcBorders>
              <w:bottom w:val="single" w:sz="8" w:color="auto"/>
            </w:tcBorders>
          </w:tcPr>
          <w:p>
            <w:pPr>
              <w:spacing w:after="0"/>
              <w:rPr>
                <w:sz w:val="24"/>
                <w:szCs w:val="24"/>
                <w:color w:val="auto"/>
              </w:rPr>
            </w:pPr>
          </w:p>
        </w:tc>
        <w:tc>
          <w:tcPr>
            <w:tcW w:w="5300" w:type="dxa"/>
            <w:vAlign w:val="bottom"/>
            <w:gridSpan w:val="3"/>
          </w:tcPr>
          <w:p>
            <w:pPr>
              <w:jc w:val="center"/>
              <w:ind w:left="852"/>
              <w:spacing w:after="0"/>
              <w:rPr>
                <w:sz w:val="20"/>
                <w:szCs w:val="20"/>
                <w:color w:val="auto"/>
              </w:rPr>
            </w:pPr>
            <w:r>
              <w:rPr>
                <w:rFonts w:ascii="Arial" w:cs="Arial" w:eastAsia="Arial" w:hAnsi="Arial"/>
                <w:sz w:val="18"/>
                <w:szCs w:val="18"/>
                <w:color w:val="auto"/>
                <w:w w:val="95"/>
              </w:rPr>
              <w:t>Director</w:t>
            </w:r>
          </w:p>
        </w:tc>
      </w:tr>
      <w:tr>
        <w:trPr>
          <w:trHeight w:val="224"/>
        </w:trPr>
        <w:tc>
          <w:tcPr>
            <w:tcW w:w="3760" w:type="dxa"/>
            <w:vAlign w:val="bottom"/>
            <w:gridSpan w:val="3"/>
          </w:tcPr>
          <w:p>
            <w:pPr>
              <w:jc w:val="center"/>
              <w:ind w:left="1110"/>
              <w:spacing w:after="0"/>
              <w:rPr>
                <w:sz w:val="20"/>
                <w:szCs w:val="20"/>
                <w:color w:val="auto"/>
              </w:rPr>
            </w:pPr>
            <w:r>
              <w:rPr>
                <w:rFonts w:ascii="Arial" w:cs="Arial" w:eastAsia="Arial" w:hAnsi="Arial"/>
                <w:sz w:val="18"/>
                <w:szCs w:val="18"/>
                <w:color w:val="auto"/>
                <w:w w:val="96"/>
              </w:rPr>
              <w:t>Harold M. Korell</w:t>
            </w:r>
          </w:p>
        </w:tc>
        <w:tc>
          <w:tcPr>
            <w:tcW w:w="12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3760" w:type="dxa"/>
            <w:vAlign w:val="bottom"/>
            <w:tcBorders>
              <w:bottom w:val="single" w:sz="8" w:color="auto"/>
            </w:tcBorders>
            <w:gridSpan w:val="3"/>
          </w:tcPr>
          <w:p>
            <w:pPr>
              <w:jc w:val="center"/>
              <w:ind w:left="1130"/>
              <w:spacing w:after="0"/>
              <w:rPr>
                <w:sz w:val="20"/>
                <w:szCs w:val="20"/>
                <w:color w:val="auto"/>
              </w:rPr>
            </w:pPr>
            <w:r>
              <w:rPr>
                <w:rFonts w:ascii="Arial" w:cs="Arial" w:eastAsia="Arial" w:hAnsi="Arial"/>
                <w:sz w:val="18"/>
                <w:szCs w:val="18"/>
                <w:color w:val="auto"/>
                <w:w w:val="93"/>
              </w:rPr>
              <w:t>/s/ Harry T. McMahon</w:t>
            </w:r>
          </w:p>
        </w:tc>
        <w:tc>
          <w:tcPr>
            <w:tcW w:w="1220" w:type="dxa"/>
            <w:vAlign w:val="bottom"/>
            <w:tcBorders>
              <w:bottom w:val="single" w:sz="8" w:color="auto"/>
            </w:tcBorders>
          </w:tcPr>
          <w:p>
            <w:pPr>
              <w:spacing w:after="0"/>
              <w:rPr>
                <w:sz w:val="24"/>
                <w:szCs w:val="24"/>
                <w:color w:val="auto"/>
              </w:rPr>
            </w:pPr>
          </w:p>
        </w:tc>
        <w:tc>
          <w:tcPr>
            <w:tcW w:w="5300" w:type="dxa"/>
            <w:vAlign w:val="bottom"/>
            <w:gridSpan w:val="3"/>
          </w:tcPr>
          <w:p>
            <w:pPr>
              <w:jc w:val="center"/>
              <w:ind w:left="852"/>
              <w:spacing w:after="0"/>
              <w:rPr>
                <w:sz w:val="20"/>
                <w:szCs w:val="20"/>
                <w:color w:val="auto"/>
              </w:rPr>
            </w:pPr>
            <w:r>
              <w:rPr>
                <w:rFonts w:ascii="Arial" w:cs="Arial" w:eastAsia="Arial" w:hAnsi="Arial"/>
                <w:sz w:val="18"/>
                <w:szCs w:val="18"/>
                <w:color w:val="auto"/>
                <w:w w:val="95"/>
              </w:rPr>
              <w:t>Director</w:t>
            </w:r>
          </w:p>
        </w:tc>
      </w:tr>
      <w:tr>
        <w:trPr>
          <w:trHeight w:val="224"/>
        </w:trPr>
        <w:tc>
          <w:tcPr>
            <w:tcW w:w="3760" w:type="dxa"/>
            <w:vAlign w:val="bottom"/>
            <w:gridSpan w:val="3"/>
          </w:tcPr>
          <w:p>
            <w:pPr>
              <w:jc w:val="center"/>
              <w:ind w:left="1110"/>
              <w:spacing w:after="0"/>
              <w:rPr>
                <w:sz w:val="20"/>
                <w:szCs w:val="20"/>
                <w:color w:val="auto"/>
              </w:rPr>
            </w:pPr>
            <w:r>
              <w:rPr>
                <w:rFonts w:ascii="Arial" w:cs="Arial" w:eastAsia="Arial" w:hAnsi="Arial"/>
                <w:sz w:val="18"/>
                <w:szCs w:val="18"/>
                <w:color w:val="auto"/>
                <w:w w:val="93"/>
              </w:rPr>
              <w:t>Harry T. McMahon</w:t>
            </w:r>
          </w:p>
        </w:tc>
        <w:tc>
          <w:tcPr>
            <w:tcW w:w="12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64"/>
        </w:trPr>
        <w:tc>
          <w:tcPr>
            <w:tcW w:w="2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300" w:type="dxa"/>
            <w:vAlign w:val="bottom"/>
            <w:gridSpan w:val="3"/>
          </w:tcPr>
          <w:p>
            <w:pPr>
              <w:jc w:val="center"/>
              <w:ind w:right="4280"/>
              <w:spacing w:after="0"/>
              <w:rPr>
                <w:sz w:val="20"/>
                <w:szCs w:val="20"/>
                <w:color w:val="auto"/>
              </w:rPr>
            </w:pPr>
            <w:r>
              <w:rPr>
                <w:rFonts w:ascii="Arial" w:cs="Arial" w:eastAsia="Arial" w:hAnsi="Arial"/>
                <w:sz w:val="18"/>
                <w:szCs w:val="18"/>
                <w:color w:val="auto"/>
                <w:w w:val="99"/>
              </w:rPr>
              <w:t>II-7</w:t>
            </w:r>
          </w:p>
        </w:tc>
      </w:tr>
    </w:tbl>
    <w:p>
      <w:pPr>
        <w:sectPr>
          <w:pgSz w:w="11900" w:h="16838" w:orient="portrait"/>
          <w:cols w:equalWidth="0" w:num="1">
            <w:col w:w="11160"/>
          </w:cols>
          <w:pgMar w:left="24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2680" w:type="dxa"/>
            <w:vAlign w:val="bottom"/>
            <w:gridSpan w:val="2"/>
          </w:tcPr>
          <w:p>
            <w:pPr>
              <w:jc w:val="center"/>
              <w:ind w:right="2320"/>
              <w:spacing w:after="0"/>
              <w:rPr>
                <w:sz w:val="20"/>
                <w:szCs w:val="20"/>
                <w:color w:val="auto"/>
              </w:rPr>
            </w:pPr>
            <w:r>
              <w:rPr>
                <w:rFonts w:ascii="Arial" w:cs="Arial" w:eastAsia="Arial" w:hAnsi="Arial"/>
                <w:sz w:val="14"/>
                <w:szCs w:val="14"/>
                <w:b w:val="1"/>
                <w:bCs w:val="1"/>
                <w:color w:val="auto"/>
                <w:w w:val="94"/>
              </w:rPr>
              <w:t>Name</w:t>
            </w:r>
          </w:p>
        </w:tc>
        <w:tc>
          <w:tcPr>
            <w:tcW w:w="3420" w:type="dxa"/>
            <w:vAlign w:val="bottom"/>
            <w:gridSpan w:val="3"/>
          </w:tcPr>
          <w:p>
            <w:pPr>
              <w:jc w:val="center"/>
              <w:ind w:left="2733"/>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2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6"/>
        </w:trPr>
        <w:tc>
          <w:tcPr>
            <w:tcW w:w="49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Avedick B. Poladian</w:t>
            </w:r>
          </w:p>
        </w:tc>
        <w:tc>
          <w:tcPr>
            <w:tcW w:w="3420" w:type="dxa"/>
            <w:vAlign w:val="bottom"/>
            <w:gridSpan w:val="3"/>
          </w:tcPr>
          <w:p>
            <w:pPr>
              <w:jc w:val="center"/>
              <w:ind w:left="2733"/>
              <w:spacing w:after="0"/>
              <w:rPr>
                <w:sz w:val="20"/>
                <w:szCs w:val="20"/>
                <w:color w:val="auto"/>
              </w:rPr>
            </w:pPr>
            <w:r>
              <w:rPr>
                <w:rFonts w:ascii="Arial" w:cs="Arial" w:eastAsia="Arial" w:hAnsi="Arial"/>
                <w:sz w:val="18"/>
                <w:szCs w:val="18"/>
                <w:color w:val="auto"/>
                <w:w w:val="95"/>
              </w:rPr>
              <w:t>Director</w:t>
            </w:r>
          </w:p>
        </w:tc>
      </w:tr>
      <w:tr>
        <w:trPr>
          <w:trHeight w:val="224"/>
        </w:trPr>
        <w:tc>
          <w:tcPr>
            <w:tcW w:w="498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Avedick B. Poladian</w:t>
            </w:r>
          </w:p>
        </w:tc>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1"/>
        </w:trPr>
        <w:tc>
          <w:tcPr>
            <w:tcW w:w="49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/s/ Anita M. Powers</w:t>
            </w:r>
          </w:p>
        </w:tc>
        <w:tc>
          <w:tcPr>
            <w:tcW w:w="3420" w:type="dxa"/>
            <w:vAlign w:val="bottom"/>
            <w:gridSpan w:val="3"/>
          </w:tcPr>
          <w:p>
            <w:pPr>
              <w:jc w:val="center"/>
              <w:ind w:left="2733"/>
              <w:spacing w:after="0"/>
              <w:rPr>
                <w:sz w:val="20"/>
                <w:szCs w:val="20"/>
                <w:color w:val="auto"/>
              </w:rPr>
            </w:pPr>
            <w:r>
              <w:rPr>
                <w:rFonts w:ascii="Arial" w:cs="Arial" w:eastAsia="Arial" w:hAnsi="Arial"/>
                <w:sz w:val="18"/>
                <w:szCs w:val="18"/>
                <w:color w:val="auto"/>
                <w:w w:val="95"/>
              </w:rPr>
              <w:t>Director</w:t>
            </w:r>
          </w:p>
        </w:tc>
      </w:tr>
      <w:tr>
        <w:trPr>
          <w:trHeight w:val="224"/>
        </w:trPr>
        <w:tc>
          <w:tcPr>
            <w:tcW w:w="4980" w:type="dxa"/>
            <w:vAlign w:val="bottom"/>
            <w:gridSpan w:val="3"/>
          </w:tcPr>
          <w:p>
            <w:pPr>
              <w:jc w:val="center"/>
              <w:spacing w:after="0"/>
              <w:rPr>
                <w:sz w:val="20"/>
                <w:szCs w:val="20"/>
                <w:color w:val="auto"/>
              </w:rPr>
            </w:pPr>
            <w:r>
              <w:rPr>
                <w:rFonts w:ascii="Arial" w:cs="Arial" w:eastAsia="Arial" w:hAnsi="Arial"/>
                <w:sz w:val="18"/>
                <w:szCs w:val="18"/>
                <w:color w:val="auto"/>
                <w:w w:val="93"/>
              </w:rPr>
              <w:t>Anita M. Powers</w:t>
            </w:r>
          </w:p>
        </w:tc>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1"/>
        </w:trPr>
        <w:tc>
          <w:tcPr>
            <w:tcW w:w="49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/s/ Laurie A. Siegel</w:t>
            </w:r>
          </w:p>
        </w:tc>
        <w:tc>
          <w:tcPr>
            <w:tcW w:w="3420" w:type="dxa"/>
            <w:vAlign w:val="bottom"/>
            <w:gridSpan w:val="3"/>
          </w:tcPr>
          <w:p>
            <w:pPr>
              <w:jc w:val="center"/>
              <w:ind w:left="2733"/>
              <w:spacing w:after="0"/>
              <w:rPr>
                <w:sz w:val="20"/>
                <w:szCs w:val="20"/>
                <w:color w:val="auto"/>
              </w:rPr>
            </w:pPr>
            <w:r>
              <w:rPr>
                <w:rFonts w:ascii="Arial" w:cs="Arial" w:eastAsia="Arial" w:hAnsi="Arial"/>
                <w:sz w:val="18"/>
                <w:szCs w:val="18"/>
                <w:color w:val="auto"/>
                <w:w w:val="95"/>
              </w:rPr>
              <w:t>Director</w:t>
            </w:r>
          </w:p>
        </w:tc>
      </w:tr>
      <w:tr>
        <w:trPr>
          <w:trHeight w:val="224"/>
        </w:trPr>
        <w:tc>
          <w:tcPr>
            <w:tcW w:w="4980" w:type="dxa"/>
            <w:vAlign w:val="bottom"/>
            <w:gridSpan w:val="3"/>
          </w:tcPr>
          <w:p>
            <w:pPr>
              <w:jc w:val="center"/>
              <w:spacing w:after="0"/>
              <w:rPr>
                <w:sz w:val="20"/>
                <w:szCs w:val="20"/>
                <w:color w:val="auto"/>
              </w:rPr>
            </w:pPr>
            <w:r>
              <w:rPr>
                <w:rFonts w:ascii="Arial" w:cs="Arial" w:eastAsia="Arial" w:hAnsi="Arial"/>
                <w:sz w:val="18"/>
                <w:szCs w:val="18"/>
                <w:color w:val="auto"/>
                <w:w w:val="92"/>
              </w:rPr>
              <w:t>Laurie A. Siegel</w:t>
            </w:r>
          </w:p>
        </w:tc>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1"/>
        </w:trPr>
        <w:tc>
          <w:tcPr>
            <w:tcW w:w="49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/s/ Robert V. Sinnott</w:t>
            </w:r>
          </w:p>
        </w:tc>
        <w:tc>
          <w:tcPr>
            <w:tcW w:w="3420" w:type="dxa"/>
            <w:vAlign w:val="bottom"/>
            <w:gridSpan w:val="3"/>
          </w:tcPr>
          <w:p>
            <w:pPr>
              <w:jc w:val="center"/>
              <w:ind w:left="2733"/>
              <w:spacing w:after="0"/>
              <w:rPr>
                <w:sz w:val="20"/>
                <w:szCs w:val="20"/>
                <w:color w:val="auto"/>
              </w:rPr>
            </w:pPr>
            <w:r>
              <w:rPr>
                <w:rFonts w:ascii="Arial" w:cs="Arial" w:eastAsia="Arial" w:hAnsi="Arial"/>
                <w:sz w:val="18"/>
                <w:szCs w:val="18"/>
                <w:color w:val="auto"/>
                <w:w w:val="95"/>
              </w:rPr>
              <w:t>Director</w:t>
            </w:r>
          </w:p>
        </w:tc>
      </w:tr>
      <w:tr>
        <w:trPr>
          <w:trHeight w:val="224"/>
        </w:trPr>
        <w:tc>
          <w:tcPr>
            <w:tcW w:w="498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Robert V. Sinnott</w:t>
            </w:r>
          </w:p>
        </w:tc>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64"/>
        </w:trPr>
        <w:tc>
          <w:tcPr>
            <w:tcW w:w="2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420" w:type="dxa"/>
            <w:vAlign w:val="bottom"/>
            <w:gridSpan w:val="3"/>
          </w:tcPr>
          <w:p>
            <w:pPr>
              <w:ind w:left="380"/>
              <w:spacing w:after="0"/>
              <w:rPr>
                <w:sz w:val="20"/>
                <w:szCs w:val="20"/>
                <w:color w:val="auto"/>
              </w:rPr>
            </w:pPr>
            <w:r>
              <w:rPr>
                <w:rFonts w:ascii="Arial" w:cs="Arial" w:eastAsia="Arial" w:hAnsi="Arial"/>
                <w:sz w:val="18"/>
                <w:szCs w:val="18"/>
                <w:color w:val="auto"/>
              </w:rPr>
              <w:t>II-8</w:t>
            </w:r>
          </w:p>
        </w:tc>
      </w:tr>
    </w:tbl>
    <w:p>
      <w:pPr>
        <w:sectPr>
          <w:pgSz w:w="11900" w:h="16838" w:orient="portrait"/>
          <w:cols w:equalWidth="0" w:num="1">
            <w:col w:w="10219"/>
          </w:cols>
          <w:pgMar w:left="240" w:top="45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Todd A. Stevens, Marshall D. Smith, Michael L. Preston, Jody L. Johnson and Ulrik Damborg, and each of them severally, his true and lawful attorney or attorneys-in-fact and agents, with full power to act with or without the others and with full power of substitution and resubstitution, to execute in his or her name, place and stead, in any and all capacities, any or all amendments (including pre-effective and post-effective amendments) to this Registration Statement and any registration statement for the same offering filed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in the name of on behalf of the undersigned, in any and all capacities, each and every act and thing necessary or desirable to be done in and about the premises, to all intents and purposes and as fully as they might or could do in person, hereby ratifying, approving and confirming all that said attorneys-in-fact and agents or their substitutes may lawfully do or cause to be done by virtue hereof.</w:t>
      </w:r>
    </w:p>
    <w:p>
      <w:pPr>
        <w:spacing w:after="0" w:line="17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indicated on November 16th, 2018.</w:t>
      </w:r>
    </w:p>
    <w:p>
      <w:pPr>
        <w:spacing w:after="0" w:line="166"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80" w:type="dxa"/>
            <w:vAlign w:val="bottom"/>
            <w:gridSpan w:val="4"/>
          </w:tcPr>
          <w:p>
            <w:pPr>
              <w:jc w:val="center"/>
              <w:ind w:right="3000"/>
              <w:spacing w:after="0"/>
              <w:rPr>
                <w:sz w:val="20"/>
                <w:szCs w:val="20"/>
                <w:color w:val="auto"/>
              </w:rPr>
            </w:pPr>
            <w:r>
              <w:rPr>
                <w:rFonts w:ascii="Arial" w:cs="Arial" w:eastAsia="Arial" w:hAnsi="Arial"/>
                <w:sz w:val="18"/>
                <w:szCs w:val="18"/>
                <w:b w:val="1"/>
                <w:bCs w:val="1"/>
                <w:color w:val="auto"/>
                <w:w w:val="94"/>
              </w:rPr>
              <w:t>California Heavy Oil, Inc.</w:t>
            </w:r>
          </w:p>
        </w:tc>
      </w:tr>
      <w:tr>
        <w:trPr>
          <w:trHeight w:val="216"/>
        </w:trPr>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80" w:type="dxa"/>
            <w:vAlign w:val="bottom"/>
            <w:gridSpan w:val="4"/>
          </w:tcPr>
          <w:p>
            <w:pPr>
              <w:jc w:val="center"/>
              <w:ind w:right="3020"/>
              <w:spacing w:after="0"/>
              <w:rPr>
                <w:sz w:val="20"/>
                <w:szCs w:val="20"/>
                <w:color w:val="auto"/>
              </w:rPr>
            </w:pPr>
            <w:r>
              <w:rPr>
                <w:rFonts w:ascii="Arial" w:cs="Arial" w:eastAsia="Arial" w:hAnsi="Arial"/>
                <w:sz w:val="18"/>
                <w:szCs w:val="18"/>
                <w:b w:val="1"/>
                <w:bCs w:val="1"/>
                <w:color w:val="auto"/>
                <w:w w:val="90"/>
              </w:rPr>
              <w:t>California Resources Coles Levee, LLC</w:t>
            </w:r>
          </w:p>
        </w:tc>
      </w:tr>
      <w:tr>
        <w:trPr>
          <w:trHeight w:val="216"/>
        </w:trPr>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80" w:type="dxa"/>
            <w:vAlign w:val="bottom"/>
            <w:gridSpan w:val="4"/>
          </w:tcPr>
          <w:p>
            <w:pPr>
              <w:jc w:val="center"/>
              <w:ind w:right="3000"/>
              <w:spacing w:after="0"/>
              <w:rPr>
                <w:sz w:val="20"/>
                <w:szCs w:val="20"/>
                <w:color w:val="auto"/>
              </w:rPr>
            </w:pPr>
            <w:r>
              <w:rPr>
                <w:rFonts w:ascii="Arial" w:cs="Arial" w:eastAsia="Arial" w:hAnsi="Arial"/>
                <w:sz w:val="18"/>
                <w:szCs w:val="18"/>
                <w:b w:val="1"/>
                <w:bCs w:val="1"/>
                <w:color w:val="auto"/>
                <w:w w:val="93"/>
              </w:rPr>
              <w:t>California Resources Elk Hills, LLC</w:t>
            </w:r>
          </w:p>
        </w:tc>
      </w:tr>
      <w:tr>
        <w:trPr>
          <w:trHeight w:val="216"/>
        </w:trPr>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80" w:type="dxa"/>
            <w:vAlign w:val="bottom"/>
            <w:gridSpan w:val="4"/>
          </w:tcPr>
          <w:p>
            <w:pPr>
              <w:jc w:val="center"/>
              <w:ind w:right="3000"/>
              <w:spacing w:after="0"/>
              <w:rPr>
                <w:sz w:val="20"/>
                <w:szCs w:val="20"/>
                <w:color w:val="auto"/>
              </w:rPr>
            </w:pPr>
            <w:r>
              <w:rPr>
                <w:rFonts w:ascii="Arial" w:cs="Arial" w:eastAsia="Arial" w:hAnsi="Arial"/>
                <w:sz w:val="18"/>
                <w:szCs w:val="18"/>
                <w:b w:val="1"/>
                <w:bCs w:val="1"/>
                <w:color w:val="auto"/>
                <w:w w:val="89"/>
              </w:rPr>
              <w:t>California Resources Long Beach, Inc.</w:t>
            </w:r>
          </w:p>
        </w:tc>
      </w:tr>
      <w:tr>
        <w:trPr>
          <w:trHeight w:val="216"/>
        </w:trPr>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80" w:type="dxa"/>
            <w:vAlign w:val="bottom"/>
            <w:gridSpan w:val="4"/>
          </w:tcPr>
          <w:p>
            <w:pPr>
              <w:jc w:val="center"/>
              <w:ind w:right="3020"/>
              <w:spacing w:after="0"/>
              <w:rPr>
                <w:sz w:val="20"/>
                <w:szCs w:val="20"/>
                <w:color w:val="auto"/>
              </w:rPr>
            </w:pPr>
            <w:r>
              <w:rPr>
                <w:rFonts w:ascii="Arial" w:cs="Arial" w:eastAsia="Arial" w:hAnsi="Arial"/>
                <w:sz w:val="18"/>
                <w:szCs w:val="18"/>
                <w:b w:val="1"/>
                <w:bCs w:val="1"/>
                <w:color w:val="auto"/>
                <w:w w:val="90"/>
              </w:rPr>
              <w:t>California Resources Petroleum Corporation</w:t>
            </w:r>
          </w:p>
        </w:tc>
      </w:tr>
      <w:tr>
        <w:trPr>
          <w:trHeight w:val="216"/>
        </w:trPr>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80" w:type="dxa"/>
            <w:vAlign w:val="bottom"/>
            <w:gridSpan w:val="4"/>
          </w:tcPr>
          <w:p>
            <w:pPr>
              <w:jc w:val="center"/>
              <w:ind w:right="3000"/>
              <w:spacing w:after="0"/>
              <w:rPr>
                <w:sz w:val="20"/>
                <w:szCs w:val="20"/>
                <w:color w:val="auto"/>
              </w:rPr>
            </w:pPr>
            <w:r>
              <w:rPr>
                <w:rFonts w:ascii="Arial" w:cs="Arial" w:eastAsia="Arial" w:hAnsi="Arial"/>
                <w:sz w:val="18"/>
                <w:szCs w:val="18"/>
                <w:b w:val="1"/>
                <w:bCs w:val="1"/>
                <w:color w:val="auto"/>
                <w:w w:val="90"/>
              </w:rPr>
              <w:t>California Resources Production Corporation</w:t>
            </w:r>
          </w:p>
        </w:tc>
      </w:tr>
      <w:tr>
        <w:trPr>
          <w:trHeight w:val="216"/>
        </w:trPr>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80" w:type="dxa"/>
            <w:vAlign w:val="bottom"/>
            <w:gridSpan w:val="4"/>
          </w:tcPr>
          <w:p>
            <w:pPr>
              <w:jc w:val="center"/>
              <w:ind w:right="3000"/>
              <w:spacing w:after="0"/>
              <w:rPr>
                <w:sz w:val="20"/>
                <w:szCs w:val="20"/>
                <w:color w:val="auto"/>
              </w:rPr>
            </w:pPr>
            <w:r>
              <w:rPr>
                <w:rFonts w:ascii="Arial" w:cs="Arial" w:eastAsia="Arial" w:hAnsi="Arial"/>
                <w:sz w:val="18"/>
                <w:szCs w:val="18"/>
                <w:b w:val="1"/>
                <w:bCs w:val="1"/>
                <w:color w:val="auto"/>
                <w:w w:val="90"/>
              </w:rPr>
              <w:t>California Resources Real Estate Ventures, LLC</w:t>
            </w:r>
          </w:p>
        </w:tc>
      </w:tr>
      <w:tr>
        <w:trPr>
          <w:trHeight w:val="216"/>
        </w:trPr>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80" w:type="dxa"/>
            <w:vAlign w:val="bottom"/>
            <w:gridSpan w:val="4"/>
          </w:tcPr>
          <w:p>
            <w:pPr>
              <w:jc w:val="center"/>
              <w:ind w:right="3000"/>
              <w:spacing w:after="0"/>
              <w:rPr>
                <w:sz w:val="20"/>
                <w:szCs w:val="20"/>
                <w:color w:val="auto"/>
              </w:rPr>
            </w:pPr>
            <w:r>
              <w:rPr>
                <w:rFonts w:ascii="Arial" w:cs="Arial" w:eastAsia="Arial" w:hAnsi="Arial"/>
                <w:sz w:val="18"/>
                <w:szCs w:val="18"/>
                <w:b w:val="1"/>
                <w:bCs w:val="1"/>
                <w:color w:val="auto"/>
                <w:w w:val="90"/>
              </w:rPr>
              <w:t>California Resources Tidelands, Inc.</w:t>
            </w:r>
          </w:p>
        </w:tc>
      </w:tr>
      <w:tr>
        <w:trPr>
          <w:trHeight w:val="216"/>
        </w:trPr>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80" w:type="dxa"/>
            <w:vAlign w:val="bottom"/>
            <w:gridSpan w:val="4"/>
          </w:tcPr>
          <w:p>
            <w:pPr>
              <w:jc w:val="center"/>
              <w:ind w:right="3000"/>
              <w:spacing w:after="0"/>
              <w:rPr>
                <w:sz w:val="20"/>
                <w:szCs w:val="20"/>
                <w:color w:val="auto"/>
              </w:rPr>
            </w:pPr>
            <w:r>
              <w:rPr>
                <w:rFonts w:ascii="Arial" w:cs="Arial" w:eastAsia="Arial" w:hAnsi="Arial"/>
                <w:sz w:val="18"/>
                <w:szCs w:val="18"/>
                <w:b w:val="1"/>
                <w:bCs w:val="1"/>
                <w:color w:val="auto"/>
                <w:w w:val="92"/>
              </w:rPr>
              <w:t>California Resources Wilmington, LLC</w:t>
            </w:r>
          </w:p>
        </w:tc>
      </w:tr>
      <w:tr>
        <w:trPr>
          <w:trHeight w:val="216"/>
        </w:trPr>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80" w:type="dxa"/>
            <w:vAlign w:val="bottom"/>
            <w:gridSpan w:val="4"/>
          </w:tcPr>
          <w:p>
            <w:pPr>
              <w:jc w:val="center"/>
              <w:ind w:right="3020"/>
              <w:spacing w:after="0"/>
              <w:rPr>
                <w:sz w:val="20"/>
                <w:szCs w:val="20"/>
                <w:color w:val="auto"/>
              </w:rPr>
            </w:pPr>
            <w:r>
              <w:rPr>
                <w:rFonts w:ascii="Arial" w:cs="Arial" w:eastAsia="Arial" w:hAnsi="Arial"/>
                <w:sz w:val="18"/>
                <w:szCs w:val="18"/>
                <w:b w:val="1"/>
                <w:bCs w:val="1"/>
                <w:color w:val="auto"/>
                <w:w w:val="92"/>
              </w:rPr>
              <w:t>CRC Construction Services, LLC</w:t>
            </w:r>
          </w:p>
        </w:tc>
      </w:tr>
      <w:tr>
        <w:trPr>
          <w:trHeight w:val="216"/>
        </w:trPr>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80" w:type="dxa"/>
            <w:vAlign w:val="bottom"/>
            <w:gridSpan w:val="4"/>
          </w:tcPr>
          <w:p>
            <w:pPr>
              <w:jc w:val="center"/>
              <w:ind w:right="3000"/>
              <w:spacing w:after="0"/>
              <w:rPr>
                <w:sz w:val="20"/>
                <w:szCs w:val="20"/>
                <w:color w:val="auto"/>
              </w:rPr>
            </w:pPr>
            <w:r>
              <w:rPr>
                <w:rFonts w:ascii="Arial" w:cs="Arial" w:eastAsia="Arial" w:hAnsi="Arial"/>
                <w:sz w:val="18"/>
                <w:szCs w:val="18"/>
                <w:b w:val="1"/>
                <w:bCs w:val="1"/>
                <w:color w:val="auto"/>
                <w:w w:val="93"/>
              </w:rPr>
              <w:t>CRC Services, LLC</w:t>
            </w:r>
          </w:p>
        </w:tc>
      </w:tr>
      <w:tr>
        <w:trPr>
          <w:trHeight w:val="216"/>
        </w:trPr>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80" w:type="dxa"/>
            <w:vAlign w:val="bottom"/>
            <w:gridSpan w:val="4"/>
          </w:tcPr>
          <w:p>
            <w:pPr>
              <w:jc w:val="center"/>
              <w:ind w:right="3020"/>
              <w:spacing w:after="0"/>
              <w:rPr>
                <w:sz w:val="20"/>
                <w:szCs w:val="20"/>
                <w:color w:val="auto"/>
              </w:rPr>
            </w:pPr>
            <w:r>
              <w:rPr>
                <w:rFonts w:ascii="Arial" w:cs="Arial" w:eastAsia="Arial" w:hAnsi="Arial"/>
                <w:sz w:val="18"/>
                <w:szCs w:val="18"/>
                <w:b w:val="1"/>
                <w:bCs w:val="1"/>
                <w:color w:val="auto"/>
                <w:w w:val="93"/>
              </w:rPr>
              <w:t>Socal Holding, LLC</w:t>
            </w:r>
          </w:p>
        </w:tc>
      </w:tr>
      <w:tr>
        <w:trPr>
          <w:trHeight w:val="216"/>
        </w:trPr>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80" w:type="dxa"/>
            <w:vAlign w:val="bottom"/>
            <w:gridSpan w:val="4"/>
          </w:tcPr>
          <w:p>
            <w:pPr>
              <w:jc w:val="center"/>
              <w:ind w:right="3000"/>
              <w:spacing w:after="0"/>
              <w:rPr>
                <w:sz w:val="20"/>
                <w:szCs w:val="20"/>
                <w:color w:val="auto"/>
              </w:rPr>
            </w:pPr>
            <w:r>
              <w:rPr>
                <w:rFonts w:ascii="Arial" w:cs="Arial" w:eastAsia="Arial" w:hAnsi="Arial"/>
                <w:sz w:val="18"/>
                <w:szCs w:val="18"/>
                <w:b w:val="1"/>
                <w:bCs w:val="1"/>
                <w:color w:val="auto"/>
                <w:w w:val="90"/>
              </w:rPr>
              <w:t>Southern San Joaquin Production, Inc.</w:t>
            </w:r>
          </w:p>
        </w:tc>
      </w:tr>
      <w:tr>
        <w:trPr>
          <w:trHeight w:val="234"/>
        </w:trPr>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80" w:type="dxa"/>
            <w:vAlign w:val="bottom"/>
            <w:gridSpan w:val="4"/>
          </w:tcPr>
          <w:p>
            <w:pPr>
              <w:jc w:val="center"/>
              <w:ind w:right="3020"/>
              <w:spacing w:after="0"/>
              <w:rPr>
                <w:sz w:val="20"/>
                <w:szCs w:val="20"/>
                <w:color w:val="auto"/>
              </w:rPr>
            </w:pPr>
            <w:r>
              <w:rPr>
                <w:rFonts w:ascii="Arial" w:cs="Arial" w:eastAsia="Arial" w:hAnsi="Arial"/>
                <w:sz w:val="18"/>
                <w:szCs w:val="18"/>
                <w:b w:val="1"/>
                <w:bCs w:val="1"/>
                <w:color w:val="auto"/>
                <w:w w:val="90"/>
              </w:rPr>
              <w:t>Thums Long Beach Company</w:t>
            </w:r>
          </w:p>
        </w:tc>
      </w:tr>
      <w:tr>
        <w:trPr>
          <w:trHeight w:val="392"/>
        </w:trPr>
        <w:tc>
          <w:tcPr>
            <w:tcW w:w="2300" w:type="dxa"/>
            <w:vAlign w:val="bottom"/>
          </w:tcPr>
          <w:p>
            <w:pPr>
              <w:spacing w:after="0"/>
              <w:rPr>
                <w:sz w:val="24"/>
                <w:szCs w:val="24"/>
                <w:color w:val="auto"/>
              </w:rPr>
            </w:pPr>
          </w:p>
        </w:tc>
        <w:tc>
          <w:tcPr>
            <w:tcW w:w="11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Name</w:t>
            </w:r>
          </w:p>
        </w:tc>
        <w:tc>
          <w:tcPr>
            <w:tcW w:w="1520" w:type="dxa"/>
            <w:vAlign w:val="bottom"/>
          </w:tcPr>
          <w:p>
            <w:pPr>
              <w:spacing w:after="0"/>
              <w:rPr>
                <w:sz w:val="24"/>
                <w:szCs w:val="24"/>
                <w:color w:val="auto"/>
              </w:rPr>
            </w:pPr>
          </w:p>
        </w:tc>
        <w:tc>
          <w:tcPr>
            <w:tcW w:w="5560" w:type="dxa"/>
            <w:vAlign w:val="bottom"/>
            <w:gridSpan w:val="3"/>
          </w:tcPr>
          <w:p>
            <w:pPr>
              <w:jc w:val="center"/>
              <w:ind w:left="592"/>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2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26"/>
        </w:trPr>
        <w:tc>
          <w:tcPr>
            <w:tcW w:w="3460" w:type="dxa"/>
            <w:vAlign w:val="bottom"/>
            <w:tcBorders>
              <w:bottom w:val="single" w:sz="8" w:color="auto"/>
            </w:tcBorders>
            <w:gridSpan w:val="3"/>
          </w:tcPr>
          <w:p>
            <w:pPr>
              <w:jc w:val="center"/>
              <w:ind w:left="1410"/>
              <w:spacing w:after="0"/>
              <w:rPr>
                <w:sz w:val="20"/>
                <w:szCs w:val="20"/>
                <w:color w:val="auto"/>
              </w:rPr>
            </w:pPr>
            <w:r>
              <w:rPr>
                <w:rFonts w:ascii="Arial" w:cs="Arial" w:eastAsia="Arial" w:hAnsi="Arial"/>
                <w:sz w:val="18"/>
                <w:szCs w:val="18"/>
                <w:color w:val="auto"/>
                <w:w w:val="89"/>
              </w:rPr>
              <w:t>/s/ Todd A. Stevens</w:t>
            </w:r>
          </w:p>
        </w:tc>
        <w:tc>
          <w:tcPr>
            <w:tcW w:w="1520" w:type="dxa"/>
            <w:vAlign w:val="bottom"/>
            <w:tcBorders>
              <w:bottom w:val="single" w:sz="8" w:color="auto"/>
            </w:tcBorders>
          </w:tcPr>
          <w:p>
            <w:pPr>
              <w:spacing w:after="0"/>
              <w:rPr>
                <w:sz w:val="24"/>
                <w:szCs w:val="24"/>
                <w:color w:val="auto"/>
              </w:rPr>
            </w:pPr>
          </w:p>
        </w:tc>
        <w:tc>
          <w:tcPr>
            <w:tcW w:w="5560" w:type="dxa"/>
            <w:vAlign w:val="bottom"/>
            <w:gridSpan w:val="3"/>
          </w:tcPr>
          <w:p>
            <w:pPr>
              <w:jc w:val="center"/>
              <w:ind w:left="592"/>
              <w:spacing w:after="0"/>
              <w:rPr>
                <w:sz w:val="20"/>
                <w:szCs w:val="20"/>
                <w:color w:val="auto"/>
              </w:rPr>
            </w:pPr>
            <w:r>
              <w:rPr>
                <w:rFonts w:ascii="Arial" w:cs="Arial" w:eastAsia="Arial" w:hAnsi="Arial"/>
                <w:sz w:val="18"/>
                <w:szCs w:val="18"/>
                <w:color w:val="auto"/>
                <w:w w:val="89"/>
              </w:rPr>
              <w:t>President</w:t>
            </w:r>
          </w:p>
        </w:tc>
      </w:tr>
      <w:tr>
        <w:trPr>
          <w:trHeight w:val="224"/>
        </w:trPr>
        <w:tc>
          <w:tcPr>
            <w:tcW w:w="3460" w:type="dxa"/>
            <w:vAlign w:val="bottom"/>
            <w:gridSpan w:val="3"/>
          </w:tcPr>
          <w:p>
            <w:pPr>
              <w:jc w:val="center"/>
              <w:ind w:left="1410"/>
              <w:spacing w:after="0"/>
              <w:rPr>
                <w:sz w:val="20"/>
                <w:szCs w:val="20"/>
                <w:color w:val="auto"/>
              </w:rPr>
            </w:pPr>
            <w:r>
              <w:rPr>
                <w:rFonts w:ascii="Arial" w:cs="Arial" w:eastAsia="Arial" w:hAnsi="Arial"/>
                <w:sz w:val="18"/>
                <w:szCs w:val="18"/>
                <w:color w:val="auto"/>
                <w:w w:val="90"/>
              </w:rPr>
              <w:t>Todd A. Stevens</w:t>
            </w:r>
          </w:p>
        </w:tc>
        <w:tc>
          <w:tcPr>
            <w:tcW w:w="15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3460" w:type="dxa"/>
            <w:vAlign w:val="bottom"/>
            <w:tcBorders>
              <w:bottom w:val="single" w:sz="8" w:color="auto"/>
            </w:tcBorders>
            <w:gridSpan w:val="3"/>
          </w:tcPr>
          <w:p>
            <w:pPr>
              <w:jc w:val="center"/>
              <w:ind w:left="1410"/>
              <w:spacing w:after="0"/>
              <w:rPr>
                <w:sz w:val="20"/>
                <w:szCs w:val="20"/>
                <w:color w:val="auto"/>
              </w:rPr>
            </w:pPr>
            <w:r>
              <w:rPr>
                <w:rFonts w:ascii="Arial" w:cs="Arial" w:eastAsia="Arial" w:hAnsi="Arial"/>
                <w:sz w:val="18"/>
                <w:szCs w:val="18"/>
                <w:color w:val="auto"/>
                <w:w w:val="93"/>
              </w:rPr>
              <w:t>/s/ Marshall D. Smith</w:t>
            </w:r>
          </w:p>
        </w:tc>
        <w:tc>
          <w:tcPr>
            <w:tcW w:w="1520" w:type="dxa"/>
            <w:vAlign w:val="bottom"/>
            <w:tcBorders>
              <w:bottom w:val="single" w:sz="8" w:color="auto"/>
            </w:tcBorders>
          </w:tcPr>
          <w:p>
            <w:pPr>
              <w:spacing w:after="0"/>
              <w:rPr>
                <w:sz w:val="24"/>
                <w:szCs w:val="24"/>
                <w:color w:val="auto"/>
              </w:rPr>
            </w:pPr>
          </w:p>
        </w:tc>
        <w:tc>
          <w:tcPr>
            <w:tcW w:w="5560" w:type="dxa"/>
            <w:vAlign w:val="bottom"/>
            <w:gridSpan w:val="3"/>
          </w:tcPr>
          <w:p>
            <w:pPr>
              <w:jc w:val="center"/>
              <w:ind w:left="592"/>
              <w:spacing w:after="0"/>
              <w:rPr>
                <w:sz w:val="20"/>
                <w:szCs w:val="20"/>
                <w:color w:val="auto"/>
              </w:rPr>
            </w:pPr>
            <w:r>
              <w:rPr>
                <w:rFonts w:ascii="Arial" w:cs="Arial" w:eastAsia="Arial" w:hAnsi="Arial"/>
                <w:sz w:val="18"/>
                <w:szCs w:val="18"/>
                <w:color w:val="auto"/>
                <w:w w:val="92"/>
              </w:rPr>
              <w:t>Senior Executive Vice President and Chief Financial Officer</w:t>
            </w:r>
          </w:p>
        </w:tc>
      </w:tr>
      <w:tr>
        <w:trPr>
          <w:trHeight w:val="224"/>
        </w:trPr>
        <w:tc>
          <w:tcPr>
            <w:tcW w:w="3460" w:type="dxa"/>
            <w:vAlign w:val="bottom"/>
            <w:gridSpan w:val="3"/>
          </w:tcPr>
          <w:p>
            <w:pPr>
              <w:jc w:val="center"/>
              <w:ind w:left="1410"/>
              <w:spacing w:after="0"/>
              <w:rPr>
                <w:sz w:val="20"/>
                <w:szCs w:val="20"/>
                <w:color w:val="auto"/>
              </w:rPr>
            </w:pPr>
            <w:r>
              <w:rPr>
                <w:rFonts w:ascii="Arial" w:cs="Arial" w:eastAsia="Arial" w:hAnsi="Arial"/>
                <w:sz w:val="18"/>
                <w:szCs w:val="18"/>
                <w:color w:val="auto"/>
                <w:w w:val="92"/>
              </w:rPr>
              <w:t>Marshall D. Smith</w:t>
            </w:r>
          </w:p>
        </w:tc>
        <w:tc>
          <w:tcPr>
            <w:tcW w:w="1520" w:type="dxa"/>
            <w:vAlign w:val="bottom"/>
          </w:tcPr>
          <w:p>
            <w:pPr>
              <w:spacing w:after="0"/>
              <w:rPr>
                <w:sz w:val="19"/>
                <w:szCs w:val="19"/>
                <w:color w:val="auto"/>
              </w:rPr>
            </w:pPr>
          </w:p>
        </w:tc>
        <w:tc>
          <w:tcPr>
            <w:tcW w:w="5560" w:type="dxa"/>
            <w:vAlign w:val="bottom"/>
            <w:gridSpan w:val="3"/>
          </w:tcPr>
          <w:p>
            <w:pPr>
              <w:jc w:val="center"/>
              <w:ind w:left="612"/>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431"/>
        </w:trPr>
        <w:tc>
          <w:tcPr>
            <w:tcW w:w="3460" w:type="dxa"/>
            <w:vAlign w:val="bottom"/>
            <w:tcBorders>
              <w:bottom w:val="single" w:sz="8" w:color="auto"/>
            </w:tcBorders>
            <w:gridSpan w:val="3"/>
          </w:tcPr>
          <w:p>
            <w:pPr>
              <w:jc w:val="center"/>
              <w:ind w:left="1410"/>
              <w:spacing w:after="0"/>
              <w:rPr>
                <w:sz w:val="20"/>
                <w:szCs w:val="20"/>
                <w:color w:val="auto"/>
              </w:rPr>
            </w:pPr>
            <w:r>
              <w:rPr>
                <w:rFonts w:ascii="Arial" w:cs="Arial" w:eastAsia="Arial" w:hAnsi="Arial"/>
                <w:sz w:val="18"/>
                <w:szCs w:val="18"/>
                <w:color w:val="auto"/>
                <w:w w:val="90"/>
              </w:rPr>
              <w:t>/s/ Roy Pineci</w:t>
            </w:r>
          </w:p>
        </w:tc>
        <w:tc>
          <w:tcPr>
            <w:tcW w:w="1520" w:type="dxa"/>
            <w:vAlign w:val="bottom"/>
            <w:tcBorders>
              <w:bottom w:val="single" w:sz="8" w:color="auto"/>
            </w:tcBorders>
          </w:tcPr>
          <w:p>
            <w:pPr>
              <w:spacing w:after="0"/>
              <w:rPr>
                <w:sz w:val="24"/>
                <w:szCs w:val="24"/>
                <w:color w:val="auto"/>
              </w:rPr>
            </w:pPr>
          </w:p>
        </w:tc>
        <w:tc>
          <w:tcPr>
            <w:tcW w:w="5560" w:type="dxa"/>
            <w:vAlign w:val="bottom"/>
            <w:gridSpan w:val="3"/>
          </w:tcPr>
          <w:p>
            <w:pPr>
              <w:jc w:val="center"/>
              <w:ind w:left="592"/>
              <w:spacing w:after="0"/>
              <w:rPr>
                <w:sz w:val="20"/>
                <w:szCs w:val="20"/>
                <w:color w:val="auto"/>
              </w:rPr>
            </w:pPr>
            <w:r>
              <w:rPr>
                <w:rFonts w:ascii="Arial" w:cs="Arial" w:eastAsia="Arial" w:hAnsi="Arial"/>
                <w:sz w:val="18"/>
                <w:szCs w:val="18"/>
                <w:color w:val="auto"/>
                <w:w w:val="90"/>
              </w:rPr>
              <w:t>Executive Vice President — Finance</w:t>
            </w:r>
          </w:p>
        </w:tc>
      </w:tr>
      <w:tr>
        <w:trPr>
          <w:trHeight w:val="224"/>
        </w:trPr>
        <w:tc>
          <w:tcPr>
            <w:tcW w:w="3460" w:type="dxa"/>
            <w:vAlign w:val="bottom"/>
            <w:gridSpan w:val="3"/>
          </w:tcPr>
          <w:p>
            <w:pPr>
              <w:jc w:val="center"/>
              <w:ind w:left="1410"/>
              <w:spacing w:after="0"/>
              <w:rPr>
                <w:sz w:val="20"/>
                <w:szCs w:val="20"/>
                <w:color w:val="auto"/>
              </w:rPr>
            </w:pPr>
            <w:r>
              <w:rPr>
                <w:rFonts w:ascii="Arial" w:cs="Arial" w:eastAsia="Arial" w:hAnsi="Arial"/>
                <w:sz w:val="18"/>
                <w:szCs w:val="18"/>
                <w:color w:val="auto"/>
                <w:w w:val="92"/>
              </w:rPr>
              <w:t>Roy Pineci</w:t>
            </w:r>
          </w:p>
        </w:tc>
        <w:tc>
          <w:tcPr>
            <w:tcW w:w="1520" w:type="dxa"/>
            <w:vAlign w:val="bottom"/>
          </w:tcPr>
          <w:p>
            <w:pPr>
              <w:spacing w:after="0"/>
              <w:rPr>
                <w:sz w:val="19"/>
                <w:szCs w:val="19"/>
                <w:color w:val="auto"/>
              </w:rPr>
            </w:pPr>
          </w:p>
        </w:tc>
        <w:tc>
          <w:tcPr>
            <w:tcW w:w="5560" w:type="dxa"/>
            <w:vAlign w:val="bottom"/>
            <w:gridSpan w:val="3"/>
          </w:tcPr>
          <w:p>
            <w:pPr>
              <w:jc w:val="center"/>
              <w:ind w:left="612"/>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431"/>
        </w:trPr>
        <w:tc>
          <w:tcPr>
            <w:tcW w:w="3460" w:type="dxa"/>
            <w:vAlign w:val="bottom"/>
            <w:tcBorders>
              <w:bottom w:val="single" w:sz="8" w:color="auto"/>
            </w:tcBorders>
            <w:gridSpan w:val="3"/>
          </w:tcPr>
          <w:p>
            <w:pPr>
              <w:jc w:val="center"/>
              <w:ind w:left="1410"/>
              <w:spacing w:after="0"/>
              <w:rPr>
                <w:sz w:val="20"/>
                <w:szCs w:val="20"/>
                <w:color w:val="auto"/>
              </w:rPr>
            </w:pPr>
            <w:r>
              <w:rPr>
                <w:rFonts w:ascii="Arial" w:cs="Arial" w:eastAsia="Arial" w:hAnsi="Arial"/>
                <w:sz w:val="18"/>
                <w:szCs w:val="18"/>
                <w:color w:val="auto"/>
                <w:w w:val="92"/>
              </w:rPr>
              <w:t>/s/ Michael L. Preston</w:t>
            </w:r>
          </w:p>
        </w:tc>
        <w:tc>
          <w:tcPr>
            <w:tcW w:w="1520" w:type="dxa"/>
            <w:vAlign w:val="bottom"/>
            <w:tcBorders>
              <w:bottom w:val="single" w:sz="8" w:color="auto"/>
            </w:tcBorders>
          </w:tcPr>
          <w:p>
            <w:pPr>
              <w:spacing w:after="0"/>
              <w:rPr>
                <w:sz w:val="24"/>
                <w:szCs w:val="24"/>
                <w:color w:val="auto"/>
              </w:rPr>
            </w:pPr>
          </w:p>
        </w:tc>
        <w:tc>
          <w:tcPr>
            <w:tcW w:w="5560" w:type="dxa"/>
            <w:vAlign w:val="bottom"/>
            <w:gridSpan w:val="3"/>
          </w:tcPr>
          <w:p>
            <w:pPr>
              <w:jc w:val="center"/>
              <w:ind w:left="592"/>
              <w:spacing w:after="0"/>
              <w:rPr>
                <w:sz w:val="20"/>
                <w:szCs w:val="20"/>
                <w:color w:val="auto"/>
              </w:rPr>
            </w:pPr>
            <w:r>
              <w:rPr>
                <w:rFonts w:ascii="Arial" w:cs="Arial" w:eastAsia="Arial" w:hAnsi="Arial"/>
                <w:sz w:val="18"/>
                <w:szCs w:val="18"/>
                <w:color w:val="auto"/>
                <w:w w:val="89"/>
              </w:rPr>
              <w:t>Executive Vice President, General Counsel and Corporate Secretary</w:t>
            </w:r>
          </w:p>
        </w:tc>
      </w:tr>
      <w:tr>
        <w:trPr>
          <w:trHeight w:val="224"/>
        </w:trPr>
        <w:tc>
          <w:tcPr>
            <w:tcW w:w="3460" w:type="dxa"/>
            <w:vAlign w:val="bottom"/>
            <w:gridSpan w:val="3"/>
          </w:tcPr>
          <w:p>
            <w:pPr>
              <w:jc w:val="center"/>
              <w:ind w:left="1410"/>
              <w:spacing w:after="0"/>
              <w:rPr>
                <w:sz w:val="20"/>
                <w:szCs w:val="20"/>
                <w:color w:val="auto"/>
              </w:rPr>
            </w:pPr>
            <w:r>
              <w:rPr>
                <w:rFonts w:ascii="Arial" w:cs="Arial" w:eastAsia="Arial" w:hAnsi="Arial"/>
                <w:sz w:val="18"/>
                <w:szCs w:val="18"/>
                <w:color w:val="auto"/>
                <w:w w:val="91"/>
              </w:rPr>
              <w:t>Michael L. Preston</w:t>
            </w:r>
          </w:p>
        </w:tc>
        <w:tc>
          <w:tcPr>
            <w:tcW w:w="15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64"/>
        </w:trPr>
        <w:tc>
          <w:tcPr>
            <w:tcW w:w="2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560" w:type="dxa"/>
            <w:vAlign w:val="bottom"/>
            <w:gridSpan w:val="3"/>
          </w:tcPr>
          <w:p>
            <w:pPr>
              <w:jc w:val="center"/>
              <w:ind w:right="4540"/>
              <w:spacing w:after="0"/>
              <w:rPr>
                <w:sz w:val="20"/>
                <w:szCs w:val="20"/>
                <w:color w:val="auto"/>
              </w:rPr>
            </w:pPr>
            <w:r>
              <w:rPr>
                <w:rFonts w:ascii="Arial" w:cs="Arial" w:eastAsia="Arial" w:hAnsi="Arial"/>
                <w:sz w:val="18"/>
                <w:szCs w:val="18"/>
                <w:color w:val="auto"/>
                <w:w w:val="99"/>
              </w:rPr>
              <w:t>II-9</w:t>
            </w:r>
          </w:p>
        </w:tc>
      </w:tr>
    </w:tbl>
    <w:p>
      <w:pPr>
        <w:sectPr>
          <w:pgSz w:w="11900" w:h="16838" w:orient="portrait"/>
          <w:cols w:equalWidth="0" w:num="1">
            <w:col w:w="11160"/>
          </w:cols>
          <w:pgMar w:left="24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60" w:type="dxa"/>
            <w:vAlign w:val="bottom"/>
            <w:gridSpan w:val="4"/>
          </w:tcPr>
          <w:p>
            <w:pPr>
              <w:ind w:left="700"/>
              <w:spacing w:after="0"/>
              <w:rPr>
                <w:sz w:val="20"/>
                <w:szCs w:val="20"/>
                <w:color w:val="auto"/>
              </w:rPr>
            </w:pPr>
            <w:r>
              <w:rPr>
                <w:rFonts w:ascii="Arial" w:cs="Arial" w:eastAsia="Arial" w:hAnsi="Arial"/>
                <w:sz w:val="18"/>
                <w:szCs w:val="18"/>
                <w:b w:val="1"/>
                <w:bCs w:val="1"/>
                <w:color w:val="auto"/>
              </w:rPr>
              <w:t>CRC Marketing, Inc.</w:t>
            </w:r>
          </w:p>
        </w:tc>
      </w:tr>
      <w:tr>
        <w:trPr>
          <w:trHeight w:val="392"/>
        </w:trPr>
        <w:tc>
          <w:tcPr>
            <w:tcW w:w="2300" w:type="dxa"/>
            <w:vAlign w:val="bottom"/>
          </w:tcPr>
          <w:p>
            <w:pPr>
              <w:spacing w:after="0"/>
              <w:rPr>
                <w:sz w:val="24"/>
                <w:szCs w:val="24"/>
                <w:color w:val="auto"/>
              </w:rPr>
            </w:pPr>
          </w:p>
        </w:tc>
        <w:tc>
          <w:tcPr>
            <w:tcW w:w="168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4"/>
              </w:rPr>
              <w:t>Name</w:t>
            </w:r>
          </w:p>
        </w:tc>
        <w:tc>
          <w:tcPr>
            <w:tcW w:w="1000" w:type="dxa"/>
            <w:vAlign w:val="bottom"/>
          </w:tcPr>
          <w:p>
            <w:pPr>
              <w:spacing w:after="0"/>
              <w:rPr>
                <w:sz w:val="24"/>
                <w:szCs w:val="24"/>
                <w:color w:val="auto"/>
              </w:rPr>
            </w:pPr>
          </w:p>
        </w:tc>
        <w:tc>
          <w:tcPr>
            <w:tcW w:w="3460" w:type="dxa"/>
            <w:vAlign w:val="bottom"/>
            <w:gridSpan w:val="3"/>
          </w:tcPr>
          <w:p>
            <w:pPr>
              <w:jc w:val="center"/>
              <w:ind w:left="2694"/>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2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26"/>
        </w:trPr>
        <w:tc>
          <w:tcPr>
            <w:tcW w:w="3980" w:type="dxa"/>
            <w:vAlign w:val="bottom"/>
            <w:tcBorders>
              <w:bottom w:val="single" w:sz="8" w:color="auto"/>
            </w:tcBorders>
            <w:gridSpan w:val="3"/>
          </w:tcPr>
          <w:p>
            <w:pPr>
              <w:jc w:val="center"/>
              <w:ind w:left="890"/>
              <w:spacing w:after="0"/>
              <w:rPr>
                <w:sz w:val="20"/>
                <w:szCs w:val="20"/>
                <w:color w:val="auto"/>
              </w:rPr>
            </w:pPr>
            <w:r>
              <w:rPr>
                <w:rFonts w:ascii="Arial" w:cs="Arial" w:eastAsia="Arial" w:hAnsi="Arial"/>
                <w:sz w:val="18"/>
                <w:szCs w:val="18"/>
                <w:color w:val="auto"/>
                <w:w w:val="92"/>
              </w:rPr>
              <w:t>/s/ Michael L. Preston</w:t>
            </w:r>
          </w:p>
        </w:tc>
        <w:tc>
          <w:tcPr>
            <w:tcW w:w="1000" w:type="dxa"/>
            <w:vAlign w:val="bottom"/>
            <w:tcBorders>
              <w:bottom w:val="single" w:sz="8" w:color="auto"/>
            </w:tcBorders>
          </w:tcPr>
          <w:p>
            <w:pPr>
              <w:spacing w:after="0"/>
              <w:rPr>
                <w:sz w:val="24"/>
                <w:szCs w:val="24"/>
                <w:color w:val="auto"/>
              </w:rPr>
            </w:pPr>
          </w:p>
        </w:tc>
        <w:tc>
          <w:tcPr>
            <w:tcW w:w="3460" w:type="dxa"/>
            <w:vAlign w:val="bottom"/>
            <w:gridSpan w:val="3"/>
          </w:tcPr>
          <w:p>
            <w:pPr>
              <w:jc w:val="center"/>
              <w:ind w:left="2694"/>
              <w:spacing w:after="0"/>
              <w:rPr>
                <w:sz w:val="20"/>
                <w:szCs w:val="20"/>
                <w:color w:val="auto"/>
              </w:rPr>
            </w:pPr>
            <w:r>
              <w:rPr>
                <w:rFonts w:ascii="Arial" w:cs="Arial" w:eastAsia="Arial" w:hAnsi="Arial"/>
                <w:sz w:val="18"/>
                <w:szCs w:val="18"/>
                <w:color w:val="auto"/>
                <w:w w:val="89"/>
              </w:rPr>
              <w:t>President</w:t>
            </w:r>
          </w:p>
        </w:tc>
      </w:tr>
      <w:tr>
        <w:trPr>
          <w:trHeight w:val="224"/>
        </w:trPr>
        <w:tc>
          <w:tcPr>
            <w:tcW w:w="3980" w:type="dxa"/>
            <w:vAlign w:val="bottom"/>
            <w:gridSpan w:val="3"/>
          </w:tcPr>
          <w:p>
            <w:pPr>
              <w:jc w:val="center"/>
              <w:ind w:left="890"/>
              <w:spacing w:after="0"/>
              <w:rPr>
                <w:sz w:val="20"/>
                <w:szCs w:val="20"/>
                <w:color w:val="auto"/>
              </w:rPr>
            </w:pPr>
            <w:r>
              <w:rPr>
                <w:rFonts w:ascii="Arial" w:cs="Arial" w:eastAsia="Arial" w:hAnsi="Arial"/>
                <w:sz w:val="18"/>
                <w:szCs w:val="18"/>
                <w:color w:val="auto"/>
                <w:w w:val="91"/>
              </w:rPr>
              <w:t>Michael L. Preston</w:t>
            </w:r>
          </w:p>
        </w:tc>
        <w:tc>
          <w:tcPr>
            <w:tcW w:w="10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1"/>
        </w:trPr>
        <w:tc>
          <w:tcPr>
            <w:tcW w:w="3980" w:type="dxa"/>
            <w:vAlign w:val="bottom"/>
            <w:tcBorders>
              <w:bottom w:val="single" w:sz="8" w:color="auto"/>
            </w:tcBorders>
            <w:gridSpan w:val="3"/>
          </w:tcPr>
          <w:p>
            <w:pPr>
              <w:jc w:val="center"/>
              <w:ind w:left="890"/>
              <w:spacing w:after="0"/>
              <w:rPr>
                <w:sz w:val="20"/>
                <w:szCs w:val="20"/>
                <w:color w:val="auto"/>
              </w:rPr>
            </w:pPr>
            <w:r>
              <w:rPr>
                <w:rFonts w:ascii="Arial" w:cs="Arial" w:eastAsia="Arial" w:hAnsi="Arial"/>
                <w:sz w:val="18"/>
                <w:szCs w:val="18"/>
                <w:color w:val="auto"/>
                <w:w w:val="89"/>
              </w:rPr>
              <w:t>/s/ Scott Cornelsen</w:t>
            </w:r>
          </w:p>
        </w:tc>
        <w:tc>
          <w:tcPr>
            <w:tcW w:w="1000" w:type="dxa"/>
            <w:vAlign w:val="bottom"/>
            <w:tcBorders>
              <w:bottom w:val="single" w:sz="8" w:color="auto"/>
            </w:tcBorders>
          </w:tcPr>
          <w:p>
            <w:pPr>
              <w:spacing w:after="0"/>
              <w:rPr>
                <w:sz w:val="24"/>
                <w:szCs w:val="24"/>
                <w:color w:val="auto"/>
              </w:rPr>
            </w:pPr>
          </w:p>
        </w:tc>
        <w:tc>
          <w:tcPr>
            <w:tcW w:w="3460" w:type="dxa"/>
            <w:vAlign w:val="bottom"/>
            <w:gridSpan w:val="3"/>
          </w:tcPr>
          <w:p>
            <w:pPr>
              <w:jc w:val="center"/>
              <w:ind w:left="2694"/>
              <w:spacing w:after="0"/>
              <w:rPr>
                <w:sz w:val="20"/>
                <w:szCs w:val="20"/>
                <w:color w:val="auto"/>
              </w:rPr>
            </w:pPr>
            <w:r>
              <w:rPr>
                <w:rFonts w:ascii="Arial" w:cs="Arial" w:eastAsia="Arial" w:hAnsi="Arial"/>
                <w:sz w:val="18"/>
                <w:szCs w:val="18"/>
                <w:color w:val="auto"/>
                <w:w w:val="95"/>
              </w:rPr>
              <w:t>Director</w:t>
            </w:r>
          </w:p>
        </w:tc>
      </w:tr>
      <w:tr>
        <w:trPr>
          <w:trHeight w:val="224"/>
        </w:trPr>
        <w:tc>
          <w:tcPr>
            <w:tcW w:w="3980" w:type="dxa"/>
            <w:vAlign w:val="bottom"/>
            <w:gridSpan w:val="3"/>
          </w:tcPr>
          <w:p>
            <w:pPr>
              <w:jc w:val="center"/>
              <w:ind w:left="890"/>
              <w:spacing w:after="0"/>
              <w:rPr>
                <w:sz w:val="20"/>
                <w:szCs w:val="20"/>
                <w:color w:val="auto"/>
              </w:rPr>
            </w:pPr>
            <w:r>
              <w:rPr>
                <w:rFonts w:ascii="Arial" w:cs="Arial" w:eastAsia="Arial" w:hAnsi="Arial"/>
                <w:sz w:val="18"/>
                <w:szCs w:val="18"/>
                <w:color w:val="auto"/>
                <w:w w:val="90"/>
              </w:rPr>
              <w:t>Scott Cornelsen</w:t>
            </w:r>
          </w:p>
        </w:tc>
        <w:tc>
          <w:tcPr>
            <w:tcW w:w="10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1"/>
        </w:trPr>
        <w:tc>
          <w:tcPr>
            <w:tcW w:w="3980" w:type="dxa"/>
            <w:vAlign w:val="bottom"/>
            <w:tcBorders>
              <w:bottom w:val="single" w:sz="8" w:color="auto"/>
            </w:tcBorders>
            <w:gridSpan w:val="3"/>
          </w:tcPr>
          <w:p>
            <w:pPr>
              <w:jc w:val="center"/>
              <w:ind w:left="890"/>
              <w:spacing w:after="0"/>
              <w:rPr>
                <w:sz w:val="20"/>
                <w:szCs w:val="20"/>
                <w:color w:val="auto"/>
              </w:rPr>
            </w:pPr>
            <w:r>
              <w:rPr>
                <w:rFonts w:ascii="Arial" w:cs="Arial" w:eastAsia="Arial" w:hAnsi="Arial"/>
                <w:sz w:val="18"/>
                <w:szCs w:val="18"/>
                <w:color w:val="auto"/>
                <w:w w:val="93"/>
              </w:rPr>
              <w:t>/s/ D. Adam Smith</w:t>
            </w:r>
          </w:p>
        </w:tc>
        <w:tc>
          <w:tcPr>
            <w:tcW w:w="1000" w:type="dxa"/>
            <w:vAlign w:val="bottom"/>
            <w:tcBorders>
              <w:bottom w:val="single" w:sz="8" w:color="auto"/>
            </w:tcBorders>
          </w:tcPr>
          <w:p>
            <w:pPr>
              <w:spacing w:after="0"/>
              <w:rPr>
                <w:sz w:val="24"/>
                <w:szCs w:val="24"/>
                <w:color w:val="auto"/>
              </w:rPr>
            </w:pPr>
          </w:p>
        </w:tc>
        <w:tc>
          <w:tcPr>
            <w:tcW w:w="3460" w:type="dxa"/>
            <w:vAlign w:val="bottom"/>
            <w:gridSpan w:val="3"/>
          </w:tcPr>
          <w:p>
            <w:pPr>
              <w:jc w:val="center"/>
              <w:ind w:left="2694"/>
              <w:spacing w:after="0"/>
              <w:rPr>
                <w:sz w:val="20"/>
                <w:szCs w:val="20"/>
                <w:color w:val="auto"/>
              </w:rPr>
            </w:pPr>
            <w:r>
              <w:rPr>
                <w:rFonts w:ascii="Arial" w:cs="Arial" w:eastAsia="Arial" w:hAnsi="Arial"/>
                <w:sz w:val="18"/>
                <w:szCs w:val="18"/>
                <w:color w:val="auto"/>
                <w:w w:val="95"/>
              </w:rPr>
              <w:t>Director</w:t>
            </w:r>
          </w:p>
        </w:tc>
      </w:tr>
      <w:tr>
        <w:trPr>
          <w:trHeight w:val="224"/>
        </w:trPr>
        <w:tc>
          <w:tcPr>
            <w:tcW w:w="3980" w:type="dxa"/>
            <w:vAlign w:val="bottom"/>
            <w:gridSpan w:val="3"/>
          </w:tcPr>
          <w:p>
            <w:pPr>
              <w:jc w:val="center"/>
              <w:ind w:left="910"/>
              <w:spacing w:after="0"/>
              <w:rPr>
                <w:sz w:val="20"/>
                <w:szCs w:val="20"/>
                <w:color w:val="auto"/>
              </w:rPr>
            </w:pPr>
            <w:r>
              <w:rPr>
                <w:rFonts w:ascii="Arial" w:cs="Arial" w:eastAsia="Arial" w:hAnsi="Arial"/>
                <w:sz w:val="18"/>
                <w:szCs w:val="18"/>
                <w:color w:val="auto"/>
                <w:w w:val="94"/>
              </w:rPr>
              <w:t>D. Adam Smith</w:t>
            </w:r>
          </w:p>
        </w:tc>
        <w:tc>
          <w:tcPr>
            <w:tcW w:w="10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0" w:lineRule="exact"/>
        <w:rPr>
          <w:sz w:val="20"/>
          <w:szCs w:val="20"/>
          <w:color w:val="auto"/>
        </w:rPr>
      </w:pP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40" w:type="dxa"/>
            <w:vAlign w:val="bottom"/>
            <w:gridSpan w:val="4"/>
          </w:tcPr>
          <w:p>
            <w:pPr>
              <w:ind w:left="420"/>
              <w:spacing w:after="0"/>
              <w:rPr>
                <w:sz w:val="20"/>
                <w:szCs w:val="20"/>
                <w:color w:val="auto"/>
              </w:rPr>
            </w:pPr>
            <w:r>
              <w:rPr>
                <w:rFonts w:ascii="Arial" w:cs="Arial" w:eastAsia="Arial" w:hAnsi="Arial"/>
                <w:sz w:val="18"/>
                <w:szCs w:val="18"/>
                <w:b w:val="1"/>
                <w:bCs w:val="1"/>
                <w:color w:val="auto"/>
              </w:rPr>
              <w:t>Tidelands Oil Production Company</w:t>
            </w:r>
          </w:p>
        </w:tc>
      </w:tr>
      <w:tr>
        <w:trPr>
          <w:trHeight w:val="392"/>
        </w:trPr>
        <w:tc>
          <w:tcPr>
            <w:tcW w:w="2300" w:type="dxa"/>
            <w:vAlign w:val="bottom"/>
          </w:tcPr>
          <w:p>
            <w:pPr>
              <w:spacing w:after="0"/>
              <w:rPr>
                <w:sz w:val="24"/>
                <w:szCs w:val="24"/>
                <w:color w:val="auto"/>
              </w:rPr>
            </w:pPr>
          </w:p>
        </w:tc>
        <w:tc>
          <w:tcPr>
            <w:tcW w:w="140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4"/>
              </w:rPr>
              <w:t>Name</w:t>
            </w:r>
          </w:p>
        </w:tc>
        <w:tc>
          <w:tcPr>
            <w:tcW w:w="1280" w:type="dxa"/>
            <w:vAlign w:val="bottom"/>
          </w:tcPr>
          <w:p>
            <w:pPr>
              <w:spacing w:after="0"/>
              <w:rPr>
                <w:sz w:val="24"/>
                <w:szCs w:val="24"/>
                <w:color w:val="auto"/>
              </w:rPr>
            </w:pPr>
          </w:p>
        </w:tc>
        <w:tc>
          <w:tcPr>
            <w:tcW w:w="5560" w:type="dxa"/>
            <w:vAlign w:val="bottom"/>
            <w:gridSpan w:val="3"/>
          </w:tcPr>
          <w:p>
            <w:pPr>
              <w:jc w:val="center"/>
              <w:ind w:left="596"/>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2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26"/>
        </w:trPr>
        <w:tc>
          <w:tcPr>
            <w:tcW w:w="3700" w:type="dxa"/>
            <w:vAlign w:val="bottom"/>
            <w:tcBorders>
              <w:bottom w:val="single" w:sz="8" w:color="auto"/>
            </w:tcBorders>
            <w:gridSpan w:val="3"/>
          </w:tcPr>
          <w:p>
            <w:pPr>
              <w:jc w:val="center"/>
              <w:ind w:left="1170"/>
              <w:spacing w:after="0"/>
              <w:rPr>
                <w:sz w:val="20"/>
                <w:szCs w:val="20"/>
                <w:color w:val="auto"/>
              </w:rPr>
            </w:pPr>
            <w:r>
              <w:rPr>
                <w:rFonts w:ascii="Arial" w:cs="Arial" w:eastAsia="Arial" w:hAnsi="Arial"/>
                <w:sz w:val="18"/>
                <w:szCs w:val="18"/>
                <w:color w:val="auto"/>
                <w:w w:val="89"/>
              </w:rPr>
              <w:t>/s/ Todd A. Stevens</w:t>
            </w:r>
          </w:p>
        </w:tc>
        <w:tc>
          <w:tcPr>
            <w:tcW w:w="1280" w:type="dxa"/>
            <w:vAlign w:val="bottom"/>
            <w:tcBorders>
              <w:bottom w:val="single" w:sz="8" w:color="auto"/>
            </w:tcBorders>
          </w:tcPr>
          <w:p>
            <w:pPr>
              <w:spacing w:after="0"/>
              <w:rPr>
                <w:sz w:val="24"/>
                <w:szCs w:val="24"/>
                <w:color w:val="auto"/>
              </w:rPr>
            </w:pPr>
          </w:p>
        </w:tc>
        <w:tc>
          <w:tcPr>
            <w:tcW w:w="5560" w:type="dxa"/>
            <w:vAlign w:val="bottom"/>
            <w:gridSpan w:val="3"/>
          </w:tcPr>
          <w:p>
            <w:pPr>
              <w:jc w:val="center"/>
              <w:ind w:left="596"/>
              <w:spacing w:after="0"/>
              <w:rPr>
                <w:sz w:val="20"/>
                <w:szCs w:val="20"/>
                <w:color w:val="auto"/>
              </w:rPr>
            </w:pPr>
            <w:r>
              <w:rPr>
                <w:rFonts w:ascii="Arial" w:cs="Arial" w:eastAsia="Arial" w:hAnsi="Arial"/>
                <w:sz w:val="18"/>
                <w:szCs w:val="18"/>
                <w:color w:val="auto"/>
                <w:w w:val="89"/>
              </w:rPr>
              <w:t>President</w:t>
            </w:r>
          </w:p>
        </w:tc>
      </w:tr>
      <w:tr>
        <w:trPr>
          <w:trHeight w:val="224"/>
        </w:trPr>
        <w:tc>
          <w:tcPr>
            <w:tcW w:w="3700" w:type="dxa"/>
            <w:vAlign w:val="bottom"/>
            <w:gridSpan w:val="3"/>
          </w:tcPr>
          <w:p>
            <w:pPr>
              <w:jc w:val="center"/>
              <w:ind w:left="1170"/>
              <w:spacing w:after="0"/>
              <w:rPr>
                <w:sz w:val="20"/>
                <w:szCs w:val="20"/>
                <w:color w:val="auto"/>
              </w:rPr>
            </w:pPr>
            <w:r>
              <w:rPr>
                <w:rFonts w:ascii="Arial" w:cs="Arial" w:eastAsia="Arial" w:hAnsi="Arial"/>
                <w:sz w:val="18"/>
                <w:szCs w:val="18"/>
                <w:color w:val="auto"/>
                <w:w w:val="90"/>
              </w:rPr>
              <w:t>Todd A. Stevens</w:t>
            </w:r>
          </w:p>
        </w:tc>
        <w:tc>
          <w:tcPr>
            <w:tcW w:w="12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31"/>
        </w:trPr>
        <w:tc>
          <w:tcPr>
            <w:tcW w:w="3700" w:type="dxa"/>
            <w:vAlign w:val="bottom"/>
            <w:tcBorders>
              <w:bottom w:val="single" w:sz="8" w:color="auto"/>
            </w:tcBorders>
            <w:gridSpan w:val="3"/>
          </w:tcPr>
          <w:p>
            <w:pPr>
              <w:jc w:val="center"/>
              <w:ind w:left="1170"/>
              <w:spacing w:after="0"/>
              <w:rPr>
                <w:sz w:val="20"/>
                <w:szCs w:val="20"/>
                <w:color w:val="auto"/>
              </w:rPr>
            </w:pPr>
            <w:r>
              <w:rPr>
                <w:rFonts w:ascii="Arial" w:cs="Arial" w:eastAsia="Arial" w:hAnsi="Arial"/>
                <w:sz w:val="18"/>
                <w:szCs w:val="18"/>
                <w:color w:val="auto"/>
                <w:w w:val="92"/>
              </w:rPr>
              <w:t>/s/ Michael L. Preston</w:t>
            </w:r>
          </w:p>
        </w:tc>
        <w:tc>
          <w:tcPr>
            <w:tcW w:w="1280" w:type="dxa"/>
            <w:vAlign w:val="bottom"/>
            <w:tcBorders>
              <w:bottom w:val="single" w:sz="8" w:color="auto"/>
            </w:tcBorders>
          </w:tcPr>
          <w:p>
            <w:pPr>
              <w:spacing w:after="0"/>
              <w:rPr>
                <w:sz w:val="24"/>
                <w:szCs w:val="24"/>
                <w:color w:val="auto"/>
              </w:rPr>
            </w:pPr>
          </w:p>
        </w:tc>
        <w:tc>
          <w:tcPr>
            <w:tcW w:w="5560" w:type="dxa"/>
            <w:vAlign w:val="bottom"/>
            <w:gridSpan w:val="3"/>
          </w:tcPr>
          <w:p>
            <w:pPr>
              <w:jc w:val="center"/>
              <w:ind w:left="596"/>
              <w:spacing w:after="0"/>
              <w:rPr>
                <w:sz w:val="20"/>
                <w:szCs w:val="20"/>
                <w:color w:val="auto"/>
              </w:rPr>
            </w:pPr>
            <w:r>
              <w:rPr>
                <w:rFonts w:ascii="Arial" w:cs="Arial" w:eastAsia="Arial" w:hAnsi="Arial"/>
                <w:sz w:val="18"/>
                <w:szCs w:val="18"/>
                <w:color w:val="auto"/>
                <w:w w:val="89"/>
              </w:rPr>
              <w:t>Executive Vice President, General Counsel and Corporate Secretary</w:t>
            </w:r>
          </w:p>
        </w:tc>
      </w:tr>
      <w:tr>
        <w:trPr>
          <w:trHeight w:val="224"/>
        </w:trPr>
        <w:tc>
          <w:tcPr>
            <w:tcW w:w="3700" w:type="dxa"/>
            <w:vAlign w:val="bottom"/>
            <w:gridSpan w:val="3"/>
          </w:tcPr>
          <w:p>
            <w:pPr>
              <w:jc w:val="center"/>
              <w:ind w:left="1170"/>
              <w:spacing w:after="0"/>
              <w:rPr>
                <w:sz w:val="20"/>
                <w:szCs w:val="20"/>
                <w:color w:val="auto"/>
              </w:rPr>
            </w:pPr>
            <w:r>
              <w:rPr>
                <w:rFonts w:ascii="Arial" w:cs="Arial" w:eastAsia="Arial" w:hAnsi="Arial"/>
                <w:sz w:val="18"/>
                <w:szCs w:val="18"/>
                <w:color w:val="auto"/>
                <w:w w:val="91"/>
              </w:rPr>
              <w:t>Michael L. Preston</w:t>
            </w:r>
          </w:p>
        </w:tc>
        <w:tc>
          <w:tcPr>
            <w:tcW w:w="12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pacing w:after="0" w:line="200" w:lineRule="exact"/>
        <w:rPr>
          <w:sz w:val="20"/>
          <w:szCs w:val="20"/>
          <w:color w:val="auto"/>
        </w:rPr>
      </w:pPr>
    </w:p>
    <w:p>
      <w:pPr>
        <w:spacing w:after="0" w:line="213"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780" w:type="dxa"/>
            <w:vAlign w:val="bottom"/>
            <w:gridSpan w:val="4"/>
          </w:tcPr>
          <w:p>
            <w:pPr>
              <w:jc w:val="center"/>
              <w:ind w:right="2940"/>
              <w:spacing w:after="0"/>
              <w:rPr>
                <w:sz w:val="20"/>
                <w:szCs w:val="20"/>
                <w:color w:val="auto"/>
              </w:rPr>
            </w:pPr>
            <w:r>
              <w:rPr>
                <w:rFonts w:ascii="Arial" w:cs="Arial" w:eastAsia="Arial" w:hAnsi="Arial"/>
                <w:sz w:val="18"/>
                <w:szCs w:val="18"/>
                <w:b w:val="1"/>
                <w:bCs w:val="1"/>
                <w:color w:val="auto"/>
                <w:w w:val="88"/>
              </w:rPr>
              <w:t>California Resources Coles Levee, L.P.</w:t>
            </w:r>
          </w:p>
        </w:tc>
      </w:tr>
      <w:tr>
        <w:trPr>
          <w:trHeight w:val="392"/>
        </w:trPr>
        <w:tc>
          <w:tcPr>
            <w:tcW w:w="2140" w:type="dxa"/>
            <w:vAlign w:val="bottom"/>
          </w:tcPr>
          <w:p>
            <w:pPr>
              <w:spacing w:after="0"/>
              <w:rPr>
                <w:sz w:val="24"/>
                <w:szCs w:val="24"/>
                <w:color w:val="auto"/>
              </w:rPr>
            </w:pPr>
          </w:p>
        </w:tc>
        <w:tc>
          <w:tcPr>
            <w:tcW w:w="12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Name</w:t>
            </w:r>
          </w:p>
        </w:tc>
        <w:tc>
          <w:tcPr>
            <w:tcW w:w="1400" w:type="dxa"/>
            <w:vAlign w:val="bottom"/>
          </w:tcPr>
          <w:p>
            <w:pPr>
              <w:spacing w:after="0"/>
              <w:rPr>
                <w:sz w:val="24"/>
                <w:szCs w:val="24"/>
                <w:color w:val="auto"/>
              </w:rPr>
            </w:pPr>
          </w:p>
        </w:tc>
        <w:tc>
          <w:tcPr>
            <w:tcW w:w="5380" w:type="dxa"/>
            <w:vAlign w:val="bottom"/>
            <w:gridSpan w:val="3"/>
          </w:tcPr>
          <w:p>
            <w:pPr>
              <w:jc w:val="center"/>
              <w:ind w:left="776"/>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2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10"/>
        </w:trPr>
        <w:tc>
          <w:tcPr>
            <w:tcW w:w="3420" w:type="dxa"/>
            <w:vAlign w:val="bottom"/>
            <w:tcBorders>
              <w:bottom w:val="single" w:sz="8" w:color="auto"/>
            </w:tcBorders>
            <w:gridSpan w:val="3"/>
          </w:tcPr>
          <w:p>
            <w:pPr>
              <w:jc w:val="center"/>
              <w:ind w:left="1130"/>
              <w:spacing w:after="0"/>
              <w:rPr>
                <w:sz w:val="20"/>
                <w:szCs w:val="20"/>
                <w:color w:val="auto"/>
              </w:rPr>
            </w:pPr>
            <w:r>
              <w:rPr>
                <w:rFonts w:ascii="Arial" w:cs="Arial" w:eastAsia="Arial" w:hAnsi="Arial"/>
                <w:sz w:val="18"/>
                <w:szCs w:val="18"/>
                <w:color w:val="auto"/>
                <w:w w:val="94"/>
              </w:rPr>
              <w:t>/s/ Ulrik Damborg</w:t>
            </w:r>
          </w:p>
        </w:tc>
        <w:tc>
          <w:tcPr>
            <w:tcW w:w="1400" w:type="dxa"/>
            <w:vAlign w:val="bottom"/>
            <w:tcBorders>
              <w:bottom w:val="single" w:sz="8" w:color="auto"/>
            </w:tcBorders>
          </w:tcPr>
          <w:p>
            <w:pPr>
              <w:spacing w:after="0"/>
              <w:rPr>
                <w:sz w:val="18"/>
                <w:szCs w:val="18"/>
                <w:color w:val="auto"/>
              </w:rPr>
            </w:pPr>
          </w:p>
        </w:tc>
        <w:tc>
          <w:tcPr>
            <w:tcW w:w="2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24"/>
        </w:trPr>
        <w:tc>
          <w:tcPr>
            <w:tcW w:w="3420" w:type="dxa"/>
            <w:vAlign w:val="bottom"/>
            <w:gridSpan w:val="3"/>
          </w:tcPr>
          <w:p>
            <w:pPr>
              <w:jc w:val="center"/>
              <w:ind w:left="1150"/>
              <w:spacing w:after="0"/>
              <w:rPr>
                <w:sz w:val="20"/>
                <w:szCs w:val="20"/>
                <w:color w:val="auto"/>
              </w:rPr>
            </w:pPr>
            <w:r>
              <w:rPr>
                <w:rFonts w:ascii="Arial" w:cs="Arial" w:eastAsia="Arial" w:hAnsi="Arial"/>
                <w:sz w:val="18"/>
                <w:szCs w:val="18"/>
                <w:color w:val="auto"/>
                <w:w w:val="95"/>
              </w:rPr>
              <w:t>Ulrik Damborg</w:t>
            </w:r>
          </w:p>
        </w:tc>
        <w:tc>
          <w:tcPr>
            <w:tcW w:w="1400" w:type="dxa"/>
            <w:vAlign w:val="bottom"/>
          </w:tcPr>
          <w:p>
            <w:pPr>
              <w:spacing w:after="0"/>
              <w:rPr>
                <w:sz w:val="19"/>
                <w:szCs w:val="19"/>
                <w:color w:val="auto"/>
              </w:rPr>
            </w:pPr>
          </w:p>
        </w:tc>
        <w:tc>
          <w:tcPr>
            <w:tcW w:w="5380" w:type="dxa"/>
            <w:vAlign w:val="bottom"/>
            <w:gridSpan w:val="3"/>
          </w:tcPr>
          <w:p>
            <w:pPr>
              <w:jc w:val="center"/>
              <w:ind w:left="776"/>
              <w:spacing w:after="0"/>
              <w:rPr>
                <w:sz w:val="20"/>
                <w:szCs w:val="20"/>
                <w:color w:val="auto"/>
              </w:rPr>
            </w:pPr>
            <w:r>
              <w:rPr>
                <w:rFonts w:ascii="Arial" w:cs="Arial" w:eastAsia="Arial" w:hAnsi="Arial"/>
                <w:sz w:val="18"/>
                <w:szCs w:val="18"/>
                <w:color w:val="auto"/>
                <w:w w:val="91"/>
              </w:rPr>
              <w:t>Assistant Secretary of California Resources Coles Levee, LLC</w:t>
            </w:r>
          </w:p>
        </w:tc>
      </w:tr>
      <w:tr>
        <w:trPr>
          <w:trHeight w:val="364"/>
        </w:trPr>
        <w:tc>
          <w:tcPr>
            <w:tcW w:w="2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380" w:type="dxa"/>
            <w:vAlign w:val="bottom"/>
            <w:gridSpan w:val="3"/>
          </w:tcPr>
          <w:p>
            <w:pPr>
              <w:jc w:val="center"/>
              <w:ind w:right="4340"/>
              <w:spacing w:after="0"/>
              <w:rPr>
                <w:sz w:val="20"/>
                <w:szCs w:val="20"/>
                <w:color w:val="auto"/>
              </w:rPr>
            </w:pPr>
            <w:r>
              <w:rPr>
                <w:rFonts w:ascii="Arial" w:cs="Arial" w:eastAsia="Arial" w:hAnsi="Arial"/>
                <w:sz w:val="18"/>
                <w:szCs w:val="18"/>
                <w:color w:val="auto"/>
                <w:w w:val="99"/>
              </w:rPr>
              <w:t>II-10</w:t>
            </w:r>
          </w:p>
        </w:tc>
      </w:tr>
    </w:tbl>
    <w:p>
      <w:pPr>
        <w:sectPr>
          <w:pgSz w:w="11900" w:h="16838" w:orient="portrait"/>
          <w:cols w:equalWidth="0" w:num="1">
            <w:col w:w="10760"/>
          </w:cols>
          <w:pgMar w:left="240" w:top="459" w:right="8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4.17</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CALIFORNIA RESOURCES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AS ISSUER</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ANY SUBSIDIARY GUARANTORS PARTIES HERETO,</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AS SUBSIDIARY GUARANTORS</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[TRUSTEE’S NAME],</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237490</wp:posOffset>
            </wp:positionV>
            <wp:extent cx="14662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tbl>
      <w:tblPr>
        <w:tblLayout w:type="fixed"/>
        <w:tblInd w:w="4060" w:type="dxa"/>
        <w:tblCellMar>
          <w:top w:w="0" w:type="dxa"/>
          <w:left w:w="0" w:type="dxa"/>
          <w:bottom w:w="0" w:type="dxa"/>
          <w:right w:w="0" w:type="dxa"/>
        </w:tblCellMar>
      </w:tblPr>
      <w:tr>
        <w:trPr>
          <w:trHeight w:val="216"/>
        </w:trPr>
        <w:tc>
          <w:tcPr>
            <w:tcW w:w="2620" w:type="dxa"/>
            <w:vAlign w:val="bottom"/>
          </w:tcPr>
          <w:p>
            <w:pPr>
              <w:ind w:left="740"/>
              <w:spacing w:after="0"/>
              <w:rPr>
                <w:sz w:val="20"/>
                <w:szCs w:val="20"/>
                <w:color w:val="auto"/>
              </w:rPr>
            </w:pPr>
            <w:r>
              <w:rPr>
                <w:rFonts w:ascii="Arial" w:cs="Arial" w:eastAsia="Arial" w:hAnsi="Arial"/>
                <w:sz w:val="18"/>
                <w:szCs w:val="18"/>
                <w:b w:val="1"/>
                <w:bCs w:val="1"/>
                <w:color w:val="auto"/>
              </w:rPr>
              <w:t>SENIOR INDENTURE</w:t>
            </w:r>
          </w:p>
        </w:tc>
        <w:tc>
          <w:tcPr>
            <w:tcW w:w="32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DATED AS OF</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-24765</wp:posOffset>
            </wp:positionV>
            <wp:extent cx="13144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sectPr>
          <w:pgSz w:w="11900" w:h="16838" w:orient="portrait"/>
          <w:cols w:equalWidth="0" w:num="1">
            <w:col w:w="11220"/>
          </w:cols>
          <w:pgMar w:left="240" w:top="122"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6620" w:type="dxa"/>
            <w:vAlign w:val="bottom"/>
            <w:tcBorders>
              <w:bottom w:val="single" w:sz="8" w:color="0000EE"/>
            </w:tcBorders>
            <w:gridSpan w:val="36"/>
          </w:tcPr>
          <w:p>
            <w:pPr>
              <w:spacing w:after="0" w:line="190" w:lineRule="exact"/>
              <w:rPr>
                <w:rFonts w:ascii="Arial" w:cs="Arial" w:eastAsia="Arial" w:hAnsi="Arial"/>
                <w:sz w:val="18"/>
                <w:szCs w:val="18"/>
                <w:color w:val="0000EE"/>
                <w:w w:val="97"/>
              </w:rPr>
            </w:pPr>
            <w:hyperlink w:anchor="page50">
              <w:r>
                <w:rPr>
                  <w:rFonts w:ascii="Arial" w:cs="Arial" w:eastAsia="Arial" w:hAnsi="Arial"/>
                  <w:sz w:val="18"/>
                  <w:szCs w:val="18"/>
                  <w:color w:val="0000EE"/>
                  <w:w w:val="97"/>
                </w:rPr>
                <w:t>ARTICLE I DEFINITIONS AND OTHER PROVISIONS OF GENERAL APPLICATION</w:t>
              </w:r>
            </w:hyperlink>
          </w:p>
        </w:tc>
        <w:tc>
          <w:tcPr>
            <w:tcW w:w="2020" w:type="dxa"/>
            <w:vAlign w:val="bottom"/>
          </w:tcPr>
          <w:p>
            <w:pPr>
              <w:spacing w:after="0"/>
              <w:rPr>
                <w:sz w:val="16"/>
                <w:szCs w:val="16"/>
                <w:color w:val="auto"/>
              </w:rPr>
            </w:pPr>
          </w:p>
        </w:tc>
        <w:tc>
          <w:tcPr>
            <w:tcW w:w="234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304"/>
        </w:trPr>
        <w:tc>
          <w:tcPr>
            <w:tcW w:w="360" w:type="dxa"/>
            <w:vAlign w:val="bottom"/>
          </w:tcPr>
          <w:p>
            <w:pPr>
              <w:spacing w:after="0"/>
              <w:rPr>
                <w:sz w:val="24"/>
                <w:szCs w:val="24"/>
                <w:color w:val="auto"/>
              </w:rPr>
            </w:pPr>
          </w:p>
        </w:tc>
        <w:tc>
          <w:tcPr>
            <w:tcW w:w="820" w:type="dxa"/>
            <w:vAlign w:val="bottom"/>
            <w:tcBorders>
              <w:bottom w:val="single" w:sz="8" w:color="0000EE"/>
            </w:tcBorders>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Section 1.1</w:t>
              </w:r>
            </w:hyperlink>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50">
              <w:r>
                <w:rPr>
                  <w:rFonts w:ascii="Arial" w:cs="Arial" w:eastAsia="Arial" w:hAnsi="Arial"/>
                  <w:sz w:val="18"/>
                  <w:szCs w:val="18"/>
                  <w:color w:val="0000EE"/>
                  <w:w w:val="95"/>
                </w:rPr>
                <w:t>Definitions</w:t>
              </w:r>
            </w:hyperlink>
          </w:p>
        </w:tc>
        <w:tc>
          <w:tcPr>
            <w:tcW w:w="5880" w:type="dxa"/>
            <w:vAlign w:val="bottom"/>
            <w:gridSpan w:val="30"/>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3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Section 1.2</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700" w:type="dxa"/>
            <w:vAlign w:val="bottom"/>
            <w:gridSpan w:val="3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Compliance Certificates and Opinions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Section 1.3</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9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Form of Documents Delivered to Trustee</w:t>
              </w:r>
            </w:hyperlink>
          </w:p>
        </w:tc>
        <w:tc>
          <w:tcPr>
            <w:tcW w:w="372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Section 1.4</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Acts of Holders; Record Dates</w:t>
              </w:r>
            </w:hyperlink>
          </w:p>
        </w:tc>
        <w:tc>
          <w:tcPr>
            <w:tcW w:w="4480" w:type="dxa"/>
            <w:vAlign w:val="bottom"/>
            <w:gridSpan w:val="1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Section 1.5</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Notices, Etc., to Trustee and Company</w:t>
              </w:r>
            </w:hyperlink>
          </w:p>
        </w:tc>
        <w:tc>
          <w:tcPr>
            <w:tcW w:w="3900" w:type="dxa"/>
            <w:vAlign w:val="bottom"/>
            <w:gridSpan w:val="11"/>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Section 1.6</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Notice to Holders; Waiver</w:t>
              </w:r>
            </w:hyperlink>
          </w:p>
        </w:tc>
        <w:tc>
          <w:tcPr>
            <w:tcW w:w="4800" w:type="dxa"/>
            <w:vAlign w:val="bottom"/>
            <w:gridSpan w:val="1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Section 1.7</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700" w:type="dxa"/>
            <w:vAlign w:val="bottom"/>
            <w:gridSpan w:val="33"/>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Conflict with Trust Indenture Act</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Section 1.8</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Effect of Headings and Table of Contents</w:t>
              </w:r>
            </w:hyperlink>
          </w:p>
        </w:tc>
        <w:tc>
          <w:tcPr>
            <w:tcW w:w="370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Section 1.9</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2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60">
              <w:r>
                <w:rPr>
                  <w:rFonts w:ascii="Arial" w:cs="Arial" w:eastAsia="Arial" w:hAnsi="Arial"/>
                  <w:sz w:val="18"/>
                  <w:szCs w:val="18"/>
                  <w:color w:val="0000EE"/>
                  <w:w w:val="86"/>
                </w:rPr>
                <w:t>Successors and Assigns</w:t>
              </w:r>
            </w:hyperlink>
          </w:p>
        </w:tc>
        <w:tc>
          <w:tcPr>
            <w:tcW w:w="4980" w:type="dxa"/>
            <w:vAlign w:val="bottom"/>
            <w:gridSpan w:val="21"/>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Section 1.10</w:t>
              </w:r>
            </w:hyperlink>
          </w:p>
        </w:tc>
        <w:tc>
          <w:tcPr>
            <w:tcW w:w="680" w:type="dxa"/>
            <w:vAlign w:val="bottom"/>
          </w:tcPr>
          <w:p>
            <w:pPr>
              <w:spacing w:after="0"/>
              <w:rPr>
                <w:sz w:val="17"/>
                <w:szCs w:val="17"/>
                <w:color w:val="auto"/>
              </w:rPr>
            </w:pPr>
          </w:p>
        </w:tc>
        <w:tc>
          <w:tcPr>
            <w:tcW w:w="14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Separability Clause</w:t>
              </w:r>
            </w:hyperlink>
          </w:p>
        </w:tc>
        <w:tc>
          <w:tcPr>
            <w:tcW w:w="5280" w:type="dxa"/>
            <w:vAlign w:val="bottom"/>
            <w:gridSpan w:val="2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Section 1.11</w:t>
              </w:r>
            </w:hyperlink>
          </w:p>
        </w:tc>
        <w:tc>
          <w:tcPr>
            <w:tcW w:w="680" w:type="dxa"/>
            <w:vAlign w:val="bottom"/>
          </w:tcPr>
          <w:p>
            <w:pPr>
              <w:spacing w:after="0"/>
              <w:rPr>
                <w:sz w:val="17"/>
                <w:szCs w:val="17"/>
                <w:color w:val="auto"/>
              </w:rPr>
            </w:pPr>
          </w:p>
        </w:tc>
        <w:tc>
          <w:tcPr>
            <w:tcW w:w="15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Benefits of Indenture</w:t>
              </w:r>
            </w:hyperlink>
          </w:p>
        </w:tc>
        <w:tc>
          <w:tcPr>
            <w:tcW w:w="5160" w:type="dxa"/>
            <w:vAlign w:val="bottom"/>
            <w:gridSpan w:val="2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Section 1.12</w:t>
              </w:r>
            </w:hyperlink>
          </w:p>
        </w:tc>
        <w:tc>
          <w:tcPr>
            <w:tcW w:w="680" w:type="dxa"/>
            <w:vAlign w:val="bottom"/>
          </w:tcPr>
          <w:p>
            <w:pPr>
              <w:spacing w:after="0"/>
              <w:rPr>
                <w:sz w:val="17"/>
                <w:szCs w:val="17"/>
                <w:color w:val="auto"/>
              </w:rPr>
            </w:pPr>
          </w:p>
        </w:tc>
        <w:tc>
          <w:tcPr>
            <w:tcW w:w="6700" w:type="dxa"/>
            <w:vAlign w:val="bottom"/>
            <w:gridSpan w:val="33"/>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Governing Law</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Section 1.13</w:t>
              </w:r>
            </w:hyperlink>
          </w:p>
        </w:tc>
        <w:tc>
          <w:tcPr>
            <w:tcW w:w="68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61">
              <w:r>
                <w:rPr>
                  <w:rFonts w:ascii="Arial" w:cs="Arial" w:eastAsia="Arial" w:hAnsi="Arial"/>
                  <w:sz w:val="18"/>
                  <w:szCs w:val="18"/>
                  <w:color w:val="0000EE"/>
                  <w:w w:val="93"/>
                </w:rPr>
                <w:t>Legal Holidays</w:t>
              </w:r>
            </w:hyperlink>
          </w:p>
        </w:tc>
        <w:tc>
          <w:tcPr>
            <w:tcW w:w="20" w:type="dxa"/>
            <w:vAlign w:val="bottom"/>
            <w:tcBorders>
              <w:top w:val="single" w:sz="8" w:color="0000EE"/>
            </w:tcBorders>
          </w:tcPr>
          <w:p>
            <w:pPr>
              <w:spacing w:after="0"/>
              <w:rPr>
                <w:sz w:val="17"/>
                <w:szCs w:val="17"/>
                <w:color w:val="auto"/>
              </w:rPr>
            </w:pPr>
          </w:p>
        </w:tc>
        <w:tc>
          <w:tcPr>
            <w:tcW w:w="5560" w:type="dxa"/>
            <w:vAlign w:val="bottom"/>
            <w:gridSpan w:val="2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Section 1.14</w:t>
              </w:r>
            </w:hyperlink>
          </w:p>
        </w:tc>
        <w:tc>
          <w:tcPr>
            <w:tcW w:w="680" w:type="dxa"/>
            <w:vAlign w:val="bottom"/>
          </w:tcPr>
          <w:p>
            <w:pPr>
              <w:spacing w:after="0"/>
              <w:rPr>
                <w:sz w:val="17"/>
                <w:szCs w:val="17"/>
                <w:color w:val="auto"/>
              </w:rPr>
            </w:pPr>
          </w:p>
        </w:tc>
        <w:tc>
          <w:tcPr>
            <w:tcW w:w="208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No Recourse Against Others</w:t>
              </w:r>
            </w:hyperlink>
          </w:p>
        </w:tc>
        <w:tc>
          <w:tcPr>
            <w:tcW w:w="4620" w:type="dxa"/>
            <w:vAlign w:val="bottom"/>
            <w:gridSpan w:val="1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304"/>
        </w:trPr>
        <w:tc>
          <w:tcPr>
            <w:tcW w:w="250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61">
              <w:r>
                <w:rPr>
                  <w:rFonts w:ascii="Arial" w:cs="Arial" w:eastAsia="Arial" w:hAnsi="Arial"/>
                  <w:sz w:val="18"/>
                  <w:szCs w:val="18"/>
                  <w:color w:val="0000EE"/>
                  <w:w w:val="96"/>
                </w:rPr>
                <w:t>ARTICLE II SECURITY FORMS</w:t>
              </w:r>
            </w:hyperlink>
          </w:p>
        </w:tc>
        <w:tc>
          <w:tcPr>
            <w:tcW w:w="6140" w:type="dxa"/>
            <w:vAlign w:val="bottom"/>
            <w:gridSpan w:val="31"/>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360" w:type="dxa"/>
            <w:vAlign w:val="bottom"/>
          </w:tcPr>
          <w:p>
            <w:pPr>
              <w:spacing w:after="0"/>
              <w:rPr>
                <w:sz w:val="24"/>
                <w:szCs w:val="24"/>
                <w:color w:val="auto"/>
              </w:rPr>
            </w:pPr>
          </w:p>
        </w:tc>
        <w:tc>
          <w:tcPr>
            <w:tcW w:w="820" w:type="dxa"/>
            <w:vAlign w:val="bottom"/>
          </w:tcPr>
          <w:p>
            <w:pPr>
              <w:spacing w:after="0"/>
              <w:rPr>
                <w:rFonts w:ascii="Arial" w:cs="Arial" w:eastAsia="Arial" w:hAnsi="Arial"/>
                <w:sz w:val="18"/>
                <w:szCs w:val="18"/>
                <w:color w:val="0000EE"/>
                <w:w w:val="88"/>
              </w:rPr>
            </w:pPr>
            <w:hyperlink w:anchor="page61">
              <w:r>
                <w:rPr>
                  <w:rFonts w:ascii="Arial" w:cs="Arial" w:eastAsia="Arial" w:hAnsi="Arial"/>
                  <w:sz w:val="18"/>
                  <w:szCs w:val="18"/>
                  <w:color w:val="0000EE"/>
                  <w:w w:val="88"/>
                </w:rPr>
                <w:t>Section 2.1</w:t>
              </w:r>
            </w:hyperlink>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700" w:type="dxa"/>
            <w:vAlign w:val="bottom"/>
            <w:gridSpan w:val="3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Forms Generally</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Section 2.2</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Form of Face of Security</w:t>
              </w:r>
            </w:hyperlink>
          </w:p>
        </w:tc>
        <w:tc>
          <w:tcPr>
            <w:tcW w:w="4880" w:type="dxa"/>
            <w:vAlign w:val="bottom"/>
            <w:gridSpan w:val="2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Section 2.3</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Form of Reverse of Security</w:t>
              </w:r>
            </w:hyperlink>
          </w:p>
        </w:tc>
        <w:tc>
          <w:tcPr>
            <w:tcW w:w="4640" w:type="dxa"/>
            <w:vAlign w:val="bottom"/>
            <w:gridSpan w:val="1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Section 2.4</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700" w:type="dxa"/>
            <w:vAlign w:val="bottom"/>
            <w:gridSpan w:val="3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Form of Notation of Subsidiary Guarantee</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820" w:type="dxa"/>
            <w:vAlign w:val="bottom"/>
            <w:tcBorders>
              <w:top w:val="single" w:sz="8" w:color="0000EE"/>
            </w:tcBorders>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Section 2.5</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Form of Legend for Global Securities</w:t>
              </w:r>
            </w:hyperlink>
          </w:p>
        </w:tc>
        <w:tc>
          <w:tcPr>
            <w:tcW w:w="364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Section 2.6</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700" w:type="dxa"/>
            <w:vAlign w:val="bottom"/>
            <w:gridSpan w:val="3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Form of Trustee’s Certificate of Authentication</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6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Section 2.7</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Form of Conversion Notice</w:t>
              </w:r>
            </w:hyperlink>
          </w:p>
        </w:tc>
        <w:tc>
          <w:tcPr>
            <w:tcW w:w="1380" w:type="dxa"/>
            <w:vAlign w:val="bottom"/>
            <w:tcBorders>
              <w:top w:val="single" w:sz="8" w:color="0000EE"/>
            </w:tcBorders>
            <w:gridSpan w:val="12"/>
          </w:tcPr>
          <w:p>
            <w:pPr>
              <w:spacing w:after="0"/>
              <w:rPr>
                <w:sz w:val="17"/>
                <w:szCs w:val="17"/>
                <w:color w:val="auto"/>
              </w:rPr>
            </w:pPr>
          </w:p>
        </w:tc>
        <w:tc>
          <w:tcPr>
            <w:tcW w:w="330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304"/>
        </w:trPr>
        <w:tc>
          <w:tcPr>
            <w:tcW w:w="244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69">
              <w:r>
                <w:rPr>
                  <w:rFonts w:ascii="Arial" w:cs="Arial" w:eastAsia="Arial" w:hAnsi="Arial"/>
                  <w:sz w:val="18"/>
                  <w:szCs w:val="18"/>
                  <w:color w:val="0000EE"/>
                  <w:w w:val="96"/>
                </w:rPr>
                <w:t>ARTICLE III THE SECURITIES</w:t>
              </w:r>
            </w:hyperlink>
          </w:p>
        </w:tc>
        <w:tc>
          <w:tcPr>
            <w:tcW w:w="6200" w:type="dxa"/>
            <w:vAlign w:val="bottom"/>
            <w:gridSpan w:val="32"/>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360" w:type="dxa"/>
            <w:vAlign w:val="bottom"/>
          </w:tcPr>
          <w:p>
            <w:pPr>
              <w:spacing w:after="0"/>
              <w:rPr>
                <w:sz w:val="24"/>
                <w:szCs w:val="24"/>
                <w:color w:val="auto"/>
              </w:rPr>
            </w:pPr>
          </w:p>
        </w:tc>
        <w:tc>
          <w:tcPr>
            <w:tcW w:w="820" w:type="dxa"/>
            <w:vAlign w:val="bottom"/>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Section 3.1</w:t>
              </w:r>
            </w:hyperlink>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700" w:type="dxa"/>
            <w:vAlign w:val="bottom"/>
            <w:gridSpan w:val="3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Amount Unlimited; Issuable in Series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196"/>
        </w:trPr>
        <w:tc>
          <w:tcPr>
            <w:tcW w:w="360" w:type="dxa"/>
            <w:vAlign w:val="bottom"/>
          </w:tcPr>
          <w:p>
            <w:pPr>
              <w:spacing w:after="0"/>
              <w:rPr>
                <w:sz w:val="17"/>
                <w:szCs w:val="17"/>
                <w:color w:val="auto"/>
              </w:rPr>
            </w:pPr>
          </w:p>
        </w:tc>
        <w:tc>
          <w:tcPr>
            <w:tcW w:w="820" w:type="dxa"/>
            <w:vAlign w:val="bottom"/>
            <w:tcBorders>
              <w:top w:val="single" w:sz="8" w:color="0000EE"/>
            </w:tcBorders>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Section 3.2</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7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Denominations</w:t>
              </w:r>
            </w:hyperlink>
          </w:p>
        </w:tc>
        <w:tc>
          <w:tcPr>
            <w:tcW w:w="3980" w:type="dxa"/>
            <w:vAlign w:val="bottom"/>
            <w:gridSpan w:val="1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Section 3.3</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6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Execution, Authentication, Delivery and Dating</w:t>
              </w:r>
            </w:hyperlink>
          </w:p>
        </w:tc>
        <w:tc>
          <w:tcPr>
            <w:tcW w:w="324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Section 3.4</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Temporary Securities</w:t>
              </w:r>
            </w:hyperlink>
          </w:p>
        </w:tc>
        <w:tc>
          <w:tcPr>
            <w:tcW w:w="5140" w:type="dxa"/>
            <w:vAlign w:val="bottom"/>
            <w:gridSpan w:val="2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3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color w:val="0000EE"/>
                <w:w w:val="88"/>
              </w:rPr>
            </w:pPr>
            <w:hyperlink w:anchor="page74">
              <w:r>
                <w:rPr>
                  <w:rFonts w:ascii="Arial" w:cs="Arial" w:eastAsia="Arial" w:hAnsi="Arial"/>
                  <w:sz w:val="18"/>
                  <w:szCs w:val="18"/>
                  <w:color w:val="0000EE"/>
                  <w:w w:val="88"/>
                </w:rPr>
                <w:t>Section 3.5</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700" w:type="dxa"/>
            <w:vAlign w:val="bottom"/>
            <w:gridSpan w:val="33"/>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Registration, Registration of Transfer and Exchange</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36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76">
              <w:r>
                <w:rPr>
                  <w:rFonts w:ascii="Arial" w:cs="Arial" w:eastAsia="Arial" w:hAnsi="Arial"/>
                  <w:sz w:val="18"/>
                  <w:szCs w:val="18"/>
                  <w:color w:val="0000EE"/>
                  <w:w w:val="88"/>
                </w:rPr>
                <w:t>Section 3.6</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91"/>
              </w:rPr>
            </w:pPr>
            <w:hyperlink w:anchor="page76">
              <w:r>
                <w:rPr>
                  <w:rFonts w:ascii="Arial" w:cs="Arial" w:eastAsia="Arial" w:hAnsi="Arial"/>
                  <w:sz w:val="18"/>
                  <w:szCs w:val="18"/>
                  <w:color w:val="0000EE"/>
                  <w:w w:val="91"/>
                </w:rPr>
                <w:t>Mutilated, Destroyed, Lost and Stolen Securities</w:t>
              </w:r>
            </w:hyperlink>
          </w:p>
        </w:tc>
        <w:tc>
          <w:tcPr>
            <w:tcW w:w="240" w:type="dxa"/>
            <w:vAlign w:val="bottom"/>
            <w:tcBorders>
              <w:top w:val="single" w:sz="8" w:color="0000EE"/>
            </w:tcBorders>
          </w:tcPr>
          <w:p>
            <w:pPr>
              <w:spacing w:after="0"/>
              <w:rPr>
                <w:sz w:val="17"/>
                <w:szCs w:val="17"/>
                <w:color w:val="auto"/>
              </w:rPr>
            </w:pPr>
          </w:p>
        </w:tc>
        <w:tc>
          <w:tcPr>
            <w:tcW w:w="294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3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color w:val="0000EE"/>
                <w:w w:val="88"/>
              </w:rPr>
            </w:pPr>
            <w:hyperlink w:anchor="page76">
              <w:r>
                <w:rPr>
                  <w:rFonts w:ascii="Arial" w:cs="Arial" w:eastAsia="Arial" w:hAnsi="Arial"/>
                  <w:sz w:val="18"/>
                  <w:szCs w:val="18"/>
                  <w:color w:val="0000EE"/>
                  <w:w w:val="88"/>
                </w:rPr>
                <w:t>Section 3.7</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700" w:type="dxa"/>
            <w:vAlign w:val="bottom"/>
            <w:gridSpan w:val="33"/>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Payment of Interest; Interest Rights Preserved</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36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Section 3.8</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77">
              <w:r>
                <w:rPr>
                  <w:rFonts w:ascii="Arial" w:cs="Arial" w:eastAsia="Arial" w:hAnsi="Arial"/>
                  <w:sz w:val="18"/>
                  <w:szCs w:val="18"/>
                  <w:color w:val="0000EE"/>
                  <w:w w:val="87"/>
                </w:rPr>
                <w:t>Persons Deemed Owners</w:t>
              </w:r>
            </w:hyperlink>
          </w:p>
        </w:tc>
        <w:tc>
          <w:tcPr>
            <w:tcW w:w="1500" w:type="dxa"/>
            <w:vAlign w:val="bottom"/>
            <w:tcBorders>
              <w:top w:val="single" w:sz="8" w:color="0000EE"/>
            </w:tcBorders>
            <w:gridSpan w:val="14"/>
          </w:tcPr>
          <w:p>
            <w:pPr>
              <w:spacing w:after="0"/>
              <w:rPr>
                <w:sz w:val="17"/>
                <w:szCs w:val="17"/>
                <w:color w:val="auto"/>
              </w:rPr>
            </w:pPr>
          </w:p>
        </w:tc>
        <w:tc>
          <w:tcPr>
            <w:tcW w:w="338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Section 3.9</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Cancellation</w:t>
              </w:r>
            </w:hyperlink>
          </w:p>
        </w:tc>
        <w:tc>
          <w:tcPr>
            <w:tcW w:w="5780" w:type="dxa"/>
            <w:vAlign w:val="bottom"/>
            <w:gridSpan w:val="2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3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color w:val="0000EE"/>
                <w:w w:val="87"/>
              </w:rPr>
            </w:pPr>
            <w:hyperlink w:anchor="page78">
              <w:r>
                <w:rPr>
                  <w:rFonts w:ascii="Arial" w:cs="Arial" w:eastAsia="Arial" w:hAnsi="Arial"/>
                  <w:sz w:val="18"/>
                  <w:szCs w:val="18"/>
                  <w:color w:val="0000EE"/>
                  <w:w w:val="87"/>
                </w:rPr>
                <w:t>Section 3.10</w:t>
              </w:r>
            </w:hyperlink>
          </w:p>
        </w:tc>
        <w:tc>
          <w:tcPr>
            <w:tcW w:w="680" w:type="dxa"/>
            <w:vAlign w:val="bottom"/>
          </w:tcPr>
          <w:p>
            <w:pPr>
              <w:spacing w:after="0"/>
              <w:rPr>
                <w:sz w:val="17"/>
                <w:szCs w:val="17"/>
                <w:color w:val="auto"/>
              </w:rPr>
            </w:pPr>
          </w:p>
        </w:tc>
        <w:tc>
          <w:tcPr>
            <w:tcW w:w="6700" w:type="dxa"/>
            <w:vAlign w:val="bottom"/>
            <w:gridSpan w:val="33"/>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Computation of Interest</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gridSpan w:val="1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8640" w:type="dxa"/>
            <w:vAlign w:val="bottom"/>
            <w:gridSpan w:val="37"/>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ARTICLE IV SATISFACTION AND DISCHARGE</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3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520" w:type="dxa"/>
            <w:vAlign w:val="bottom"/>
            <w:gridSpan w:val="15"/>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20" w:type="dxa"/>
            <w:vAlign w:val="bottom"/>
          </w:tcPr>
          <w:p>
            <w:pPr>
              <w:spacing w:after="0"/>
              <w:rPr>
                <w:rFonts w:ascii="Arial" w:cs="Arial" w:eastAsia="Arial" w:hAnsi="Arial"/>
                <w:sz w:val="18"/>
                <w:szCs w:val="18"/>
                <w:color w:val="0000EE"/>
                <w:w w:val="88"/>
              </w:rPr>
            </w:pPr>
            <w:hyperlink w:anchor="page78">
              <w:r>
                <w:rPr>
                  <w:rFonts w:ascii="Arial" w:cs="Arial" w:eastAsia="Arial" w:hAnsi="Arial"/>
                  <w:sz w:val="18"/>
                  <w:szCs w:val="18"/>
                  <w:color w:val="0000EE"/>
                  <w:w w:val="88"/>
                </w:rPr>
                <w:t>Section 4.1</w:t>
              </w:r>
            </w:hyperlink>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700" w:type="dxa"/>
            <w:vAlign w:val="bottom"/>
            <w:gridSpan w:val="33"/>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Satisfaction and Discharge of Indenture</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196"/>
        </w:trPr>
        <w:tc>
          <w:tcPr>
            <w:tcW w:w="360" w:type="dxa"/>
            <w:vAlign w:val="bottom"/>
          </w:tcPr>
          <w:p>
            <w:pPr>
              <w:spacing w:after="0"/>
              <w:rPr>
                <w:sz w:val="17"/>
                <w:szCs w:val="17"/>
                <w:color w:val="auto"/>
              </w:rPr>
            </w:pPr>
          </w:p>
        </w:tc>
        <w:tc>
          <w:tcPr>
            <w:tcW w:w="820" w:type="dxa"/>
            <w:vAlign w:val="bottom"/>
            <w:tcBorders>
              <w:top w:val="single" w:sz="8" w:color="0000EE"/>
            </w:tcBorders>
          </w:tcPr>
          <w:p>
            <w:pPr>
              <w:spacing w:after="0" w:line="196"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Section 4.2</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Application of Trust Money</w:t>
              </w:r>
            </w:hyperlink>
          </w:p>
        </w:tc>
        <w:tc>
          <w:tcPr>
            <w:tcW w:w="3840" w:type="dxa"/>
            <w:vAlign w:val="bottom"/>
            <w:gridSpan w:val="1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1900" w:type="dxa"/>
            <w:vAlign w:val="bottom"/>
            <w:gridSpan w:val="7"/>
          </w:tcPr>
          <w:p>
            <w:pPr>
              <w:spacing w:after="0" w:line="190" w:lineRule="exact"/>
              <w:rPr>
                <w:rFonts w:ascii="Arial" w:cs="Arial" w:eastAsia="Arial" w:hAnsi="Arial"/>
                <w:sz w:val="18"/>
                <w:szCs w:val="18"/>
                <w:color w:val="0000EE"/>
                <w:w w:val="97"/>
              </w:rPr>
            </w:pPr>
            <w:hyperlink w:anchor="page79">
              <w:r>
                <w:rPr>
                  <w:rFonts w:ascii="Arial" w:cs="Arial" w:eastAsia="Arial" w:hAnsi="Arial"/>
                  <w:sz w:val="18"/>
                  <w:szCs w:val="18"/>
                  <w:color w:val="0000EE"/>
                  <w:w w:val="97"/>
                </w:rPr>
                <w:t>ARTICLE V REMEDIES</w:t>
              </w:r>
            </w:hyperlink>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tcPr>
          <w:p>
            <w:pPr>
              <w:jc w:val="right"/>
              <w:spacing w:after="0" w:line="190" w:lineRule="exact"/>
              <w:rPr>
                <w:sz w:val="20"/>
                <w:szCs w:val="20"/>
                <w:color w:val="auto"/>
              </w:rPr>
            </w:pPr>
            <w:r>
              <w:rPr>
                <w:rFonts w:ascii="Arial" w:cs="Arial" w:eastAsia="Arial" w:hAnsi="Arial"/>
                <w:sz w:val="18"/>
                <w:szCs w:val="18"/>
                <w:color w:val="auto"/>
              </w:rPr>
              <w:t>30</w:t>
            </w:r>
          </w:p>
        </w:tc>
      </w:tr>
      <w:tr>
        <w:trPr>
          <w:trHeight w:val="304"/>
        </w:trPr>
        <w:tc>
          <w:tcPr>
            <w:tcW w:w="360" w:type="dxa"/>
            <w:vAlign w:val="bottom"/>
            <w:tcBorders>
              <w:top w:val="single" w:sz="8" w:color="0000EE"/>
            </w:tcBorders>
          </w:tcPr>
          <w:p>
            <w:pPr>
              <w:spacing w:after="0"/>
              <w:rPr>
                <w:sz w:val="24"/>
                <w:szCs w:val="24"/>
                <w:color w:val="auto"/>
              </w:rPr>
            </w:pPr>
          </w:p>
        </w:tc>
        <w:tc>
          <w:tcPr>
            <w:tcW w:w="820" w:type="dxa"/>
            <w:vAlign w:val="bottom"/>
            <w:tcBorders>
              <w:top w:val="single" w:sz="8" w:color="0000EE"/>
              <w:bottom w:val="single" w:sz="8" w:color="0000EE"/>
            </w:tcBorders>
          </w:tcPr>
          <w:p>
            <w:pPr>
              <w:spacing w:after="0"/>
              <w:rPr>
                <w:rFonts w:ascii="Arial" w:cs="Arial" w:eastAsia="Arial" w:hAnsi="Arial"/>
                <w:sz w:val="18"/>
                <w:szCs w:val="18"/>
                <w:color w:val="0000EE"/>
                <w:w w:val="86"/>
              </w:rPr>
            </w:pPr>
            <w:hyperlink w:anchor="page79">
              <w:r>
                <w:rPr>
                  <w:rFonts w:ascii="Arial" w:cs="Arial" w:eastAsia="Arial" w:hAnsi="Arial"/>
                  <w:sz w:val="18"/>
                  <w:szCs w:val="18"/>
                  <w:color w:val="0000EE"/>
                  <w:w w:val="86"/>
                </w:rPr>
                <w:t>Section 5.1</w:t>
              </w:r>
            </w:hyperlink>
          </w:p>
        </w:tc>
        <w:tc>
          <w:tcPr>
            <w:tcW w:w="680" w:type="dxa"/>
            <w:vAlign w:val="bottom"/>
            <w:tcBorders>
              <w:top w:val="single" w:sz="8" w:color="0000EE"/>
            </w:tcBorders>
            <w:gridSpan w:val="4"/>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Events of Default</w:t>
              </w:r>
            </w:hyperlink>
          </w:p>
        </w:tc>
        <w:tc>
          <w:tcPr>
            <w:tcW w:w="4420" w:type="dxa"/>
            <w:vAlign w:val="bottom"/>
            <w:gridSpan w:val="34"/>
          </w:tcPr>
          <w:p>
            <w:pPr>
              <w:spacing w:after="0"/>
              <w:rPr>
                <w:sz w:val="24"/>
                <w:szCs w:val="24"/>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96"/>
        </w:trPr>
        <w:tc>
          <w:tcPr>
            <w:tcW w:w="3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color w:val="0000EE"/>
                <w:w w:val="86"/>
              </w:rPr>
            </w:pPr>
            <w:hyperlink w:anchor="page81">
              <w:r>
                <w:rPr>
                  <w:rFonts w:ascii="Arial" w:cs="Arial" w:eastAsia="Arial" w:hAnsi="Arial"/>
                  <w:sz w:val="18"/>
                  <w:szCs w:val="18"/>
                  <w:color w:val="0000EE"/>
                  <w:w w:val="86"/>
                </w:rPr>
                <w:t>Section 5.2</w:t>
              </w:r>
            </w:hyperlink>
          </w:p>
        </w:tc>
        <w:tc>
          <w:tcPr>
            <w:tcW w:w="7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5700" w:type="dxa"/>
            <w:vAlign w:val="bottom"/>
            <w:gridSpan w:val="3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Acceleration of Maturity; Rescission and Annulment</w:t>
              </w:r>
            </w:hyperlink>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color w:val="0000EE"/>
                <w:w w:val="86"/>
              </w:rPr>
            </w:pPr>
            <w:hyperlink w:anchor="page82">
              <w:r>
                <w:rPr>
                  <w:rFonts w:ascii="Arial" w:cs="Arial" w:eastAsia="Arial" w:hAnsi="Arial"/>
                  <w:sz w:val="18"/>
                  <w:szCs w:val="18"/>
                  <w:color w:val="0000EE"/>
                  <w:w w:val="86"/>
                </w:rPr>
                <w:t>Section 5.3</w:t>
              </w:r>
            </w:hyperlink>
          </w:p>
        </w:tc>
        <w:tc>
          <w:tcPr>
            <w:tcW w:w="7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5700" w:type="dxa"/>
            <w:vAlign w:val="bottom"/>
            <w:gridSpan w:val="36"/>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Collection of Indebtedness and Suits for Enforcement by Trustee</w:t>
              </w:r>
            </w:hyperlink>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36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w:anchor="page83">
              <w:r>
                <w:rPr>
                  <w:rFonts w:ascii="Arial" w:cs="Arial" w:eastAsia="Arial" w:hAnsi="Arial"/>
                  <w:sz w:val="18"/>
                  <w:szCs w:val="18"/>
                  <w:color w:val="0000EE"/>
                  <w:w w:val="86"/>
                </w:rPr>
                <w:t>Section 5.4</w:t>
              </w:r>
            </w:hyperlink>
          </w:p>
        </w:tc>
        <w:tc>
          <w:tcPr>
            <w:tcW w:w="7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Trustee May File Proofs of Claim</w:t>
              </w:r>
            </w:hyperlink>
          </w:p>
        </w:tc>
        <w:tc>
          <w:tcPr>
            <w:tcW w:w="2240" w:type="dxa"/>
            <w:vAlign w:val="bottom"/>
            <w:tcBorders>
              <w:top w:val="single" w:sz="8" w:color="0000EE"/>
            </w:tcBorders>
            <w:gridSpan w:val="17"/>
          </w:tcPr>
          <w:p>
            <w:pPr>
              <w:spacing w:after="0"/>
              <w:rPr>
                <w:sz w:val="17"/>
                <w:szCs w:val="17"/>
                <w:color w:val="auto"/>
              </w:rPr>
            </w:pPr>
          </w:p>
        </w:tc>
        <w:tc>
          <w:tcPr>
            <w:tcW w:w="1020" w:type="dxa"/>
            <w:vAlign w:val="bottom"/>
            <w:gridSpan w:val="4"/>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3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color w:val="0000EE"/>
                <w:w w:val="86"/>
              </w:rPr>
            </w:pPr>
            <w:hyperlink w:anchor="page83">
              <w:r>
                <w:rPr>
                  <w:rFonts w:ascii="Arial" w:cs="Arial" w:eastAsia="Arial" w:hAnsi="Arial"/>
                  <w:sz w:val="18"/>
                  <w:szCs w:val="18"/>
                  <w:color w:val="0000EE"/>
                  <w:w w:val="86"/>
                </w:rPr>
                <w:t>Section 5.5</w:t>
              </w:r>
            </w:hyperlink>
          </w:p>
        </w:tc>
        <w:tc>
          <w:tcPr>
            <w:tcW w:w="7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5700" w:type="dxa"/>
            <w:vAlign w:val="bottom"/>
            <w:gridSpan w:val="36"/>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Trustee May Enforce Claims Without Possession of Securities</w:t>
              </w:r>
            </w:hyperlink>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360" w:type="dxa"/>
            <w:vAlign w:val="bottom"/>
          </w:tcPr>
          <w:p>
            <w:pPr>
              <w:spacing w:after="0"/>
              <w:rPr>
                <w:sz w:val="17"/>
                <w:szCs w:val="17"/>
                <w:color w:val="auto"/>
              </w:rPr>
            </w:pPr>
          </w:p>
        </w:tc>
        <w:tc>
          <w:tcPr>
            <w:tcW w:w="820" w:type="dxa"/>
            <w:vAlign w:val="bottom"/>
            <w:tcBorders>
              <w:top w:val="single" w:sz="8" w:color="0000EE"/>
            </w:tcBorders>
          </w:tcPr>
          <w:p>
            <w:pPr>
              <w:spacing w:after="0" w:line="196" w:lineRule="exact"/>
              <w:rPr>
                <w:rFonts w:ascii="Arial" w:cs="Arial" w:eastAsia="Arial" w:hAnsi="Arial"/>
                <w:sz w:val="18"/>
                <w:szCs w:val="18"/>
                <w:color w:val="0000EE"/>
                <w:w w:val="86"/>
              </w:rPr>
            </w:pPr>
            <w:hyperlink w:anchor="page84">
              <w:r>
                <w:rPr>
                  <w:rFonts w:ascii="Arial" w:cs="Arial" w:eastAsia="Arial" w:hAnsi="Arial"/>
                  <w:sz w:val="18"/>
                  <w:szCs w:val="18"/>
                  <w:color w:val="0000EE"/>
                  <w:w w:val="86"/>
                </w:rPr>
                <w:t>Section 5.6</w:t>
              </w:r>
            </w:hyperlink>
          </w:p>
        </w:tc>
        <w:tc>
          <w:tcPr>
            <w:tcW w:w="7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44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Application of Money Collected</w:t>
              </w:r>
            </w:hyperlink>
          </w:p>
        </w:tc>
        <w:tc>
          <w:tcPr>
            <w:tcW w:w="1220" w:type="dxa"/>
            <w:vAlign w:val="bottom"/>
            <w:gridSpan w:val="6"/>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36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w:anchor="page84">
              <w:r>
                <w:rPr>
                  <w:rFonts w:ascii="Arial" w:cs="Arial" w:eastAsia="Arial" w:hAnsi="Arial"/>
                  <w:sz w:val="18"/>
                  <w:szCs w:val="18"/>
                  <w:color w:val="0000EE"/>
                  <w:w w:val="86"/>
                </w:rPr>
                <w:t>Section 5.7</w:t>
              </w:r>
            </w:hyperlink>
          </w:p>
        </w:tc>
        <w:tc>
          <w:tcPr>
            <w:tcW w:w="7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5"/>
              </w:rPr>
            </w:pPr>
            <w:hyperlink w:anchor="page84">
              <w:r>
                <w:rPr>
                  <w:rFonts w:ascii="Arial" w:cs="Arial" w:eastAsia="Arial" w:hAnsi="Arial"/>
                  <w:sz w:val="18"/>
                  <w:szCs w:val="18"/>
                  <w:color w:val="0000EE"/>
                  <w:w w:val="95"/>
                </w:rPr>
                <w:t>Limitation on Suits</w:t>
              </w:r>
            </w:hyperlink>
          </w:p>
        </w:tc>
        <w:tc>
          <w:tcPr>
            <w:tcW w:w="920" w:type="dxa"/>
            <w:vAlign w:val="bottom"/>
            <w:tcBorders>
              <w:top w:val="single" w:sz="8" w:color="0000EE"/>
            </w:tcBorders>
            <w:gridSpan w:val="7"/>
          </w:tcPr>
          <w:p>
            <w:pPr>
              <w:spacing w:after="0"/>
              <w:rPr>
                <w:sz w:val="17"/>
                <w:szCs w:val="17"/>
                <w:color w:val="auto"/>
              </w:rPr>
            </w:pPr>
          </w:p>
        </w:tc>
        <w:tc>
          <w:tcPr>
            <w:tcW w:w="3360" w:type="dxa"/>
            <w:vAlign w:val="bottom"/>
            <w:gridSpan w:val="23"/>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85">
              <w:r>
                <w:rPr>
                  <w:rFonts w:ascii="Arial" w:cs="Arial" w:eastAsia="Arial" w:hAnsi="Arial"/>
                  <w:sz w:val="18"/>
                  <w:szCs w:val="18"/>
                  <w:color w:val="0000EE"/>
                  <w:w w:val="86"/>
                </w:rPr>
                <w:t>Section 5.8</w:t>
              </w:r>
            </w:hyperlink>
          </w:p>
        </w:tc>
        <w:tc>
          <w:tcPr>
            <w:tcW w:w="7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544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Unconditional Right of Holders to Receive Principal, Premium and Interest</w:t>
              </w:r>
            </w:hyperlink>
          </w:p>
        </w:tc>
        <w:tc>
          <w:tcPr>
            <w:tcW w:w="260" w:type="dxa"/>
            <w:vAlign w:val="bottom"/>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3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color w:val="0000EE"/>
                <w:w w:val="86"/>
              </w:rPr>
            </w:pPr>
            <w:hyperlink w:anchor="page85">
              <w:r>
                <w:rPr>
                  <w:rFonts w:ascii="Arial" w:cs="Arial" w:eastAsia="Arial" w:hAnsi="Arial"/>
                  <w:sz w:val="18"/>
                  <w:szCs w:val="18"/>
                  <w:color w:val="0000EE"/>
                  <w:w w:val="86"/>
                </w:rPr>
                <w:t>Section 5.9</w:t>
              </w:r>
            </w:hyperlink>
          </w:p>
        </w:tc>
        <w:tc>
          <w:tcPr>
            <w:tcW w:w="7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5700" w:type="dxa"/>
            <w:vAlign w:val="bottom"/>
            <w:gridSpan w:val="36"/>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Restoration of Rights and Remedies</w:t>
              </w:r>
            </w:hyperlink>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20" w:type="dxa"/>
            <w:vAlign w:val="bottom"/>
            <w:gridSpan w:val="3"/>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Section 5.10</w:t>
              </w:r>
            </w:hyperlink>
          </w:p>
        </w:tc>
        <w:tc>
          <w:tcPr>
            <w:tcW w:w="62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5700" w:type="dxa"/>
            <w:vAlign w:val="bottom"/>
            <w:gridSpan w:val="36"/>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Rights and Remedies Cumulative</w:t>
              </w:r>
            </w:hyperlink>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360" w:type="dxa"/>
            <w:vAlign w:val="bottom"/>
          </w:tcPr>
          <w:p>
            <w:pPr>
              <w:spacing w:after="0"/>
              <w:rPr>
                <w:sz w:val="17"/>
                <w:szCs w:val="17"/>
                <w:color w:val="auto"/>
              </w:rPr>
            </w:pPr>
          </w:p>
        </w:tc>
        <w:tc>
          <w:tcPr>
            <w:tcW w:w="900" w:type="dxa"/>
            <w:vAlign w:val="bottom"/>
            <w:tcBorders>
              <w:top w:val="single" w:sz="8" w:color="0000EE"/>
            </w:tcBorders>
            <w:gridSpan w:val="2"/>
          </w:tcPr>
          <w:p>
            <w:pPr>
              <w:spacing w:after="0" w:line="196" w:lineRule="exact"/>
              <w:rPr>
                <w:rFonts w:ascii="Arial" w:cs="Arial" w:eastAsia="Arial" w:hAnsi="Arial"/>
                <w:sz w:val="18"/>
                <w:szCs w:val="18"/>
                <w:color w:val="0000EE"/>
                <w:w w:val="87"/>
              </w:rPr>
            </w:pPr>
            <w:hyperlink w:anchor="page85">
              <w:r>
                <w:rPr>
                  <w:rFonts w:ascii="Arial" w:cs="Arial" w:eastAsia="Arial" w:hAnsi="Arial"/>
                  <w:sz w:val="18"/>
                  <w:szCs w:val="18"/>
                  <w:color w:val="0000EE"/>
                  <w:w w:val="87"/>
                </w:rPr>
                <w:t>Section 5.11</w:t>
              </w:r>
            </w:hyperlink>
          </w:p>
        </w:tc>
        <w:tc>
          <w:tcPr>
            <w:tcW w:w="20" w:type="dxa"/>
            <w:vAlign w:val="bottom"/>
            <w:tcBorders>
              <w:top w:val="single" w:sz="8" w:color="0000EE"/>
            </w:tcBorders>
          </w:tcPr>
          <w:p>
            <w:pPr>
              <w:spacing w:after="0"/>
              <w:rPr>
                <w:sz w:val="17"/>
                <w:szCs w:val="17"/>
                <w:color w:val="auto"/>
              </w:rPr>
            </w:pPr>
          </w:p>
        </w:tc>
        <w:tc>
          <w:tcPr>
            <w:tcW w:w="62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2420" w:type="dxa"/>
            <w:vAlign w:val="bottom"/>
            <w:tcBorders>
              <w:top w:val="single" w:sz="8" w:color="0000EE"/>
            </w:tcBorders>
            <w:gridSpan w:val="14"/>
          </w:tcPr>
          <w:p>
            <w:pPr>
              <w:spacing w:after="0" w:line="196" w:lineRule="exact"/>
              <w:rPr>
                <w:rFonts w:ascii="Arial" w:cs="Arial" w:eastAsia="Arial" w:hAnsi="Arial"/>
                <w:sz w:val="18"/>
                <w:szCs w:val="18"/>
                <w:color w:val="0000EE"/>
                <w:w w:val="99"/>
              </w:rPr>
            </w:pPr>
            <w:hyperlink w:anchor="page85">
              <w:r>
                <w:rPr>
                  <w:rFonts w:ascii="Arial" w:cs="Arial" w:eastAsia="Arial" w:hAnsi="Arial"/>
                  <w:sz w:val="18"/>
                  <w:szCs w:val="18"/>
                  <w:color w:val="0000EE"/>
                  <w:w w:val="99"/>
                </w:rPr>
                <w:t>Delay or Omission Not Waiver</w:t>
              </w:r>
            </w:hyperlink>
          </w:p>
        </w:tc>
        <w:tc>
          <w:tcPr>
            <w:tcW w:w="3280" w:type="dxa"/>
            <w:vAlign w:val="bottom"/>
            <w:gridSpan w:val="22"/>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Section 5.12</w:t>
              </w:r>
            </w:hyperlink>
          </w:p>
        </w:tc>
        <w:tc>
          <w:tcPr>
            <w:tcW w:w="6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85">
              <w:r>
                <w:rPr>
                  <w:rFonts w:ascii="Arial" w:cs="Arial" w:eastAsia="Arial" w:hAnsi="Arial"/>
                  <w:sz w:val="18"/>
                  <w:szCs w:val="18"/>
                  <w:color w:val="0000EE"/>
                  <w:w w:val="92"/>
                </w:rPr>
                <w:t>Control by Holders</w:t>
              </w:r>
            </w:hyperlink>
          </w:p>
        </w:tc>
        <w:tc>
          <w:tcPr>
            <w:tcW w:w="4300" w:type="dxa"/>
            <w:vAlign w:val="bottom"/>
            <w:gridSpan w:val="31"/>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360" w:type="dxa"/>
            <w:vAlign w:val="bottom"/>
          </w:tcPr>
          <w:p>
            <w:pPr>
              <w:spacing w:after="0"/>
              <w:rPr>
                <w:sz w:val="17"/>
                <w:szCs w:val="17"/>
                <w:color w:val="auto"/>
              </w:rPr>
            </w:pPr>
          </w:p>
        </w:tc>
        <w:tc>
          <w:tcPr>
            <w:tcW w:w="9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Section 5.13</w:t>
              </w:r>
            </w:hyperlink>
          </w:p>
        </w:tc>
        <w:tc>
          <w:tcPr>
            <w:tcW w:w="6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Waiver of Past Defaults</w:t>
              </w:r>
            </w:hyperlink>
          </w:p>
        </w:tc>
        <w:tc>
          <w:tcPr>
            <w:tcW w:w="3980" w:type="dxa"/>
            <w:vAlign w:val="bottom"/>
            <w:gridSpan w:val="26"/>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360" w:type="dxa"/>
            <w:vAlign w:val="bottom"/>
          </w:tcPr>
          <w:p>
            <w:pPr>
              <w:spacing w:after="0"/>
              <w:rPr>
                <w:sz w:val="17"/>
                <w:szCs w:val="17"/>
                <w:color w:val="auto"/>
              </w:rPr>
            </w:pPr>
          </w:p>
        </w:tc>
        <w:tc>
          <w:tcPr>
            <w:tcW w:w="940" w:type="dxa"/>
            <w:vAlign w:val="bottom"/>
            <w:gridSpan w:val="4"/>
          </w:tcPr>
          <w:p>
            <w:pPr>
              <w:spacing w:after="0" w:line="19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Section 5.14</w:t>
              </w:r>
            </w:hyperlink>
          </w:p>
        </w:tc>
        <w:tc>
          <w:tcPr>
            <w:tcW w:w="6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5700" w:type="dxa"/>
            <w:vAlign w:val="bottom"/>
            <w:gridSpan w:val="36"/>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Undertaking for Costs</w:t>
              </w:r>
            </w:hyperlink>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Section 5.15</w:t>
              </w:r>
            </w:hyperlink>
          </w:p>
        </w:tc>
        <w:tc>
          <w:tcPr>
            <w:tcW w:w="6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30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Waiver of Usury, Stay or Extension Laws</w:t>
              </w:r>
            </w:hyperlink>
          </w:p>
        </w:tc>
        <w:tc>
          <w:tcPr>
            <w:tcW w:w="2700" w:type="dxa"/>
            <w:vAlign w:val="bottom"/>
            <w:gridSpan w:val="16"/>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304"/>
        </w:trPr>
        <w:tc>
          <w:tcPr>
            <w:tcW w:w="2220" w:type="dxa"/>
            <w:vAlign w:val="bottom"/>
            <w:tcBorders>
              <w:bottom w:val="single" w:sz="8" w:color="0000EE"/>
            </w:tcBorders>
            <w:gridSpan w:val="9"/>
          </w:tcPr>
          <w:p>
            <w:pPr>
              <w:spacing w:after="0"/>
              <w:rPr>
                <w:rFonts w:ascii="Arial" w:cs="Arial" w:eastAsia="Arial" w:hAnsi="Arial"/>
                <w:sz w:val="18"/>
                <w:szCs w:val="18"/>
                <w:color w:val="0000EE"/>
                <w:w w:val="96"/>
              </w:rPr>
            </w:pPr>
            <w:hyperlink w:anchor="page87">
              <w:r>
                <w:rPr>
                  <w:rFonts w:ascii="Arial" w:cs="Arial" w:eastAsia="Arial" w:hAnsi="Arial"/>
                  <w:sz w:val="18"/>
                  <w:szCs w:val="18"/>
                  <w:color w:val="0000EE"/>
                  <w:w w:val="96"/>
                </w:rPr>
                <w:t>ARTICLE VI THE TRUSTEE</w:t>
              </w:r>
            </w:hyperlink>
          </w:p>
        </w:tc>
        <w:tc>
          <w:tcPr>
            <w:tcW w:w="5420" w:type="dxa"/>
            <w:vAlign w:val="bottom"/>
            <w:gridSpan w:val="35"/>
          </w:tcPr>
          <w:p>
            <w:pPr>
              <w:spacing w:after="0"/>
              <w:rPr>
                <w:sz w:val="24"/>
                <w:szCs w:val="24"/>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360" w:type="dxa"/>
            <w:vAlign w:val="bottom"/>
          </w:tcPr>
          <w:p>
            <w:pPr>
              <w:spacing w:after="0"/>
              <w:rPr>
                <w:sz w:val="24"/>
                <w:szCs w:val="24"/>
                <w:color w:val="auto"/>
              </w:rPr>
            </w:pPr>
          </w:p>
        </w:tc>
        <w:tc>
          <w:tcPr>
            <w:tcW w:w="820" w:type="dxa"/>
            <w:vAlign w:val="bottom"/>
            <w:tcBorders>
              <w:bottom w:val="single" w:sz="8" w:color="0000EE"/>
            </w:tcBorders>
          </w:tcPr>
          <w:p>
            <w:pPr>
              <w:spacing w:after="0"/>
              <w:rPr>
                <w:rFonts w:ascii="Arial" w:cs="Arial" w:eastAsia="Arial" w:hAnsi="Arial"/>
                <w:sz w:val="18"/>
                <w:szCs w:val="18"/>
                <w:color w:val="0000EE"/>
                <w:w w:val="86"/>
              </w:rPr>
            </w:pPr>
            <w:hyperlink w:anchor="page87">
              <w:r>
                <w:rPr>
                  <w:rFonts w:ascii="Arial" w:cs="Arial" w:eastAsia="Arial" w:hAnsi="Arial"/>
                  <w:sz w:val="18"/>
                  <w:szCs w:val="18"/>
                  <w:color w:val="0000EE"/>
                  <w:w w:val="86"/>
                </w:rPr>
                <w:t>Section 6.1</w:t>
              </w:r>
            </w:hyperlink>
          </w:p>
        </w:tc>
        <w:tc>
          <w:tcPr>
            <w:tcW w:w="72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87">
              <w:r>
                <w:rPr>
                  <w:rFonts w:ascii="Arial" w:cs="Arial" w:eastAsia="Arial" w:hAnsi="Arial"/>
                  <w:sz w:val="18"/>
                  <w:szCs w:val="18"/>
                  <w:color w:val="0000EE"/>
                  <w:w w:val="91"/>
                </w:rPr>
                <w:t>Certain Duties and Responsibilities</w:t>
              </w:r>
            </w:hyperlink>
          </w:p>
        </w:tc>
        <w:tc>
          <w:tcPr>
            <w:tcW w:w="3100" w:type="dxa"/>
            <w:vAlign w:val="bottom"/>
            <w:gridSpan w:val="19"/>
          </w:tcPr>
          <w:p>
            <w:pPr>
              <w:spacing w:after="0"/>
              <w:rPr>
                <w:sz w:val="24"/>
                <w:szCs w:val="24"/>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87">
              <w:r>
                <w:rPr>
                  <w:rFonts w:ascii="Arial" w:cs="Arial" w:eastAsia="Arial" w:hAnsi="Arial"/>
                  <w:sz w:val="18"/>
                  <w:szCs w:val="18"/>
                  <w:color w:val="0000EE"/>
                  <w:w w:val="86"/>
                </w:rPr>
                <w:t>Section 6.2</w:t>
              </w:r>
            </w:hyperlink>
          </w:p>
        </w:tc>
        <w:tc>
          <w:tcPr>
            <w:tcW w:w="7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87">
              <w:r>
                <w:rPr>
                  <w:rFonts w:ascii="Arial" w:cs="Arial" w:eastAsia="Arial" w:hAnsi="Arial"/>
                  <w:sz w:val="18"/>
                  <w:szCs w:val="18"/>
                  <w:color w:val="0000EE"/>
                  <w:w w:val="92"/>
                </w:rPr>
                <w:t>Notice of Defaults</w:t>
              </w:r>
            </w:hyperlink>
          </w:p>
        </w:tc>
        <w:tc>
          <w:tcPr>
            <w:tcW w:w="4360" w:type="dxa"/>
            <w:vAlign w:val="bottom"/>
            <w:gridSpan w:val="33"/>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3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color w:val="0000EE"/>
                <w:w w:val="86"/>
              </w:rPr>
            </w:pPr>
            <w:hyperlink w:anchor="page87">
              <w:r>
                <w:rPr>
                  <w:rFonts w:ascii="Arial" w:cs="Arial" w:eastAsia="Arial" w:hAnsi="Arial"/>
                  <w:sz w:val="18"/>
                  <w:szCs w:val="18"/>
                  <w:color w:val="0000EE"/>
                  <w:w w:val="86"/>
                </w:rPr>
                <w:t>Section 6.3</w:t>
              </w:r>
            </w:hyperlink>
          </w:p>
        </w:tc>
        <w:tc>
          <w:tcPr>
            <w:tcW w:w="7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5700" w:type="dxa"/>
            <w:vAlign w:val="bottom"/>
            <w:gridSpan w:val="36"/>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Certain Rights of Trustee</w:t>
              </w:r>
            </w:hyperlink>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88">
              <w:r>
                <w:rPr>
                  <w:rFonts w:ascii="Arial" w:cs="Arial" w:eastAsia="Arial" w:hAnsi="Arial"/>
                  <w:sz w:val="18"/>
                  <w:szCs w:val="18"/>
                  <w:color w:val="0000EE"/>
                  <w:w w:val="86"/>
                </w:rPr>
                <w:t>Section 6.4</w:t>
              </w:r>
            </w:hyperlink>
          </w:p>
        </w:tc>
        <w:tc>
          <w:tcPr>
            <w:tcW w:w="7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39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Not Responsible for Recitals or Issuance of Securities</w:t>
              </w:r>
            </w:hyperlink>
          </w:p>
        </w:tc>
        <w:tc>
          <w:tcPr>
            <w:tcW w:w="1800" w:type="dxa"/>
            <w:vAlign w:val="bottom"/>
            <w:gridSpan w:val="11"/>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88">
              <w:r>
                <w:rPr>
                  <w:rFonts w:ascii="Arial" w:cs="Arial" w:eastAsia="Arial" w:hAnsi="Arial"/>
                  <w:sz w:val="18"/>
                  <w:szCs w:val="18"/>
                  <w:color w:val="0000EE"/>
                  <w:w w:val="86"/>
                </w:rPr>
                <w:t>Section 6.5</w:t>
              </w:r>
            </w:hyperlink>
          </w:p>
        </w:tc>
        <w:tc>
          <w:tcPr>
            <w:tcW w:w="7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88">
              <w:r>
                <w:rPr>
                  <w:rFonts w:ascii="Arial" w:cs="Arial" w:eastAsia="Arial" w:hAnsi="Arial"/>
                  <w:sz w:val="18"/>
                  <w:szCs w:val="18"/>
                  <w:color w:val="0000EE"/>
                  <w:w w:val="92"/>
                </w:rPr>
                <w:t>May Hold Securities</w:t>
              </w:r>
            </w:hyperlink>
          </w:p>
        </w:tc>
        <w:tc>
          <w:tcPr>
            <w:tcW w:w="4200" w:type="dxa"/>
            <w:vAlign w:val="bottom"/>
            <w:gridSpan w:val="28"/>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88">
              <w:r>
                <w:rPr>
                  <w:rFonts w:ascii="Arial" w:cs="Arial" w:eastAsia="Arial" w:hAnsi="Arial"/>
                  <w:sz w:val="18"/>
                  <w:szCs w:val="18"/>
                  <w:color w:val="0000EE"/>
                  <w:w w:val="86"/>
                </w:rPr>
                <w:t>Section 6.6</w:t>
              </w:r>
            </w:hyperlink>
          </w:p>
        </w:tc>
        <w:tc>
          <w:tcPr>
            <w:tcW w:w="7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88">
              <w:r>
                <w:rPr>
                  <w:rFonts w:ascii="Arial" w:cs="Arial" w:eastAsia="Arial" w:hAnsi="Arial"/>
                  <w:sz w:val="18"/>
                  <w:szCs w:val="18"/>
                  <w:color w:val="0000EE"/>
                  <w:w w:val="95"/>
                </w:rPr>
                <w:t>Money Held in Trust</w:t>
              </w:r>
            </w:hyperlink>
          </w:p>
        </w:tc>
        <w:tc>
          <w:tcPr>
            <w:tcW w:w="4120" w:type="dxa"/>
            <w:vAlign w:val="bottom"/>
            <w:gridSpan w:val="27"/>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89">
              <w:r>
                <w:rPr>
                  <w:rFonts w:ascii="Arial" w:cs="Arial" w:eastAsia="Arial" w:hAnsi="Arial"/>
                  <w:sz w:val="18"/>
                  <w:szCs w:val="18"/>
                  <w:color w:val="0000EE"/>
                  <w:w w:val="86"/>
                </w:rPr>
                <w:t>Section 6.7</w:t>
              </w:r>
            </w:hyperlink>
          </w:p>
        </w:tc>
        <w:tc>
          <w:tcPr>
            <w:tcW w:w="7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25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89">
              <w:r>
                <w:rPr>
                  <w:rFonts w:ascii="Arial" w:cs="Arial" w:eastAsia="Arial" w:hAnsi="Arial"/>
                  <w:sz w:val="18"/>
                  <w:szCs w:val="18"/>
                  <w:color w:val="0000EE"/>
                  <w:w w:val="88"/>
                </w:rPr>
                <w:t>Compensation and Reimbursement</w:t>
              </w:r>
            </w:hyperlink>
          </w:p>
        </w:tc>
        <w:tc>
          <w:tcPr>
            <w:tcW w:w="3160" w:type="dxa"/>
            <w:vAlign w:val="bottom"/>
            <w:gridSpan w:val="20"/>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3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color w:val="0000EE"/>
                <w:w w:val="86"/>
              </w:rPr>
            </w:pPr>
            <w:hyperlink w:anchor="page89">
              <w:r>
                <w:rPr>
                  <w:rFonts w:ascii="Arial" w:cs="Arial" w:eastAsia="Arial" w:hAnsi="Arial"/>
                  <w:sz w:val="18"/>
                  <w:szCs w:val="18"/>
                  <w:color w:val="0000EE"/>
                  <w:w w:val="86"/>
                </w:rPr>
                <w:t>Section 6.8</w:t>
              </w:r>
            </w:hyperlink>
          </w:p>
        </w:tc>
        <w:tc>
          <w:tcPr>
            <w:tcW w:w="7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5700" w:type="dxa"/>
            <w:vAlign w:val="bottom"/>
            <w:gridSpan w:val="36"/>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Conflicting Interests</w:t>
              </w:r>
            </w:hyperlink>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89">
              <w:r>
                <w:rPr>
                  <w:rFonts w:ascii="Arial" w:cs="Arial" w:eastAsia="Arial" w:hAnsi="Arial"/>
                  <w:sz w:val="18"/>
                  <w:szCs w:val="18"/>
                  <w:color w:val="0000EE"/>
                  <w:w w:val="86"/>
                </w:rPr>
                <w:t>Section 6.9</w:t>
              </w:r>
            </w:hyperlink>
          </w:p>
        </w:tc>
        <w:tc>
          <w:tcPr>
            <w:tcW w:w="7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284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89">
              <w:r>
                <w:rPr>
                  <w:rFonts w:ascii="Arial" w:cs="Arial" w:eastAsia="Arial" w:hAnsi="Arial"/>
                  <w:sz w:val="18"/>
                  <w:szCs w:val="18"/>
                  <w:color w:val="0000EE"/>
                  <w:w w:val="92"/>
                </w:rPr>
                <w:t>Corporate Trustee Required; Eligibility</w:t>
              </w:r>
            </w:hyperlink>
          </w:p>
        </w:tc>
        <w:tc>
          <w:tcPr>
            <w:tcW w:w="2860" w:type="dxa"/>
            <w:vAlign w:val="bottom"/>
            <w:gridSpan w:val="17"/>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36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Section 6.10</w:t>
              </w:r>
            </w:hyperlink>
          </w:p>
        </w:tc>
        <w:tc>
          <w:tcPr>
            <w:tcW w:w="62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388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Resignation and Removal; Appointment of Successor</w:t>
              </w:r>
            </w:hyperlink>
          </w:p>
        </w:tc>
        <w:tc>
          <w:tcPr>
            <w:tcW w:w="1820" w:type="dxa"/>
            <w:vAlign w:val="bottom"/>
            <w:gridSpan w:val="12"/>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3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color w:val="0000EE"/>
                <w:w w:val="87"/>
              </w:rPr>
            </w:pPr>
            <w:hyperlink w:anchor="page91">
              <w:r>
                <w:rPr>
                  <w:rFonts w:ascii="Arial" w:cs="Arial" w:eastAsia="Arial" w:hAnsi="Arial"/>
                  <w:sz w:val="18"/>
                  <w:szCs w:val="18"/>
                  <w:color w:val="0000EE"/>
                  <w:w w:val="87"/>
                </w:rPr>
                <w:t>Section 6.11</w:t>
              </w:r>
            </w:hyperlink>
          </w:p>
        </w:tc>
        <w:tc>
          <w:tcPr>
            <w:tcW w:w="64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c>
          <w:tcPr>
            <w:tcW w:w="5700" w:type="dxa"/>
            <w:vAlign w:val="bottom"/>
            <w:gridSpan w:val="36"/>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Acceptance of Appointment by Successor</w:t>
              </w:r>
            </w:hyperlink>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00" w:type="dxa"/>
            <w:vAlign w:val="bottom"/>
            <w:tcBorders>
              <w:right w:val="single" w:sz="8" w:color="0000EE"/>
            </w:tcBorders>
            <w:gridSpan w:val="5"/>
            <w:shd w:val="clear" w:color="auto" w:fill="0000EE"/>
          </w:tcPr>
          <w:p>
            <w:pPr>
              <w:spacing w:after="0" w:line="20" w:lineRule="exact"/>
              <w:rPr>
                <w:sz w:val="1"/>
                <w:szCs w:val="1"/>
                <w:color w:val="auto"/>
              </w:rPr>
            </w:pPr>
          </w:p>
        </w:tc>
        <w:tc>
          <w:tcPr>
            <w:tcW w:w="1180" w:type="dxa"/>
            <w:vAlign w:val="bottom"/>
            <w:tcBorders>
              <w:left w:val="single" w:sz="8" w:color="0000EE"/>
            </w:tcBorders>
            <w:gridSpan w:val="9"/>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92">
              <w:r>
                <w:rPr>
                  <w:rFonts w:ascii="Arial" w:cs="Arial" w:eastAsia="Arial" w:hAnsi="Arial"/>
                  <w:sz w:val="18"/>
                  <w:szCs w:val="18"/>
                  <w:color w:val="0000EE"/>
                  <w:w w:val="91"/>
                </w:rPr>
                <w:t>Section 6.12</w:t>
              </w:r>
            </w:hyperlink>
          </w:p>
        </w:tc>
        <w:tc>
          <w:tcPr>
            <w:tcW w:w="6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446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Merger, Conversion, Consolidation or Succession to Business</w:t>
              </w:r>
            </w:hyperlink>
          </w:p>
        </w:tc>
        <w:tc>
          <w:tcPr>
            <w:tcW w:w="1240" w:type="dxa"/>
            <w:vAlign w:val="bottom"/>
            <w:gridSpan w:val="7"/>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360" w:type="dxa"/>
            <w:vAlign w:val="bottom"/>
          </w:tcPr>
          <w:p>
            <w:pPr>
              <w:spacing w:after="0"/>
              <w:rPr>
                <w:sz w:val="17"/>
                <w:szCs w:val="17"/>
                <w:color w:val="auto"/>
              </w:rPr>
            </w:pPr>
          </w:p>
        </w:tc>
        <w:tc>
          <w:tcPr>
            <w:tcW w:w="9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92">
              <w:r>
                <w:rPr>
                  <w:rFonts w:ascii="Arial" w:cs="Arial" w:eastAsia="Arial" w:hAnsi="Arial"/>
                  <w:sz w:val="18"/>
                  <w:szCs w:val="18"/>
                  <w:color w:val="0000EE"/>
                  <w:w w:val="91"/>
                </w:rPr>
                <w:t>Section 6.13</w:t>
              </w:r>
            </w:hyperlink>
          </w:p>
        </w:tc>
        <w:tc>
          <w:tcPr>
            <w:tcW w:w="6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5700" w:type="dxa"/>
            <w:vAlign w:val="bottom"/>
            <w:tcBorders>
              <w:bottom w:val="single" w:sz="8" w:color="0000EE"/>
            </w:tcBorders>
            <w:gridSpan w:val="36"/>
          </w:tcPr>
          <w:p>
            <w:pPr>
              <w:spacing w:after="0" w:line="196" w:lineRule="exact"/>
              <w:rPr>
                <w:rFonts w:ascii="Arial" w:cs="Arial" w:eastAsia="Arial" w:hAnsi="Arial"/>
                <w:sz w:val="18"/>
                <w:szCs w:val="18"/>
                <w:color w:val="0000EE"/>
                <w:w w:val="91"/>
              </w:rPr>
            </w:pPr>
            <w:hyperlink w:anchor="page92">
              <w:r>
                <w:rPr>
                  <w:rFonts w:ascii="Arial" w:cs="Arial" w:eastAsia="Arial" w:hAnsi="Arial"/>
                  <w:sz w:val="18"/>
                  <w:szCs w:val="18"/>
                  <w:color w:val="0000EE"/>
                  <w:w w:val="91"/>
                </w:rPr>
                <w:t>Preferential Collection of Claims Against Company and Subsidiary Guarantors</w:t>
              </w:r>
            </w:hyperlink>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360" w:type="dxa"/>
            <w:vAlign w:val="bottom"/>
          </w:tcPr>
          <w:p>
            <w:pPr>
              <w:spacing w:after="0"/>
              <w:rPr>
                <w:sz w:val="17"/>
                <w:szCs w:val="17"/>
                <w:color w:val="auto"/>
              </w:rPr>
            </w:pPr>
          </w:p>
        </w:tc>
        <w:tc>
          <w:tcPr>
            <w:tcW w:w="9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92">
              <w:r>
                <w:rPr>
                  <w:rFonts w:ascii="Arial" w:cs="Arial" w:eastAsia="Arial" w:hAnsi="Arial"/>
                  <w:sz w:val="18"/>
                  <w:szCs w:val="18"/>
                  <w:color w:val="0000EE"/>
                  <w:w w:val="91"/>
                </w:rPr>
                <w:t>Section 6.14</w:t>
              </w:r>
            </w:hyperlink>
          </w:p>
        </w:tc>
        <w:tc>
          <w:tcPr>
            <w:tcW w:w="6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76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92">
              <w:r>
                <w:rPr>
                  <w:rFonts w:ascii="Arial" w:cs="Arial" w:eastAsia="Arial" w:hAnsi="Arial"/>
                  <w:sz w:val="18"/>
                  <w:szCs w:val="18"/>
                  <w:color w:val="0000EE"/>
                  <w:w w:val="93"/>
                </w:rPr>
                <w:t>Appointment of Authenticating Agent</w:t>
              </w:r>
            </w:hyperlink>
          </w:p>
        </w:tc>
        <w:tc>
          <w:tcPr>
            <w:tcW w:w="2940" w:type="dxa"/>
            <w:vAlign w:val="bottom"/>
            <w:gridSpan w:val="18"/>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304"/>
        </w:trPr>
        <w:tc>
          <w:tcPr>
            <w:tcW w:w="7640" w:type="dxa"/>
            <w:vAlign w:val="bottom"/>
            <w:gridSpan w:val="44"/>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ARTICLE VII HOLDERS’ LISTS AND REPORTS BY TRUSTEE AND COMPANY</w:t>
              </w:r>
            </w:hyperlink>
          </w:p>
        </w:tc>
        <w:tc>
          <w:tcPr>
            <w:tcW w:w="3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5"/>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200" w:type="dxa"/>
            <w:vAlign w:val="bottom"/>
            <w:tcBorders>
              <w:right w:val="single" w:sz="8" w:color="0000EE"/>
            </w:tcBorders>
            <w:gridSpan w:val="5"/>
            <w:shd w:val="clear" w:color="auto" w:fill="0000EE"/>
          </w:tcPr>
          <w:p>
            <w:pPr>
              <w:spacing w:after="0" w:line="20" w:lineRule="exact"/>
              <w:rPr>
                <w:sz w:val="1"/>
                <w:szCs w:val="1"/>
                <w:color w:val="auto"/>
              </w:rPr>
            </w:pPr>
          </w:p>
        </w:tc>
        <w:tc>
          <w:tcPr>
            <w:tcW w:w="1920" w:type="dxa"/>
            <w:vAlign w:val="bottom"/>
            <w:tcBorders>
              <w:left w:val="single" w:sz="8" w:color="0000EE"/>
            </w:tcBorders>
            <w:gridSpan w:val="1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20" w:type="dxa"/>
            <w:vAlign w:val="bottom"/>
            <w:tcBorders>
              <w:bottom w:val="single" w:sz="8" w:color="0000EE"/>
            </w:tcBorders>
          </w:tcPr>
          <w:p>
            <w:pPr>
              <w:spacing w:after="0"/>
              <w:rPr>
                <w:rFonts w:ascii="Arial" w:cs="Arial" w:eastAsia="Arial" w:hAnsi="Arial"/>
                <w:sz w:val="18"/>
                <w:szCs w:val="18"/>
                <w:color w:val="0000EE"/>
                <w:w w:val="86"/>
              </w:rPr>
            </w:pPr>
            <w:hyperlink w:anchor="page94">
              <w:r>
                <w:rPr>
                  <w:rFonts w:ascii="Arial" w:cs="Arial" w:eastAsia="Arial" w:hAnsi="Arial"/>
                  <w:sz w:val="18"/>
                  <w:szCs w:val="18"/>
                  <w:color w:val="0000EE"/>
                  <w:w w:val="86"/>
                </w:rPr>
                <w:t>Section 7.1</w:t>
              </w:r>
            </w:hyperlink>
          </w:p>
        </w:tc>
        <w:tc>
          <w:tcPr>
            <w:tcW w:w="72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4520" w:type="dxa"/>
            <w:vAlign w:val="bottom"/>
            <w:tcBorders>
              <w:bottom w:val="single" w:sz="8" w:color="0000EE"/>
            </w:tcBorders>
            <w:gridSpan w:val="31"/>
          </w:tcPr>
          <w:p>
            <w:pPr>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Company to Furnish Trustee Names and Addresses of Holders</w:t>
              </w:r>
            </w:hyperlink>
          </w:p>
        </w:tc>
        <w:tc>
          <w:tcPr>
            <w:tcW w:w="1180" w:type="dxa"/>
            <w:vAlign w:val="bottom"/>
            <w:gridSpan w:val="5"/>
          </w:tcPr>
          <w:p>
            <w:pPr>
              <w:spacing w:after="0"/>
              <w:rPr>
                <w:sz w:val="24"/>
                <w:szCs w:val="24"/>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94">
              <w:r>
                <w:rPr>
                  <w:rFonts w:ascii="Arial" w:cs="Arial" w:eastAsia="Arial" w:hAnsi="Arial"/>
                  <w:sz w:val="18"/>
                  <w:szCs w:val="18"/>
                  <w:color w:val="0000EE"/>
                  <w:w w:val="86"/>
                </w:rPr>
                <w:t>Section 7.2</w:t>
              </w:r>
            </w:hyperlink>
          </w:p>
        </w:tc>
        <w:tc>
          <w:tcPr>
            <w:tcW w:w="7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414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w:anchor="page94">
              <w:r>
                <w:rPr>
                  <w:rFonts w:ascii="Arial" w:cs="Arial" w:eastAsia="Arial" w:hAnsi="Arial"/>
                  <w:sz w:val="18"/>
                  <w:szCs w:val="18"/>
                  <w:color w:val="0000EE"/>
                  <w:w w:val="92"/>
                </w:rPr>
                <w:t>Preservation of Information; Communications to Holders</w:t>
              </w:r>
            </w:hyperlink>
          </w:p>
        </w:tc>
        <w:tc>
          <w:tcPr>
            <w:tcW w:w="1560" w:type="dxa"/>
            <w:vAlign w:val="bottom"/>
            <w:gridSpan w:val="9"/>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94">
              <w:r>
                <w:rPr>
                  <w:rFonts w:ascii="Arial" w:cs="Arial" w:eastAsia="Arial" w:hAnsi="Arial"/>
                  <w:sz w:val="18"/>
                  <w:szCs w:val="18"/>
                  <w:color w:val="0000EE"/>
                  <w:w w:val="86"/>
                </w:rPr>
                <w:t>Section 7.3</w:t>
              </w:r>
            </w:hyperlink>
          </w:p>
        </w:tc>
        <w:tc>
          <w:tcPr>
            <w:tcW w:w="7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94">
              <w:r>
                <w:rPr>
                  <w:rFonts w:ascii="Arial" w:cs="Arial" w:eastAsia="Arial" w:hAnsi="Arial"/>
                  <w:sz w:val="18"/>
                  <w:szCs w:val="18"/>
                  <w:color w:val="0000EE"/>
                  <w:w w:val="88"/>
                </w:rPr>
                <w:t>Reports by Trustee</w:t>
              </w:r>
            </w:hyperlink>
          </w:p>
        </w:tc>
        <w:tc>
          <w:tcPr>
            <w:tcW w:w="4320" w:type="dxa"/>
            <w:vAlign w:val="bottom"/>
            <w:gridSpan w:val="32"/>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3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color w:val="0000EE"/>
                <w:w w:val="86"/>
              </w:rPr>
            </w:pPr>
            <w:hyperlink w:anchor="page95">
              <w:r>
                <w:rPr>
                  <w:rFonts w:ascii="Arial" w:cs="Arial" w:eastAsia="Arial" w:hAnsi="Arial"/>
                  <w:sz w:val="18"/>
                  <w:szCs w:val="18"/>
                  <w:color w:val="0000EE"/>
                  <w:w w:val="86"/>
                </w:rPr>
                <w:t>Section 7.4</w:t>
              </w:r>
            </w:hyperlink>
          </w:p>
        </w:tc>
        <w:tc>
          <w:tcPr>
            <w:tcW w:w="7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5700" w:type="dxa"/>
            <w:vAlign w:val="bottom"/>
            <w:gridSpan w:val="36"/>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Reports by Company and Subsidiary Guarantors</w:t>
              </w:r>
            </w:hyperlink>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580" w:type="dxa"/>
            <w:vAlign w:val="bottom"/>
            <w:tcBorders>
              <w:right w:val="single" w:sz="8" w:color="0000EE"/>
            </w:tcBorders>
            <w:gridSpan w:val="9"/>
            <w:shd w:val="clear" w:color="auto" w:fill="0000EE"/>
          </w:tcPr>
          <w:p>
            <w:pPr>
              <w:spacing w:after="0" w:line="20" w:lineRule="exact"/>
              <w:rPr>
                <w:sz w:val="1"/>
                <w:szCs w:val="1"/>
                <w:color w:val="auto"/>
              </w:rPr>
            </w:pPr>
          </w:p>
        </w:tc>
        <w:tc>
          <w:tcPr>
            <w:tcW w:w="1920" w:type="dxa"/>
            <w:vAlign w:val="bottom"/>
            <w:tcBorders>
              <w:left w:val="single" w:sz="8" w:color="0000EE"/>
            </w:tcBorders>
            <w:gridSpan w:val="13"/>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304"/>
        </w:trPr>
        <w:tc>
          <w:tcPr>
            <w:tcW w:w="7640" w:type="dxa"/>
            <w:vAlign w:val="bottom"/>
            <w:gridSpan w:val="44"/>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ARTICLE VIII CONSOLIDATION, MERGER, CONVEYANCE, TRANSFER OR LEASE</w:t>
              </w:r>
            </w:hyperlink>
          </w:p>
        </w:tc>
        <w:tc>
          <w:tcPr>
            <w:tcW w:w="3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3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rFonts w:ascii="Arial" w:cs="Arial" w:eastAsia="Arial" w:hAnsi="Arial"/>
                <w:sz w:val="18"/>
                <w:szCs w:val="18"/>
                <w:color w:val="0000EE"/>
                <w:w w:val="86"/>
              </w:rPr>
            </w:pPr>
            <w:hyperlink w:anchor="page95">
              <w:r>
                <w:rPr>
                  <w:rFonts w:ascii="Arial" w:cs="Arial" w:eastAsia="Arial" w:hAnsi="Arial"/>
                  <w:sz w:val="18"/>
                  <w:szCs w:val="18"/>
                  <w:color w:val="0000EE"/>
                  <w:w w:val="86"/>
                </w:rPr>
                <w:t>Section 8.1</w:t>
              </w:r>
            </w:hyperlink>
          </w:p>
        </w:tc>
        <w:tc>
          <w:tcPr>
            <w:tcW w:w="720" w:type="dxa"/>
            <w:vAlign w:val="bottom"/>
            <w:tcBorders>
              <w:top w:val="single" w:sz="8" w:color="0000EE"/>
            </w:tcBorders>
            <w:gridSpan w:val="5"/>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760" w:type="dxa"/>
            <w:vAlign w:val="bottom"/>
            <w:tcBorders>
              <w:top w:val="single" w:sz="8" w:color="0000EE"/>
            </w:tcBorders>
            <w:gridSpan w:val="33"/>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Company May Consolidate, Etc., Only on Certain Terms</w:t>
              </w:r>
            </w:hyperlink>
          </w:p>
        </w:tc>
        <w:tc>
          <w:tcPr>
            <w:tcW w:w="940" w:type="dxa"/>
            <w:vAlign w:val="bottom"/>
            <w:gridSpan w:val="3"/>
          </w:tcPr>
          <w:p>
            <w:pPr>
              <w:spacing w:after="0"/>
              <w:rPr>
                <w:sz w:val="24"/>
                <w:szCs w:val="24"/>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Borders>
              <w:right w:val="single" w:sz="8" w:color="0000EE"/>
            </w:tcBorders>
            <w:gridSpan w:val="9"/>
            <w:shd w:val="clear" w:color="auto" w:fill="0000EE"/>
          </w:tcPr>
          <w:p>
            <w:pPr>
              <w:spacing w:after="0" w:line="20" w:lineRule="exact"/>
              <w:rPr>
                <w:sz w:val="1"/>
                <w:szCs w:val="1"/>
                <w:color w:val="auto"/>
              </w:rPr>
            </w:pPr>
          </w:p>
        </w:tc>
        <w:tc>
          <w:tcPr>
            <w:tcW w:w="2520" w:type="dxa"/>
            <w:vAlign w:val="bottom"/>
            <w:tcBorders>
              <w:left w:val="single" w:sz="8" w:color="0000EE"/>
            </w:tcBorders>
            <w:gridSpan w:val="17"/>
            <w:shd w:val="clear" w:color="auto" w:fill="0000EE"/>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color w:val="0000EE"/>
                <w:w w:val="86"/>
              </w:rPr>
            </w:pPr>
            <w:hyperlink w:anchor="page96">
              <w:r>
                <w:rPr>
                  <w:rFonts w:ascii="Arial" w:cs="Arial" w:eastAsia="Arial" w:hAnsi="Arial"/>
                  <w:sz w:val="18"/>
                  <w:szCs w:val="18"/>
                  <w:color w:val="0000EE"/>
                  <w:w w:val="86"/>
                </w:rPr>
                <w:t>Section 8.2</w:t>
              </w:r>
            </w:hyperlink>
          </w:p>
        </w:tc>
        <w:tc>
          <w:tcPr>
            <w:tcW w:w="7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5700" w:type="dxa"/>
            <w:vAlign w:val="bottom"/>
            <w:gridSpan w:val="36"/>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Subsidiary Guarantors May Consolidate, Etc., Only on Certain Terms</w:t>
              </w:r>
            </w:hyperlink>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360" w:type="dxa"/>
            <w:vAlign w:val="bottom"/>
          </w:tcPr>
          <w:p>
            <w:pPr>
              <w:spacing w:after="0"/>
              <w:rPr>
                <w:sz w:val="17"/>
                <w:szCs w:val="17"/>
                <w:color w:val="auto"/>
              </w:rPr>
            </w:pPr>
          </w:p>
        </w:tc>
        <w:tc>
          <w:tcPr>
            <w:tcW w:w="820" w:type="dxa"/>
            <w:vAlign w:val="bottom"/>
            <w:tcBorders>
              <w:top w:val="single" w:sz="8" w:color="0000EE"/>
            </w:tcBorders>
          </w:tcPr>
          <w:p>
            <w:pPr>
              <w:spacing w:after="0" w:line="196" w:lineRule="exact"/>
              <w:rPr>
                <w:rFonts w:ascii="Arial" w:cs="Arial" w:eastAsia="Arial" w:hAnsi="Arial"/>
                <w:sz w:val="18"/>
                <w:szCs w:val="18"/>
                <w:color w:val="0000EE"/>
                <w:w w:val="86"/>
              </w:rPr>
            </w:pPr>
            <w:hyperlink w:anchor="page96">
              <w:r>
                <w:rPr>
                  <w:rFonts w:ascii="Arial" w:cs="Arial" w:eastAsia="Arial" w:hAnsi="Arial"/>
                  <w:sz w:val="18"/>
                  <w:szCs w:val="18"/>
                  <w:color w:val="0000EE"/>
                  <w:w w:val="86"/>
                </w:rPr>
                <w:t>Section 8.3</w:t>
              </w:r>
            </w:hyperlink>
          </w:p>
        </w:tc>
        <w:tc>
          <w:tcPr>
            <w:tcW w:w="7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502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Successor Substituted</w:t>
              </w:r>
            </w:hyperlink>
          </w:p>
        </w:tc>
        <w:tc>
          <w:tcPr>
            <w:tcW w:w="680" w:type="dxa"/>
            <w:vAlign w:val="bottom"/>
            <w:gridSpan w:val="2"/>
          </w:tcPr>
          <w:p>
            <w:pPr>
              <w:spacing w:after="0"/>
              <w:rPr>
                <w:sz w:val="17"/>
                <w:szCs w:val="17"/>
                <w:color w:val="auto"/>
              </w:rPr>
            </w:pPr>
          </w:p>
        </w:tc>
        <w:tc>
          <w:tcPr>
            <w:tcW w:w="33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80"/>
          </w:cols>
          <w:pgMar w:left="24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3600" w:type="dxa"/>
            <w:vAlign w:val="bottom"/>
            <w:tcBorders>
              <w:bottom w:val="single" w:sz="8" w:color="0000EE"/>
            </w:tcBorders>
            <w:gridSpan w:val="11"/>
          </w:tcPr>
          <w:p>
            <w:pPr>
              <w:spacing w:after="0" w:line="190" w:lineRule="exact"/>
              <w:rPr>
                <w:rFonts w:ascii="Arial" w:cs="Arial" w:eastAsia="Arial" w:hAnsi="Arial"/>
                <w:sz w:val="18"/>
                <w:szCs w:val="18"/>
                <w:color w:val="0000EE"/>
                <w:w w:val="96"/>
              </w:rPr>
            </w:pPr>
            <w:hyperlink w:anchor="page97">
              <w:r>
                <w:rPr>
                  <w:rFonts w:ascii="Arial" w:cs="Arial" w:eastAsia="Arial" w:hAnsi="Arial"/>
                  <w:sz w:val="18"/>
                  <w:szCs w:val="18"/>
                  <w:color w:val="0000EE"/>
                  <w:w w:val="96"/>
                </w:rPr>
                <w:t>ARTICLE IX SUPPLEMENTAL INDENTURES</w:t>
              </w:r>
            </w:hyperlink>
          </w:p>
        </w:tc>
        <w:tc>
          <w:tcPr>
            <w:tcW w:w="5060" w:type="dxa"/>
            <w:vAlign w:val="bottom"/>
            <w:gridSpan w:val="22"/>
          </w:tcPr>
          <w:p>
            <w:pPr>
              <w:spacing w:after="0"/>
              <w:rPr>
                <w:sz w:val="16"/>
                <w:szCs w:val="16"/>
                <w:color w:val="auto"/>
              </w:rPr>
            </w:pPr>
          </w:p>
        </w:tc>
        <w:tc>
          <w:tcPr>
            <w:tcW w:w="2320" w:type="dxa"/>
            <w:vAlign w:val="bottom"/>
          </w:tcPr>
          <w:p>
            <w:pPr>
              <w:jc w:val="right"/>
              <w:spacing w:after="0" w:line="190" w:lineRule="exact"/>
              <w:rPr>
                <w:sz w:val="20"/>
                <w:szCs w:val="20"/>
                <w:color w:val="auto"/>
              </w:rPr>
            </w:pPr>
            <w:r>
              <w:rPr>
                <w:rFonts w:ascii="Arial" w:cs="Arial" w:eastAsia="Arial" w:hAnsi="Arial"/>
                <w:sz w:val="18"/>
                <w:szCs w:val="18"/>
                <w:color w:val="auto"/>
              </w:rPr>
              <w:t>48</w:t>
            </w:r>
          </w:p>
        </w:tc>
      </w:tr>
      <w:tr>
        <w:trPr>
          <w:trHeight w:val="304"/>
        </w:trPr>
        <w:tc>
          <w:tcPr>
            <w:tcW w:w="360" w:type="dxa"/>
            <w:vAlign w:val="bottom"/>
          </w:tcPr>
          <w:p>
            <w:pPr>
              <w:spacing w:after="0"/>
              <w:rPr>
                <w:sz w:val="24"/>
                <w:szCs w:val="24"/>
                <w:color w:val="auto"/>
              </w:rPr>
            </w:pPr>
          </w:p>
        </w:tc>
        <w:tc>
          <w:tcPr>
            <w:tcW w:w="820" w:type="dxa"/>
            <w:vAlign w:val="bottom"/>
            <w:tcBorders>
              <w:bottom w:val="single" w:sz="8" w:color="0000EE"/>
            </w:tcBorders>
          </w:tcPr>
          <w:p>
            <w:pPr>
              <w:spacing w:after="0"/>
              <w:rPr>
                <w:rFonts w:ascii="Arial" w:cs="Arial" w:eastAsia="Arial" w:hAnsi="Arial"/>
                <w:sz w:val="18"/>
                <w:szCs w:val="18"/>
                <w:color w:val="0000EE"/>
                <w:w w:val="88"/>
              </w:rPr>
            </w:pPr>
            <w:hyperlink w:anchor="page97">
              <w:r>
                <w:rPr>
                  <w:rFonts w:ascii="Arial" w:cs="Arial" w:eastAsia="Arial" w:hAnsi="Arial"/>
                  <w:sz w:val="18"/>
                  <w:szCs w:val="18"/>
                  <w:color w:val="0000EE"/>
                  <w:w w:val="88"/>
                </w:rPr>
                <w:t>Section 9.1</w:t>
              </w:r>
            </w:hyperlink>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8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Supplemental Indentures Without Consent of Holders</w:t>
              </w:r>
            </w:hyperlink>
          </w:p>
        </w:tc>
        <w:tc>
          <w:tcPr>
            <w:tcW w:w="2840" w:type="dxa"/>
            <w:vAlign w:val="bottom"/>
            <w:gridSpan w:val="3"/>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196"/>
        </w:trPr>
        <w:tc>
          <w:tcPr>
            <w:tcW w:w="360" w:type="dxa"/>
            <w:vAlign w:val="bottom"/>
          </w:tcPr>
          <w:p>
            <w:pPr>
              <w:spacing w:after="0"/>
              <w:rPr>
                <w:sz w:val="17"/>
                <w:szCs w:val="17"/>
                <w:color w:val="auto"/>
              </w:rPr>
            </w:pPr>
          </w:p>
        </w:tc>
        <w:tc>
          <w:tcPr>
            <w:tcW w:w="820" w:type="dxa"/>
            <w:vAlign w:val="bottom"/>
          </w:tcPr>
          <w:p>
            <w:pPr>
              <w:spacing w:after="0" w:line="196" w:lineRule="exact"/>
              <w:rPr>
                <w:rFonts w:ascii="Arial" w:cs="Arial" w:eastAsia="Arial" w:hAnsi="Arial"/>
                <w:sz w:val="18"/>
                <w:szCs w:val="18"/>
                <w:color w:val="0000EE"/>
                <w:w w:val="88"/>
              </w:rPr>
            </w:pPr>
            <w:hyperlink w:anchor="page98">
              <w:r>
                <w:rPr>
                  <w:rFonts w:ascii="Arial" w:cs="Arial" w:eastAsia="Arial" w:hAnsi="Arial"/>
                  <w:sz w:val="18"/>
                  <w:szCs w:val="18"/>
                  <w:color w:val="0000EE"/>
                  <w:w w:val="88"/>
                </w:rPr>
                <w:t>Section 9.2</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720" w:type="dxa"/>
            <w:vAlign w:val="bottom"/>
            <w:gridSpan w:val="29"/>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Supplemental Indentures With Consent of Holders</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36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99">
              <w:r>
                <w:rPr>
                  <w:rFonts w:ascii="Arial" w:cs="Arial" w:eastAsia="Arial" w:hAnsi="Arial"/>
                  <w:sz w:val="18"/>
                  <w:szCs w:val="18"/>
                  <w:color w:val="0000EE"/>
                  <w:w w:val="88"/>
                </w:rPr>
                <w:t>Section 9.3</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Execution of Supplemental Indentures</w:t>
              </w:r>
            </w:hyperlink>
          </w:p>
        </w:tc>
        <w:tc>
          <w:tcPr>
            <w:tcW w:w="880" w:type="dxa"/>
            <w:vAlign w:val="bottom"/>
            <w:tcBorders>
              <w:top w:val="single" w:sz="8" w:color="0000EE"/>
            </w:tcBorders>
            <w:gridSpan w:val="4"/>
          </w:tcPr>
          <w:p>
            <w:pPr>
              <w:spacing w:after="0"/>
              <w:rPr>
                <w:sz w:val="17"/>
                <w:szCs w:val="17"/>
                <w:color w:val="auto"/>
              </w:rPr>
            </w:pPr>
          </w:p>
        </w:tc>
        <w:tc>
          <w:tcPr>
            <w:tcW w:w="3060" w:type="dxa"/>
            <w:vAlign w:val="bottom"/>
            <w:gridSpan w:val="6"/>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00">
              <w:r>
                <w:rPr>
                  <w:rFonts w:ascii="Arial" w:cs="Arial" w:eastAsia="Arial" w:hAnsi="Arial"/>
                  <w:sz w:val="18"/>
                  <w:szCs w:val="18"/>
                  <w:color w:val="0000EE"/>
                  <w:w w:val="88"/>
                </w:rPr>
                <w:t>Section 9.4</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00">
              <w:r>
                <w:rPr>
                  <w:rFonts w:ascii="Arial" w:cs="Arial" w:eastAsia="Arial" w:hAnsi="Arial"/>
                  <w:sz w:val="18"/>
                  <w:szCs w:val="18"/>
                  <w:color w:val="0000EE"/>
                  <w:w w:val="90"/>
                </w:rPr>
                <w:t>Effect of Supplemental Indentures</w:t>
              </w:r>
            </w:hyperlink>
          </w:p>
        </w:tc>
        <w:tc>
          <w:tcPr>
            <w:tcW w:w="4240" w:type="dxa"/>
            <w:vAlign w:val="bottom"/>
            <w:gridSpan w:val="15"/>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00">
              <w:r>
                <w:rPr>
                  <w:rFonts w:ascii="Arial" w:cs="Arial" w:eastAsia="Arial" w:hAnsi="Arial"/>
                  <w:sz w:val="18"/>
                  <w:szCs w:val="18"/>
                  <w:color w:val="0000EE"/>
                  <w:w w:val="88"/>
                </w:rPr>
                <w:t>Section 9.5</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8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w:anchor="page100">
              <w:r>
                <w:rPr>
                  <w:rFonts w:ascii="Arial" w:cs="Arial" w:eastAsia="Arial" w:hAnsi="Arial"/>
                  <w:sz w:val="18"/>
                  <w:szCs w:val="18"/>
                  <w:color w:val="0000EE"/>
                  <w:w w:val="94"/>
                </w:rPr>
                <w:t>Conformity with Trust Indenture Act</w:t>
              </w:r>
            </w:hyperlink>
          </w:p>
        </w:tc>
        <w:tc>
          <w:tcPr>
            <w:tcW w:w="4040" w:type="dxa"/>
            <w:vAlign w:val="bottom"/>
            <w:gridSpan w:val="12"/>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00">
              <w:r>
                <w:rPr>
                  <w:rFonts w:ascii="Arial" w:cs="Arial" w:eastAsia="Arial" w:hAnsi="Arial"/>
                  <w:sz w:val="18"/>
                  <w:szCs w:val="18"/>
                  <w:color w:val="0000EE"/>
                  <w:w w:val="88"/>
                </w:rPr>
                <w:t>Section 9.6</w:t>
              </w:r>
            </w:hyperlink>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72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Reference in Securities to Supplemental Indentures</w:t>
              </w:r>
            </w:hyperlink>
          </w:p>
        </w:tc>
        <w:tc>
          <w:tcPr>
            <w:tcW w:w="3000" w:type="dxa"/>
            <w:vAlign w:val="bottom"/>
            <w:gridSpan w:val="4"/>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304"/>
        </w:trPr>
        <w:tc>
          <w:tcPr>
            <w:tcW w:w="8660" w:type="dxa"/>
            <w:vAlign w:val="bottom"/>
            <w:gridSpan w:val="33"/>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ARTICLE X COVENANTS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3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color w:val="0000EE"/>
                <w:w w:val="85"/>
              </w:rPr>
            </w:pPr>
            <w:hyperlink w:anchor="page100">
              <w:r>
                <w:rPr>
                  <w:rFonts w:ascii="Arial" w:cs="Arial" w:eastAsia="Arial" w:hAnsi="Arial"/>
                  <w:sz w:val="18"/>
                  <w:szCs w:val="18"/>
                  <w:color w:val="0000EE"/>
                  <w:w w:val="85"/>
                </w:rPr>
                <w:t>Section 10.1</w:t>
              </w:r>
            </w:hyperlink>
          </w:p>
        </w:tc>
        <w:tc>
          <w:tcPr>
            <w:tcW w:w="680" w:type="dxa"/>
            <w:vAlign w:val="bottom"/>
          </w:tcPr>
          <w:p>
            <w:pPr>
              <w:spacing w:after="0"/>
              <w:rPr>
                <w:sz w:val="24"/>
                <w:szCs w:val="24"/>
                <w:color w:val="auto"/>
              </w:rPr>
            </w:pPr>
          </w:p>
        </w:tc>
        <w:tc>
          <w:tcPr>
            <w:tcW w:w="6720" w:type="dxa"/>
            <w:vAlign w:val="bottom"/>
            <w:gridSpan w:val="29"/>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Payment of Principal, Premium and Interest</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196"/>
        </w:trPr>
        <w:tc>
          <w:tcPr>
            <w:tcW w:w="36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100">
              <w:r>
                <w:rPr>
                  <w:rFonts w:ascii="Arial" w:cs="Arial" w:eastAsia="Arial" w:hAnsi="Arial"/>
                  <w:sz w:val="18"/>
                  <w:szCs w:val="18"/>
                  <w:color w:val="0000EE"/>
                  <w:w w:val="85"/>
                </w:rPr>
                <w:t>Section 10.2</w:t>
              </w:r>
            </w:hyperlink>
          </w:p>
        </w:tc>
        <w:tc>
          <w:tcPr>
            <w:tcW w:w="68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100">
              <w:r>
                <w:rPr>
                  <w:rFonts w:ascii="Arial" w:cs="Arial" w:eastAsia="Arial" w:hAnsi="Arial"/>
                  <w:sz w:val="18"/>
                  <w:szCs w:val="18"/>
                  <w:color w:val="0000EE"/>
                  <w:w w:val="92"/>
                </w:rPr>
                <w:t>Maintenance of Office or Agency</w:t>
              </w:r>
            </w:hyperlink>
          </w:p>
        </w:tc>
        <w:tc>
          <w:tcPr>
            <w:tcW w:w="720" w:type="dxa"/>
            <w:vAlign w:val="bottom"/>
            <w:tcBorders>
              <w:top w:val="single" w:sz="8" w:color="0000EE"/>
            </w:tcBorders>
            <w:gridSpan w:val="9"/>
          </w:tcPr>
          <w:p>
            <w:pPr>
              <w:spacing w:after="0"/>
              <w:rPr>
                <w:sz w:val="17"/>
                <w:szCs w:val="17"/>
                <w:color w:val="auto"/>
              </w:rPr>
            </w:pPr>
          </w:p>
        </w:tc>
        <w:tc>
          <w:tcPr>
            <w:tcW w:w="3560" w:type="dxa"/>
            <w:vAlign w:val="bottom"/>
            <w:gridSpan w:val="7"/>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3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color w:val="0000EE"/>
                <w:w w:val="85"/>
              </w:rPr>
            </w:pPr>
            <w:hyperlink w:anchor="page101">
              <w:r>
                <w:rPr>
                  <w:rFonts w:ascii="Arial" w:cs="Arial" w:eastAsia="Arial" w:hAnsi="Arial"/>
                  <w:sz w:val="18"/>
                  <w:szCs w:val="18"/>
                  <w:color w:val="0000EE"/>
                  <w:w w:val="85"/>
                </w:rPr>
                <w:t>Section 10.3</w:t>
              </w:r>
            </w:hyperlink>
          </w:p>
        </w:tc>
        <w:tc>
          <w:tcPr>
            <w:tcW w:w="680" w:type="dxa"/>
            <w:vAlign w:val="bottom"/>
          </w:tcPr>
          <w:p>
            <w:pPr>
              <w:spacing w:after="0"/>
              <w:rPr>
                <w:sz w:val="17"/>
                <w:szCs w:val="17"/>
                <w:color w:val="auto"/>
              </w:rPr>
            </w:pPr>
          </w:p>
        </w:tc>
        <w:tc>
          <w:tcPr>
            <w:tcW w:w="6720" w:type="dxa"/>
            <w:vAlign w:val="bottom"/>
            <w:gridSpan w:val="29"/>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Money for Securities Payments to Be Held in Trust</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360" w:type="dxa"/>
            <w:vAlign w:val="bottom"/>
          </w:tcPr>
          <w:p>
            <w:pPr>
              <w:spacing w:after="0"/>
              <w:rPr>
                <w:sz w:val="17"/>
                <w:szCs w:val="17"/>
                <w:color w:val="auto"/>
              </w:rPr>
            </w:pPr>
          </w:p>
        </w:tc>
        <w:tc>
          <w:tcPr>
            <w:tcW w:w="900" w:type="dxa"/>
            <w:vAlign w:val="bottom"/>
            <w:tcBorders>
              <w:top w:val="single" w:sz="8" w:color="0000EE"/>
            </w:tcBorders>
            <w:gridSpan w:val="2"/>
          </w:tcPr>
          <w:p>
            <w:pPr>
              <w:spacing w:after="0" w:line="196" w:lineRule="exact"/>
              <w:rPr>
                <w:rFonts w:ascii="Arial" w:cs="Arial" w:eastAsia="Arial" w:hAnsi="Arial"/>
                <w:sz w:val="18"/>
                <w:szCs w:val="18"/>
                <w:color w:val="0000EE"/>
                <w:w w:val="85"/>
              </w:rPr>
            </w:pPr>
            <w:hyperlink w:anchor="page102">
              <w:r>
                <w:rPr>
                  <w:rFonts w:ascii="Arial" w:cs="Arial" w:eastAsia="Arial" w:hAnsi="Arial"/>
                  <w:sz w:val="18"/>
                  <w:szCs w:val="18"/>
                  <w:color w:val="0000EE"/>
                  <w:w w:val="85"/>
                </w:rPr>
                <w:t>Section 10.4</w:t>
              </w:r>
            </w:hyperlink>
          </w:p>
        </w:tc>
        <w:tc>
          <w:tcPr>
            <w:tcW w:w="680" w:type="dxa"/>
            <w:vAlign w:val="bottom"/>
          </w:tcPr>
          <w:p>
            <w:pPr>
              <w:spacing w:after="0"/>
              <w:rPr>
                <w:sz w:val="17"/>
                <w:szCs w:val="17"/>
                <w:color w:val="auto"/>
              </w:rPr>
            </w:pPr>
          </w:p>
        </w:tc>
        <w:tc>
          <w:tcPr>
            <w:tcW w:w="37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Statement by Officers as to Default</w:t>
              </w:r>
            </w:hyperlink>
          </w:p>
        </w:tc>
        <w:tc>
          <w:tcPr>
            <w:tcW w:w="3020" w:type="dxa"/>
            <w:vAlign w:val="bottom"/>
            <w:gridSpan w:val="5"/>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360" w:type="dxa"/>
            <w:vAlign w:val="bottom"/>
          </w:tcPr>
          <w:p>
            <w:pPr>
              <w:spacing w:after="0"/>
              <w:rPr>
                <w:sz w:val="17"/>
                <w:szCs w:val="17"/>
                <w:color w:val="auto"/>
              </w:rPr>
            </w:pPr>
          </w:p>
        </w:tc>
        <w:tc>
          <w:tcPr>
            <w:tcW w:w="900" w:type="dxa"/>
            <w:vAlign w:val="bottom"/>
            <w:tcBorders>
              <w:top w:val="single" w:sz="8" w:color="0000EE"/>
            </w:tcBorders>
            <w:gridSpan w:val="2"/>
          </w:tcPr>
          <w:p>
            <w:pPr>
              <w:spacing w:after="0" w:line="196" w:lineRule="exact"/>
              <w:rPr>
                <w:rFonts w:ascii="Arial" w:cs="Arial" w:eastAsia="Arial" w:hAnsi="Arial"/>
                <w:sz w:val="18"/>
                <w:szCs w:val="18"/>
                <w:color w:val="0000EE"/>
                <w:w w:val="85"/>
              </w:rPr>
            </w:pPr>
            <w:hyperlink w:anchor="page102">
              <w:r>
                <w:rPr>
                  <w:rFonts w:ascii="Arial" w:cs="Arial" w:eastAsia="Arial" w:hAnsi="Arial"/>
                  <w:sz w:val="18"/>
                  <w:szCs w:val="18"/>
                  <w:color w:val="0000EE"/>
                  <w:w w:val="85"/>
                </w:rPr>
                <w:t>Section 10.5</w:t>
              </w:r>
            </w:hyperlink>
          </w:p>
        </w:tc>
        <w:tc>
          <w:tcPr>
            <w:tcW w:w="680" w:type="dxa"/>
            <w:vAlign w:val="bottom"/>
          </w:tcPr>
          <w:p>
            <w:pPr>
              <w:spacing w:after="0"/>
              <w:rPr>
                <w:sz w:val="17"/>
                <w:szCs w:val="17"/>
                <w:color w:val="auto"/>
              </w:rPr>
            </w:pPr>
          </w:p>
        </w:tc>
        <w:tc>
          <w:tcPr>
            <w:tcW w:w="25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Existence</w:t>
              </w:r>
            </w:hyperlink>
          </w:p>
        </w:tc>
        <w:tc>
          <w:tcPr>
            <w:tcW w:w="4180" w:type="dxa"/>
            <w:vAlign w:val="bottom"/>
            <w:gridSpan w:val="14"/>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color w:val="0000EE"/>
                <w:w w:val="85"/>
              </w:rPr>
            </w:pPr>
            <w:hyperlink w:anchor="page102">
              <w:r>
                <w:rPr>
                  <w:rFonts w:ascii="Arial" w:cs="Arial" w:eastAsia="Arial" w:hAnsi="Arial"/>
                  <w:sz w:val="18"/>
                  <w:szCs w:val="18"/>
                  <w:color w:val="0000EE"/>
                  <w:w w:val="85"/>
                </w:rPr>
                <w:t>Section 10.6</w:t>
              </w:r>
            </w:hyperlink>
          </w:p>
        </w:tc>
        <w:tc>
          <w:tcPr>
            <w:tcW w:w="680" w:type="dxa"/>
            <w:vAlign w:val="bottom"/>
          </w:tcPr>
          <w:p>
            <w:pPr>
              <w:spacing w:after="0"/>
              <w:rPr>
                <w:sz w:val="17"/>
                <w:szCs w:val="17"/>
                <w:color w:val="auto"/>
              </w:rPr>
            </w:pPr>
          </w:p>
        </w:tc>
        <w:tc>
          <w:tcPr>
            <w:tcW w:w="6720" w:type="dxa"/>
            <w:vAlign w:val="bottom"/>
            <w:gridSpan w:val="29"/>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Maintenance of Properties</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03">
              <w:r>
                <w:rPr>
                  <w:rFonts w:ascii="Arial" w:cs="Arial" w:eastAsia="Arial" w:hAnsi="Arial"/>
                  <w:sz w:val="18"/>
                  <w:szCs w:val="18"/>
                  <w:color w:val="0000EE"/>
                  <w:w w:val="85"/>
                </w:rPr>
                <w:t>Section 10.7</w:t>
              </w:r>
            </w:hyperlink>
          </w:p>
        </w:tc>
        <w:tc>
          <w:tcPr>
            <w:tcW w:w="680" w:type="dxa"/>
            <w:vAlign w:val="bottom"/>
          </w:tcPr>
          <w:p>
            <w:pPr>
              <w:spacing w:after="0"/>
              <w:rPr>
                <w:sz w:val="17"/>
                <w:szCs w:val="17"/>
                <w:color w:val="auto"/>
              </w:rPr>
            </w:pPr>
          </w:p>
        </w:tc>
        <w:tc>
          <w:tcPr>
            <w:tcW w:w="26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Payment of Taxes and Other Claims</w:t>
              </w:r>
            </w:hyperlink>
          </w:p>
        </w:tc>
        <w:tc>
          <w:tcPr>
            <w:tcW w:w="4100" w:type="dxa"/>
            <w:vAlign w:val="bottom"/>
            <w:gridSpan w:val="13"/>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36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03">
              <w:r>
                <w:rPr>
                  <w:rFonts w:ascii="Arial" w:cs="Arial" w:eastAsia="Arial" w:hAnsi="Arial"/>
                  <w:sz w:val="18"/>
                  <w:szCs w:val="18"/>
                  <w:color w:val="0000EE"/>
                  <w:w w:val="85"/>
                </w:rPr>
                <w:t>Section 10.8</w:t>
              </w:r>
            </w:hyperlink>
          </w:p>
        </w:tc>
        <w:tc>
          <w:tcPr>
            <w:tcW w:w="680" w:type="dxa"/>
            <w:vAlign w:val="bottom"/>
          </w:tcPr>
          <w:p>
            <w:pPr>
              <w:spacing w:after="0"/>
              <w:rPr>
                <w:sz w:val="17"/>
                <w:szCs w:val="17"/>
                <w:color w:val="auto"/>
              </w:rPr>
            </w:pPr>
          </w:p>
        </w:tc>
        <w:tc>
          <w:tcPr>
            <w:tcW w:w="19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Maintenance of Insurance</w:t>
              </w:r>
            </w:hyperlink>
          </w:p>
        </w:tc>
        <w:tc>
          <w:tcPr>
            <w:tcW w:w="4820" w:type="dxa"/>
            <w:vAlign w:val="bottom"/>
            <w:gridSpan w:val="20"/>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36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03">
              <w:r>
                <w:rPr>
                  <w:rFonts w:ascii="Arial" w:cs="Arial" w:eastAsia="Arial" w:hAnsi="Arial"/>
                  <w:sz w:val="18"/>
                  <w:szCs w:val="18"/>
                  <w:color w:val="0000EE"/>
                  <w:w w:val="85"/>
                </w:rPr>
                <w:t>Section 10.9</w:t>
              </w:r>
            </w:hyperlink>
          </w:p>
        </w:tc>
        <w:tc>
          <w:tcPr>
            <w:tcW w:w="680" w:type="dxa"/>
            <w:vAlign w:val="bottom"/>
          </w:tcPr>
          <w:p>
            <w:pPr>
              <w:spacing w:after="0"/>
              <w:rPr>
                <w:sz w:val="17"/>
                <w:szCs w:val="17"/>
                <w:color w:val="auto"/>
              </w:rPr>
            </w:pPr>
          </w:p>
        </w:tc>
        <w:tc>
          <w:tcPr>
            <w:tcW w:w="204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103">
              <w:r>
                <w:rPr>
                  <w:rFonts w:ascii="Arial" w:cs="Arial" w:eastAsia="Arial" w:hAnsi="Arial"/>
                  <w:sz w:val="18"/>
                  <w:szCs w:val="18"/>
                  <w:color w:val="0000EE"/>
                  <w:w w:val="86"/>
                </w:rPr>
                <w:t>Waiver of Certain Covenants</w:t>
              </w:r>
            </w:hyperlink>
          </w:p>
        </w:tc>
        <w:tc>
          <w:tcPr>
            <w:tcW w:w="4680" w:type="dxa"/>
            <w:vAlign w:val="bottom"/>
            <w:gridSpan w:val="18"/>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304"/>
        </w:trPr>
        <w:tc>
          <w:tcPr>
            <w:tcW w:w="35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104">
              <w:r>
                <w:rPr>
                  <w:rFonts w:ascii="Arial" w:cs="Arial" w:eastAsia="Arial" w:hAnsi="Arial"/>
                  <w:sz w:val="18"/>
                  <w:szCs w:val="18"/>
                  <w:color w:val="0000EE"/>
                  <w:w w:val="95"/>
                </w:rPr>
                <w:t>ARTICLE XI REDEMPTION OF SECURITIES</w:t>
              </w:r>
            </w:hyperlink>
          </w:p>
        </w:tc>
        <w:tc>
          <w:tcPr>
            <w:tcW w:w="5120" w:type="dxa"/>
            <w:vAlign w:val="bottom"/>
            <w:gridSpan w:val="24"/>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360" w:type="dxa"/>
            <w:vAlign w:val="bottom"/>
          </w:tcPr>
          <w:p>
            <w:pPr>
              <w:spacing w:after="0"/>
              <w:rPr>
                <w:sz w:val="24"/>
                <w:szCs w:val="24"/>
                <w:color w:val="auto"/>
              </w:rPr>
            </w:pPr>
          </w:p>
        </w:tc>
        <w:tc>
          <w:tcPr>
            <w:tcW w:w="90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04">
              <w:r>
                <w:rPr>
                  <w:rFonts w:ascii="Arial" w:cs="Arial" w:eastAsia="Arial" w:hAnsi="Arial"/>
                  <w:sz w:val="18"/>
                  <w:szCs w:val="18"/>
                  <w:color w:val="0000EE"/>
                  <w:w w:val="85"/>
                </w:rPr>
                <w:t>Section 11.1</w:t>
              </w:r>
            </w:hyperlink>
          </w:p>
        </w:tc>
        <w:tc>
          <w:tcPr>
            <w:tcW w:w="680" w:type="dxa"/>
            <w:vAlign w:val="bottom"/>
          </w:tcPr>
          <w:p>
            <w:pPr>
              <w:spacing w:after="0"/>
              <w:rPr>
                <w:sz w:val="24"/>
                <w:szCs w:val="24"/>
                <w:color w:val="auto"/>
              </w:rPr>
            </w:pPr>
          </w:p>
        </w:tc>
        <w:tc>
          <w:tcPr>
            <w:tcW w:w="170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104">
              <w:r>
                <w:rPr>
                  <w:rFonts w:ascii="Arial" w:cs="Arial" w:eastAsia="Arial" w:hAnsi="Arial"/>
                  <w:sz w:val="18"/>
                  <w:szCs w:val="18"/>
                  <w:color w:val="0000EE"/>
                  <w:w w:val="98"/>
                </w:rPr>
                <w:t>Applicability of Article</w:t>
              </w:r>
            </w:hyperlink>
          </w:p>
        </w:tc>
        <w:tc>
          <w:tcPr>
            <w:tcW w:w="5020" w:type="dxa"/>
            <w:vAlign w:val="bottom"/>
            <w:gridSpan w:val="21"/>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196"/>
        </w:trPr>
        <w:tc>
          <w:tcPr>
            <w:tcW w:w="3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color w:val="0000EE"/>
                <w:w w:val="85"/>
              </w:rPr>
            </w:pPr>
            <w:hyperlink w:anchor="page104">
              <w:r>
                <w:rPr>
                  <w:rFonts w:ascii="Arial" w:cs="Arial" w:eastAsia="Arial" w:hAnsi="Arial"/>
                  <w:sz w:val="18"/>
                  <w:szCs w:val="18"/>
                  <w:color w:val="0000EE"/>
                  <w:w w:val="85"/>
                </w:rPr>
                <w:t>Section 11.2</w:t>
              </w:r>
            </w:hyperlink>
          </w:p>
        </w:tc>
        <w:tc>
          <w:tcPr>
            <w:tcW w:w="680" w:type="dxa"/>
            <w:vAlign w:val="bottom"/>
          </w:tcPr>
          <w:p>
            <w:pPr>
              <w:spacing w:after="0"/>
              <w:rPr>
                <w:sz w:val="17"/>
                <w:szCs w:val="17"/>
                <w:color w:val="auto"/>
              </w:rPr>
            </w:pPr>
          </w:p>
        </w:tc>
        <w:tc>
          <w:tcPr>
            <w:tcW w:w="6720" w:type="dxa"/>
            <w:vAlign w:val="bottom"/>
            <w:gridSpan w:val="29"/>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Election to Redeem; Notice to Trustee</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color w:val="0000EE"/>
                <w:w w:val="85"/>
              </w:rPr>
            </w:pPr>
            <w:hyperlink w:anchor="page104">
              <w:r>
                <w:rPr>
                  <w:rFonts w:ascii="Arial" w:cs="Arial" w:eastAsia="Arial" w:hAnsi="Arial"/>
                  <w:sz w:val="18"/>
                  <w:szCs w:val="18"/>
                  <w:color w:val="0000EE"/>
                  <w:w w:val="85"/>
                </w:rPr>
                <w:t>Section 11.3</w:t>
              </w:r>
            </w:hyperlink>
          </w:p>
        </w:tc>
        <w:tc>
          <w:tcPr>
            <w:tcW w:w="680" w:type="dxa"/>
            <w:vAlign w:val="bottom"/>
          </w:tcPr>
          <w:p>
            <w:pPr>
              <w:spacing w:after="0"/>
              <w:rPr>
                <w:sz w:val="17"/>
                <w:szCs w:val="17"/>
                <w:color w:val="auto"/>
              </w:rPr>
            </w:pPr>
          </w:p>
        </w:tc>
        <w:tc>
          <w:tcPr>
            <w:tcW w:w="6720" w:type="dxa"/>
            <w:vAlign w:val="bottom"/>
            <w:gridSpan w:val="29"/>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Selection by Trustee of Securities to Be Redeemed</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360" w:type="dxa"/>
            <w:vAlign w:val="bottom"/>
          </w:tcPr>
          <w:p>
            <w:pPr>
              <w:spacing w:after="0"/>
              <w:rPr>
                <w:sz w:val="17"/>
                <w:szCs w:val="17"/>
                <w:color w:val="auto"/>
              </w:rPr>
            </w:pPr>
          </w:p>
        </w:tc>
        <w:tc>
          <w:tcPr>
            <w:tcW w:w="900" w:type="dxa"/>
            <w:vAlign w:val="bottom"/>
            <w:tcBorders>
              <w:top w:val="single" w:sz="8" w:color="0000EE"/>
            </w:tcBorders>
            <w:gridSpan w:val="2"/>
          </w:tcPr>
          <w:p>
            <w:pPr>
              <w:spacing w:after="0" w:line="196" w:lineRule="exact"/>
              <w:rPr>
                <w:rFonts w:ascii="Arial" w:cs="Arial" w:eastAsia="Arial" w:hAnsi="Arial"/>
                <w:sz w:val="18"/>
                <w:szCs w:val="18"/>
                <w:color w:val="0000EE"/>
                <w:w w:val="85"/>
              </w:rPr>
            </w:pPr>
            <w:hyperlink w:anchor="page105">
              <w:r>
                <w:rPr>
                  <w:rFonts w:ascii="Arial" w:cs="Arial" w:eastAsia="Arial" w:hAnsi="Arial"/>
                  <w:sz w:val="18"/>
                  <w:szCs w:val="18"/>
                  <w:color w:val="0000EE"/>
                  <w:w w:val="85"/>
                </w:rPr>
                <w:t>Section 11.4</w:t>
              </w:r>
            </w:hyperlink>
          </w:p>
        </w:tc>
        <w:tc>
          <w:tcPr>
            <w:tcW w:w="680" w:type="dxa"/>
            <w:vAlign w:val="bottom"/>
          </w:tcPr>
          <w:p>
            <w:pPr>
              <w:spacing w:after="0"/>
              <w:rPr>
                <w:sz w:val="17"/>
                <w:szCs w:val="17"/>
                <w:color w:val="auto"/>
              </w:rPr>
            </w:pPr>
          </w:p>
        </w:tc>
        <w:tc>
          <w:tcPr>
            <w:tcW w:w="36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Notice of Redemption</w:t>
              </w:r>
            </w:hyperlink>
          </w:p>
        </w:tc>
        <w:tc>
          <w:tcPr>
            <w:tcW w:w="3060" w:type="dxa"/>
            <w:vAlign w:val="bottom"/>
            <w:gridSpan w:val="6"/>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color w:val="0000EE"/>
                <w:w w:val="85"/>
              </w:rPr>
            </w:pPr>
            <w:hyperlink w:anchor="page106">
              <w:r>
                <w:rPr>
                  <w:rFonts w:ascii="Arial" w:cs="Arial" w:eastAsia="Arial" w:hAnsi="Arial"/>
                  <w:sz w:val="18"/>
                  <w:szCs w:val="18"/>
                  <w:color w:val="0000EE"/>
                  <w:w w:val="85"/>
                </w:rPr>
                <w:t>Section 11.5</w:t>
              </w:r>
            </w:hyperlink>
          </w:p>
        </w:tc>
        <w:tc>
          <w:tcPr>
            <w:tcW w:w="680" w:type="dxa"/>
            <w:vAlign w:val="bottom"/>
          </w:tcPr>
          <w:p>
            <w:pPr>
              <w:spacing w:after="0"/>
              <w:rPr>
                <w:sz w:val="17"/>
                <w:szCs w:val="17"/>
                <w:color w:val="auto"/>
              </w:rPr>
            </w:pPr>
          </w:p>
        </w:tc>
        <w:tc>
          <w:tcPr>
            <w:tcW w:w="6720" w:type="dxa"/>
            <w:vAlign w:val="bottom"/>
            <w:gridSpan w:val="29"/>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Deposit of Redemption Price</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color w:val="0000EE"/>
                <w:w w:val="85"/>
              </w:rPr>
            </w:pPr>
            <w:hyperlink w:anchor="page106">
              <w:r>
                <w:rPr>
                  <w:rFonts w:ascii="Arial" w:cs="Arial" w:eastAsia="Arial" w:hAnsi="Arial"/>
                  <w:sz w:val="18"/>
                  <w:szCs w:val="18"/>
                  <w:color w:val="0000EE"/>
                  <w:w w:val="85"/>
                </w:rPr>
                <w:t>Section 11.6</w:t>
              </w:r>
            </w:hyperlink>
          </w:p>
        </w:tc>
        <w:tc>
          <w:tcPr>
            <w:tcW w:w="680" w:type="dxa"/>
            <w:vAlign w:val="bottom"/>
          </w:tcPr>
          <w:p>
            <w:pPr>
              <w:spacing w:after="0"/>
              <w:rPr>
                <w:sz w:val="17"/>
                <w:szCs w:val="17"/>
                <w:color w:val="auto"/>
              </w:rPr>
            </w:pPr>
          </w:p>
        </w:tc>
        <w:tc>
          <w:tcPr>
            <w:tcW w:w="6720" w:type="dxa"/>
            <w:vAlign w:val="bottom"/>
            <w:gridSpan w:val="29"/>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Securities Payable on Redemption Date</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360" w:type="dxa"/>
            <w:vAlign w:val="bottom"/>
          </w:tcPr>
          <w:p>
            <w:pPr>
              <w:spacing w:after="0"/>
              <w:rPr>
                <w:sz w:val="17"/>
                <w:szCs w:val="17"/>
                <w:color w:val="auto"/>
              </w:rPr>
            </w:pPr>
          </w:p>
        </w:tc>
        <w:tc>
          <w:tcPr>
            <w:tcW w:w="900" w:type="dxa"/>
            <w:vAlign w:val="bottom"/>
            <w:tcBorders>
              <w:top w:val="single" w:sz="8" w:color="0000EE"/>
            </w:tcBorders>
            <w:gridSpan w:val="2"/>
          </w:tcPr>
          <w:p>
            <w:pPr>
              <w:spacing w:after="0" w:line="196" w:lineRule="exact"/>
              <w:rPr>
                <w:rFonts w:ascii="Arial" w:cs="Arial" w:eastAsia="Arial" w:hAnsi="Arial"/>
                <w:sz w:val="18"/>
                <w:szCs w:val="18"/>
                <w:color w:val="0000EE"/>
                <w:w w:val="85"/>
              </w:rPr>
            </w:pPr>
            <w:hyperlink w:anchor="page106">
              <w:r>
                <w:rPr>
                  <w:rFonts w:ascii="Arial" w:cs="Arial" w:eastAsia="Arial" w:hAnsi="Arial"/>
                  <w:sz w:val="18"/>
                  <w:szCs w:val="18"/>
                  <w:color w:val="0000EE"/>
                  <w:w w:val="85"/>
                </w:rPr>
                <w:t>Section 11.7</w:t>
              </w:r>
            </w:hyperlink>
          </w:p>
        </w:tc>
        <w:tc>
          <w:tcPr>
            <w:tcW w:w="680" w:type="dxa"/>
            <w:vAlign w:val="bottom"/>
          </w:tcPr>
          <w:p>
            <w:pPr>
              <w:spacing w:after="0"/>
              <w:rPr>
                <w:sz w:val="17"/>
                <w:szCs w:val="17"/>
                <w:color w:val="auto"/>
              </w:rPr>
            </w:pPr>
          </w:p>
        </w:tc>
        <w:tc>
          <w:tcPr>
            <w:tcW w:w="28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Securities Redeemed in Part</w:t>
              </w:r>
            </w:hyperlink>
          </w:p>
        </w:tc>
        <w:tc>
          <w:tcPr>
            <w:tcW w:w="3860" w:type="dxa"/>
            <w:vAlign w:val="bottom"/>
            <w:gridSpan w:val="9"/>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4"/>
        </w:trPr>
        <w:tc>
          <w:tcPr>
            <w:tcW w:w="3500" w:type="dxa"/>
            <w:vAlign w:val="bottom"/>
            <w:tcBorders>
              <w:bottom w:val="single" w:sz="8" w:color="0000EE"/>
            </w:tcBorders>
            <w:gridSpan w:val="8"/>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ARTICLE XII [INTENTIONALLY OMITTED]</w:t>
              </w:r>
            </w:hyperlink>
          </w:p>
        </w:tc>
        <w:tc>
          <w:tcPr>
            <w:tcW w:w="5160" w:type="dxa"/>
            <w:vAlign w:val="bottom"/>
            <w:gridSpan w:val="25"/>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8660" w:type="dxa"/>
            <w:vAlign w:val="bottom"/>
            <w:gridSpan w:val="33"/>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ARTICLE XIII SUBSIDIARY GUARANTEES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3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20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0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07">
              <w:r>
                <w:rPr>
                  <w:rFonts w:ascii="Arial" w:cs="Arial" w:eastAsia="Arial" w:hAnsi="Arial"/>
                  <w:sz w:val="18"/>
                  <w:szCs w:val="18"/>
                  <w:color w:val="0000EE"/>
                  <w:w w:val="85"/>
                </w:rPr>
                <w:t>Section 13.1</w:t>
              </w:r>
            </w:hyperlink>
          </w:p>
        </w:tc>
        <w:tc>
          <w:tcPr>
            <w:tcW w:w="680" w:type="dxa"/>
            <w:vAlign w:val="bottom"/>
          </w:tcPr>
          <w:p>
            <w:pPr>
              <w:spacing w:after="0"/>
              <w:rPr>
                <w:sz w:val="24"/>
                <w:szCs w:val="24"/>
                <w:color w:val="auto"/>
              </w:rPr>
            </w:pPr>
          </w:p>
        </w:tc>
        <w:tc>
          <w:tcPr>
            <w:tcW w:w="170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107">
              <w:r>
                <w:rPr>
                  <w:rFonts w:ascii="Arial" w:cs="Arial" w:eastAsia="Arial" w:hAnsi="Arial"/>
                  <w:sz w:val="18"/>
                  <w:szCs w:val="18"/>
                  <w:color w:val="0000EE"/>
                  <w:w w:val="98"/>
                </w:rPr>
                <w:t>Applicability of Article</w:t>
              </w:r>
            </w:hyperlink>
          </w:p>
        </w:tc>
        <w:tc>
          <w:tcPr>
            <w:tcW w:w="5020" w:type="dxa"/>
            <w:vAlign w:val="bottom"/>
            <w:gridSpan w:val="21"/>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196"/>
        </w:trPr>
        <w:tc>
          <w:tcPr>
            <w:tcW w:w="36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07">
              <w:r>
                <w:rPr>
                  <w:rFonts w:ascii="Arial" w:cs="Arial" w:eastAsia="Arial" w:hAnsi="Arial"/>
                  <w:sz w:val="18"/>
                  <w:szCs w:val="18"/>
                  <w:color w:val="0000EE"/>
                  <w:w w:val="85"/>
                </w:rPr>
                <w:t>Section 13.2</w:t>
              </w:r>
            </w:hyperlink>
          </w:p>
        </w:tc>
        <w:tc>
          <w:tcPr>
            <w:tcW w:w="680" w:type="dxa"/>
            <w:vAlign w:val="bottom"/>
          </w:tcPr>
          <w:p>
            <w:pPr>
              <w:spacing w:after="0"/>
              <w:rPr>
                <w:sz w:val="17"/>
                <w:szCs w:val="17"/>
                <w:color w:val="auto"/>
              </w:rPr>
            </w:pPr>
          </w:p>
        </w:tc>
        <w:tc>
          <w:tcPr>
            <w:tcW w:w="16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07">
              <w:r>
                <w:rPr>
                  <w:rFonts w:ascii="Arial" w:cs="Arial" w:eastAsia="Arial" w:hAnsi="Arial"/>
                  <w:sz w:val="18"/>
                  <w:szCs w:val="18"/>
                  <w:color w:val="0000EE"/>
                  <w:w w:val="88"/>
                </w:rPr>
                <w:t>Subsidiary Guarantees</w:t>
              </w:r>
            </w:hyperlink>
          </w:p>
        </w:tc>
        <w:tc>
          <w:tcPr>
            <w:tcW w:w="5080" w:type="dxa"/>
            <w:vAlign w:val="bottom"/>
            <w:gridSpan w:val="23"/>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3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color w:val="0000EE"/>
                <w:w w:val="85"/>
              </w:rPr>
            </w:pPr>
            <w:hyperlink w:anchor="page108">
              <w:r>
                <w:rPr>
                  <w:rFonts w:ascii="Arial" w:cs="Arial" w:eastAsia="Arial" w:hAnsi="Arial"/>
                  <w:sz w:val="18"/>
                  <w:szCs w:val="18"/>
                  <w:color w:val="0000EE"/>
                  <w:w w:val="85"/>
                </w:rPr>
                <w:t>Section 13.3</w:t>
              </w:r>
            </w:hyperlink>
          </w:p>
        </w:tc>
        <w:tc>
          <w:tcPr>
            <w:tcW w:w="680" w:type="dxa"/>
            <w:vAlign w:val="bottom"/>
          </w:tcPr>
          <w:p>
            <w:pPr>
              <w:spacing w:after="0"/>
              <w:rPr>
                <w:sz w:val="17"/>
                <w:szCs w:val="17"/>
                <w:color w:val="auto"/>
              </w:rPr>
            </w:pPr>
          </w:p>
        </w:tc>
        <w:tc>
          <w:tcPr>
            <w:tcW w:w="6720" w:type="dxa"/>
            <w:vAlign w:val="bottom"/>
            <w:gridSpan w:val="29"/>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Execution and Delivery of Notations of Subsidiary Guarantees</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360" w:type="dxa"/>
            <w:vAlign w:val="bottom"/>
          </w:tcPr>
          <w:p>
            <w:pPr>
              <w:spacing w:after="0"/>
              <w:rPr>
                <w:sz w:val="17"/>
                <w:szCs w:val="17"/>
                <w:color w:val="auto"/>
              </w:rPr>
            </w:pPr>
          </w:p>
        </w:tc>
        <w:tc>
          <w:tcPr>
            <w:tcW w:w="900" w:type="dxa"/>
            <w:vAlign w:val="bottom"/>
            <w:tcBorders>
              <w:top w:val="single" w:sz="8" w:color="0000EE"/>
            </w:tcBorders>
            <w:gridSpan w:val="2"/>
          </w:tcPr>
          <w:p>
            <w:pPr>
              <w:spacing w:after="0" w:line="196" w:lineRule="exact"/>
              <w:rPr>
                <w:rFonts w:ascii="Arial" w:cs="Arial" w:eastAsia="Arial" w:hAnsi="Arial"/>
                <w:sz w:val="18"/>
                <w:szCs w:val="18"/>
                <w:color w:val="0000EE"/>
                <w:w w:val="85"/>
              </w:rPr>
            </w:pPr>
            <w:hyperlink w:anchor="page109">
              <w:r>
                <w:rPr>
                  <w:rFonts w:ascii="Arial" w:cs="Arial" w:eastAsia="Arial" w:hAnsi="Arial"/>
                  <w:sz w:val="18"/>
                  <w:szCs w:val="18"/>
                  <w:color w:val="0000EE"/>
                  <w:w w:val="85"/>
                </w:rPr>
                <w:t>Section 13.4</w:t>
              </w:r>
            </w:hyperlink>
          </w:p>
        </w:tc>
        <w:tc>
          <w:tcPr>
            <w:tcW w:w="680" w:type="dxa"/>
            <w:vAlign w:val="bottom"/>
          </w:tcPr>
          <w:p>
            <w:pPr>
              <w:spacing w:after="0"/>
              <w:rPr>
                <w:sz w:val="17"/>
                <w:szCs w:val="17"/>
                <w:color w:val="auto"/>
              </w:rPr>
            </w:pPr>
          </w:p>
        </w:tc>
        <w:tc>
          <w:tcPr>
            <w:tcW w:w="45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Release of Subsidiary Guarantors</w:t>
              </w:r>
            </w:hyperlink>
          </w:p>
        </w:tc>
        <w:tc>
          <w:tcPr>
            <w:tcW w:w="2200" w:type="dxa"/>
            <w:vAlign w:val="bottom"/>
            <w:gridSpan w:val="2"/>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3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60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09">
              <w:r>
                <w:rPr>
                  <w:rFonts w:ascii="Arial" w:cs="Arial" w:eastAsia="Arial" w:hAnsi="Arial"/>
                  <w:sz w:val="18"/>
                  <w:szCs w:val="18"/>
                  <w:color w:val="0000EE"/>
                  <w:w w:val="85"/>
                </w:rPr>
                <w:t>Section 13.5</w:t>
              </w:r>
            </w:hyperlink>
          </w:p>
        </w:tc>
        <w:tc>
          <w:tcPr>
            <w:tcW w:w="680" w:type="dxa"/>
            <w:vAlign w:val="bottom"/>
          </w:tcPr>
          <w:p>
            <w:pPr>
              <w:spacing w:after="0"/>
              <w:rPr>
                <w:sz w:val="17"/>
                <w:szCs w:val="17"/>
                <w:color w:val="auto"/>
              </w:rPr>
            </w:pPr>
          </w:p>
        </w:tc>
        <w:tc>
          <w:tcPr>
            <w:tcW w:w="24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109">
              <w:r>
                <w:rPr>
                  <w:rFonts w:ascii="Arial" w:cs="Arial" w:eastAsia="Arial" w:hAnsi="Arial"/>
                  <w:sz w:val="18"/>
                  <w:szCs w:val="18"/>
                  <w:color w:val="0000EE"/>
                  <w:w w:val="91"/>
                </w:rPr>
                <w:t>Additional Subsidiary Guarantors</w:t>
              </w:r>
            </w:hyperlink>
          </w:p>
        </w:tc>
        <w:tc>
          <w:tcPr>
            <w:tcW w:w="4280" w:type="dxa"/>
            <w:vAlign w:val="bottom"/>
            <w:gridSpan w:val="16"/>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6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10">
              <w:r>
                <w:rPr>
                  <w:rFonts w:ascii="Arial" w:cs="Arial" w:eastAsia="Arial" w:hAnsi="Arial"/>
                  <w:sz w:val="18"/>
                  <w:szCs w:val="18"/>
                  <w:color w:val="0000EE"/>
                  <w:w w:val="85"/>
                </w:rPr>
                <w:t>Section 13.6</w:t>
              </w:r>
            </w:hyperlink>
          </w:p>
        </w:tc>
        <w:tc>
          <w:tcPr>
            <w:tcW w:w="680" w:type="dxa"/>
            <w:vAlign w:val="bottom"/>
          </w:tcPr>
          <w:p>
            <w:pPr>
              <w:spacing w:after="0"/>
              <w:rPr>
                <w:sz w:val="17"/>
                <w:szCs w:val="17"/>
                <w:color w:val="auto"/>
              </w:rPr>
            </w:pPr>
          </w:p>
        </w:tc>
        <w:tc>
          <w:tcPr>
            <w:tcW w:w="1660" w:type="dxa"/>
            <w:vAlign w:val="bottom"/>
            <w:tcBorders>
              <w:bottom w:val="single" w:sz="8" w:color="0000EE"/>
            </w:tcBorders>
            <w:gridSpan w:val="7"/>
          </w:tcPr>
          <w:p>
            <w:pPr>
              <w:spacing w:after="0" w:line="196" w:lineRule="exact"/>
              <w:rPr>
                <w:rFonts w:ascii="Arial" w:cs="Arial" w:eastAsia="Arial" w:hAnsi="Arial"/>
                <w:sz w:val="18"/>
                <w:szCs w:val="18"/>
                <w:color w:val="0000EE"/>
                <w:w w:val="98"/>
              </w:rPr>
            </w:pPr>
            <w:hyperlink w:anchor="page110">
              <w:r>
                <w:rPr>
                  <w:rFonts w:ascii="Arial" w:cs="Arial" w:eastAsia="Arial" w:hAnsi="Arial"/>
                  <w:sz w:val="18"/>
                  <w:szCs w:val="18"/>
                  <w:color w:val="0000EE"/>
                  <w:w w:val="98"/>
                </w:rPr>
                <w:t>Limitation on Liability</w:t>
              </w:r>
            </w:hyperlink>
          </w:p>
        </w:tc>
        <w:tc>
          <w:tcPr>
            <w:tcW w:w="5060" w:type="dxa"/>
            <w:vAlign w:val="bottom"/>
            <w:gridSpan w:val="22"/>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304"/>
        </w:trPr>
        <w:tc>
          <w:tcPr>
            <w:tcW w:w="8660" w:type="dxa"/>
            <w:vAlign w:val="bottom"/>
            <w:gridSpan w:val="33"/>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ARTICLE XIV [INTENTIONALLY OMITTED]</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3540" w:type="dxa"/>
            <w:vAlign w:val="bottom"/>
            <w:tcBorders>
              <w:right w:val="single" w:sz="8" w:color="0000EE"/>
            </w:tcBorders>
            <w:gridSpan w:val="9"/>
            <w:shd w:val="clear" w:color="auto" w:fill="0000EE"/>
          </w:tcPr>
          <w:p>
            <w:pPr>
              <w:spacing w:after="0" w:line="20" w:lineRule="exact"/>
              <w:rPr>
                <w:sz w:val="1"/>
                <w:szCs w:val="1"/>
                <w:color w:val="auto"/>
              </w:rPr>
            </w:pPr>
          </w:p>
        </w:tc>
        <w:tc>
          <w:tcPr>
            <w:tcW w:w="320" w:type="dxa"/>
            <w:vAlign w:val="bottom"/>
            <w:tcBorders>
              <w:left w:val="single" w:sz="8" w:color="0000EE"/>
            </w:tcBorders>
            <w:gridSpan w:val="5"/>
          </w:tcPr>
          <w:p>
            <w:pPr>
              <w:spacing w:after="0" w:line="20" w:lineRule="exact"/>
              <w:rPr>
                <w:sz w:val="1"/>
                <w:szCs w:val="1"/>
                <w:color w:val="auto"/>
              </w:rPr>
            </w:pPr>
          </w:p>
        </w:tc>
        <w:tc>
          <w:tcPr>
            <w:tcW w:w="1100" w:type="dxa"/>
            <w:vAlign w:val="bottom"/>
            <w:gridSpan w:val="11"/>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4"/>
        </w:trPr>
        <w:tc>
          <w:tcPr>
            <w:tcW w:w="4960" w:type="dxa"/>
            <w:vAlign w:val="bottom"/>
            <w:tcBorders>
              <w:bottom w:val="single" w:sz="8" w:color="0000EE"/>
            </w:tcBorders>
            <w:gridSpan w:val="25"/>
          </w:tcPr>
          <w:p>
            <w:pPr>
              <w:spacing w:after="0"/>
              <w:rPr>
                <w:rFonts w:ascii="Arial" w:cs="Arial" w:eastAsia="Arial" w:hAnsi="Arial"/>
                <w:sz w:val="18"/>
                <w:szCs w:val="18"/>
                <w:color w:val="0000EE"/>
                <w:w w:val="97"/>
              </w:rPr>
            </w:pPr>
            <w:hyperlink w:anchor="page110">
              <w:r>
                <w:rPr>
                  <w:rFonts w:ascii="Arial" w:cs="Arial" w:eastAsia="Arial" w:hAnsi="Arial"/>
                  <w:sz w:val="18"/>
                  <w:szCs w:val="18"/>
                  <w:color w:val="0000EE"/>
                  <w:w w:val="97"/>
                </w:rPr>
                <w:t>ARTICLE XV DEFEASANCE AND COVENANT DEFEASANCE</w:t>
              </w:r>
            </w:hyperlink>
          </w:p>
        </w:tc>
        <w:tc>
          <w:tcPr>
            <w:tcW w:w="3700" w:type="dxa"/>
            <w:vAlign w:val="bottom"/>
            <w:gridSpan w:val="8"/>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04"/>
        </w:trPr>
        <w:tc>
          <w:tcPr>
            <w:tcW w:w="360" w:type="dxa"/>
            <w:vAlign w:val="bottom"/>
          </w:tcPr>
          <w:p>
            <w:pPr>
              <w:spacing w:after="0"/>
              <w:rPr>
                <w:sz w:val="24"/>
                <w:szCs w:val="24"/>
                <w:color w:val="auto"/>
              </w:rPr>
            </w:pPr>
          </w:p>
        </w:tc>
        <w:tc>
          <w:tcPr>
            <w:tcW w:w="90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10">
              <w:r>
                <w:rPr>
                  <w:rFonts w:ascii="Arial" w:cs="Arial" w:eastAsia="Arial" w:hAnsi="Arial"/>
                  <w:sz w:val="18"/>
                  <w:szCs w:val="18"/>
                  <w:color w:val="0000EE"/>
                  <w:w w:val="85"/>
                </w:rPr>
                <w:t>Section 15.1</w:t>
              </w:r>
            </w:hyperlink>
          </w:p>
        </w:tc>
        <w:tc>
          <w:tcPr>
            <w:tcW w:w="680" w:type="dxa"/>
            <w:vAlign w:val="bottom"/>
          </w:tcPr>
          <w:p>
            <w:pPr>
              <w:spacing w:after="0"/>
              <w:rPr>
                <w:sz w:val="24"/>
                <w:szCs w:val="24"/>
                <w:color w:val="auto"/>
              </w:rPr>
            </w:pPr>
          </w:p>
        </w:tc>
        <w:tc>
          <w:tcPr>
            <w:tcW w:w="4720" w:type="dxa"/>
            <w:vAlign w:val="bottom"/>
            <w:tcBorders>
              <w:bottom w:val="single" w:sz="8" w:color="0000EE"/>
            </w:tcBorders>
            <w:gridSpan w:val="28"/>
          </w:tcPr>
          <w:p>
            <w:pPr>
              <w:spacing w:after="0"/>
              <w:rPr>
                <w:rFonts w:ascii="Arial" w:cs="Arial" w:eastAsia="Arial" w:hAnsi="Arial"/>
                <w:sz w:val="18"/>
                <w:szCs w:val="18"/>
                <w:color w:val="0000EE"/>
                <w:w w:val="89"/>
              </w:rPr>
            </w:pPr>
            <w:hyperlink w:anchor="page110">
              <w:r>
                <w:rPr>
                  <w:rFonts w:ascii="Arial" w:cs="Arial" w:eastAsia="Arial" w:hAnsi="Arial"/>
                  <w:sz w:val="18"/>
                  <w:szCs w:val="18"/>
                  <w:color w:val="0000EE"/>
                  <w:w w:val="89"/>
                </w:rPr>
                <w:t>Company’s Option to Effect Defeasance or Covenant Defeasance</w:t>
              </w:r>
            </w:hyperlink>
          </w:p>
        </w:tc>
        <w:tc>
          <w:tcPr>
            <w:tcW w:w="200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196"/>
        </w:trPr>
        <w:tc>
          <w:tcPr>
            <w:tcW w:w="36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10">
              <w:r>
                <w:rPr>
                  <w:rFonts w:ascii="Arial" w:cs="Arial" w:eastAsia="Arial" w:hAnsi="Arial"/>
                  <w:sz w:val="18"/>
                  <w:szCs w:val="18"/>
                  <w:color w:val="0000EE"/>
                  <w:w w:val="85"/>
                </w:rPr>
                <w:t>Section 15.2</w:t>
              </w:r>
            </w:hyperlink>
          </w:p>
        </w:tc>
        <w:tc>
          <w:tcPr>
            <w:tcW w:w="680" w:type="dxa"/>
            <w:vAlign w:val="bottom"/>
          </w:tcPr>
          <w:p>
            <w:pPr>
              <w:spacing w:after="0"/>
              <w:rPr>
                <w:sz w:val="17"/>
                <w:szCs w:val="17"/>
                <w:color w:val="auto"/>
              </w:rPr>
            </w:pPr>
          </w:p>
        </w:tc>
        <w:tc>
          <w:tcPr>
            <w:tcW w:w="192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10">
              <w:r>
                <w:rPr>
                  <w:rFonts w:ascii="Arial" w:cs="Arial" w:eastAsia="Arial" w:hAnsi="Arial"/>
                  <w:sz w:val="18"/>
                  <w:szCs w:val="18"/>
                  <w:color w:val="0000EE"/>
                  <w:w w:val="87"/>
                </w:rPr>
                <w:t>Defeasance and Discharge</w:t>
              </w:r>
            </w:hyperlink>
          </w:p>
        </w:tc>
        <w:tc>
          <w:tcPr>
            <w:tcW w:w="4800" w:type="dxa"/>
            <w:vAlign w:val="bottom"/>
            <w:gridSpan w:val="19"/>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36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11">
              <w:r>
                <w:rPr>
                  <w:rFonts w:ascii="Arial" w:cs="Arial" w:eastAsia="Arial" w:hAnsi="Arial"/>
                  <w:sz w:val="18"/>
                  <w:szCs w:val="18"/>
                  <w:color w:val="0000EE"/>
                  <w:w w:val="85"/>
                </w:rPr>
                <w:t>Section 15.3</w:t>
              </w:r>
            </w:hyperlink>
          </w:p>
        </w:tc>
        <w:tc>
          <w:tcPr>
            <w:tcW w:w="68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11">
              <w:r>
                <w:rPr>
                  <w:rFonts w:ascii="Arial" w:cs="Arial" w:eastAsia="Arial" w:hAnsi="Arial"/>
                  <w:sz w:val="18"/>
                  <w:szCs w:val="18"/>
                  <w:color w:val="0000EE"/>
                  <w:w w:val="87"/>
                </w:rPr>
                <w:t>Covenant Defeasance</w:t>
              </w:r>
            </w:hyperlink>
          </w:p>
        </w:tc>
        <w:tc>
          <w:tcPr>
            <w:tcW w:w="5120" w:type="dxa"/>
            <w:vAlign w:val="bottom"/>
            <w:gridSpan w:val="24"/>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36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color w:val="0000EE"/>
                <w:w w:val="85"/>
              </w:rPr>
            </w:pPr>
            <w:hyperlink w:anchor="page111">
              <w:r>
                <w:rPr>
                  <w:rFonts w:ascii="Arial" w:cs="Arial" w:eastAsia="Arial" w:hAnsi="Arial"/>
                  <w:sz w:val="18"/>
                  <w:szCs w:val="18"/>
                  <w:color w:val="0000EE"/>
                  <w:w w:val="85"/>
                </w:rPr>
                <w:t>Section 15.4</w:t>
              </w:r>
            </w:hyperlink>
          </w:p>
        </w:tc>
        <w:tc>
          <w:tcPr>
            <w:tcW w:w="680" w:type="dxa"/>
            <w:vAlign w:val="bottom"/>
          </w:tcPr>
          <w:p>
            <w:pPr>
              <w:spacing w:after="0"/>
              <w:rPr>
                <w:sz w:val="17"/>
                <w:szCs w:val="17"/>
                <w:color w:val="auto"/>
              </w:rPr>
            </w:pPr>
          </w:p>
        </w:tc>
        <w:tc>
          <w:tcPr>
            <w:tcW w:w="6720" w:type="dxa"/>
            <w:vAlign w:val="bottom"/>
            <w:gridSpan w:val="29"/>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Conditions to Defeasance or Covenant Defeasance</w:t>
              </w:r>
            </w:hyperlink>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80"/>
          </w:cols>
          <w:pgMar w:left="24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360" w:type="dxa"/>
            <w:vAlign w:val="bottom"/>
          </w:tcPr>
          <w:p>
            <w:pPr>
              <w:spacing w:after="0"/>
              <w:rPr>
                <w:sz w:val="16"/>
                <w:szCs w:val="16"/>
                <w:color w:val="auto"/>
              </w:rPr>
            </w:pPr>
          </w:p>
        </w:tc>
        <w:tc>
          <w:tcPr>
            <w:tcW w:w="900" w:type="dxa"/>
            <w:vAlign w:val="bottom"/>
          </w:tcPr>
          <w:p>
            <w:pPr>
              <w:spacing w:after="0" w:line="190" w:lineRule="exact"/>
              <w:rPr>
                <w:rFonts w:ascii="Arial" w:cs="Arial" w:eastAsia="Arial" w:hAnsi="Arial"/>
                <w:sz w:val="18"/>
                <w:szCs w:val="18"/>
                <w:color w:val="0000EE"/>
                <w:w w:val="87"/>
              </w:rPr>
            </w:pPr>
            <w:hyperlink w:anchor="page113">
              <w:r>
                <w:rPr>
                  <w:rFonts w:ascii="Arial" w:cs="Arial" w:eastAsia="Arial" w:hAnsi="Arial"/>
                  <w:sz w:val="18"/>
                  <w:szCs w:val="18"/>
                  <w:color w:val="0000EE"/>
                  <w:w w:val="87"/>
                </w:rPr>
                <w:t>Section 15.5</w:t>
              </w:r>
            </w:hyperlink>
          </w:p>
        </w:tc>
        <w:tc>
          <w:tcPr>
            <w:tcW w:w="680" w:type="dxa"/>
            <w:vAlign w:val="bottom"/>
          </w:tcPr>
          <w:p>
            <w:pPr>
              <w:spacing w:after="0"/>
              <w:rPr>
                <w:sz w:val="16"/>
                <w:szCs w:val="16"/>
                <w:color w:val="auto"/>
              </w:rPr>
            </w:pPr>
          </w:p>
        </w:tc>
        <w:tc>
          <w:tcPr>
            <w:tcW w:w="7940" w:type="dxa"/>
            <w:vAlign w:val="bottom"/>
            <w:gridSpan w:val="7"/>
          </w:tcPr>
          <w:p>
            <w:pPr>
              <w:spacing w:after="0" w:line="190" w:lineRule="exact"/>
              <w:rPr>
                <w:rFonts w:ascii="Arial" w:cs="Arial" w:eastAsia="Arial" w:hAnsi="Arial"/>
                <w:sz w:val="18"/>
                <w:szCs w:val="18"/>
                <w:color w:val="0000EE"/>
              </w:rPr>
            </w:pPr>
            <w:hyperlink w:anchor="page113">
              <w:r>
                <w:rPr>
                  <w:rFonts w:ascii="Arial" w:cs="Arial" w:eastAsia="Arial" w:hAnsi="Arial"/>
                  <w:sz w:val="18"/>
                  <w:szCs w:val="18"/>
                  <w:color w:val="0000EE"/>
                </w:rPr>
                <w:t>Deposited Money and U.S. Government Obligations to Be Held in Trust; Miscellaneous Provisions</w:t>
              </w:r>
            </w:hyperlink>
          </w:p>
        </w:tc>
        <w:tc>
          <w:tcPr>
            <w:tcW w:w="1100" w:type="dxa"/>
            <w:vAlign w:val="bottom"/>
          </w:tcPr>
          <w:p>
            <w:pPr>
              <w:jc w:val="right"/>
              <w:spacing w:after="0" w:line="190" w:lineRule="exact"/>
              <w:rPr>
                <w:sz w:val="20"/>
                <w:szCs w:val="20"/>
                <w:color w:val="auto"/>
              </w:rPr>
            </w:pPr>
            <w:r>
              <w:rPr>
                <w:rFonts w:ascii="Arial" w:cs="Arial" w:eastAsia="Arial" w:hAnsi="Arial"/>
                <w:sz w:val="18"/>
                <w:szCs w:val="18"/>
                <w:color w:val="auto"/>
              </w:rPr>
              <w:t>64</w:t>
            </w:r>
          </w:p>
        </w:tc>
      </w:tr>
      <w:tr>
        <w:trPr>
          <w:trHeight w:val="196"/>
        </w:trPr>
        <w:tc>
          <w:tcPr>
            <w:tcW w:w="36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113">
              <w:r>
                <w:rPr>
                  <w:rFonts w:ascii="Arial" w:cs="Arial" w:eastAsia="Arial" w:hAnsi="Arial"/>
                  <w:sz w:val="18"/>
                  <w:szCs w:val="18"/>
                  <w:color w:val="0000EE"/>
                  <w:w w:val="87"/>
                </w:rPr>
                <w:t>Section 15.6</w:t>
              </w:r>
            </w:hyperlink>
          </w:p>
        </w:tc>
        <w:tc>
          <w:tcPr>
            <w:tcW w:w="68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13">
              <w:r>
                <w:rPr>
                  <w:rFonts w:ascii="Arial" w:cs="Arial" w:eastAsia="Arial" w:hAnsi="Arial"/>
                  <w:sz w:val="18"/>
                  <w:szCs w:val="18"/>
                  <w:color w:val="0000EE"/>
                  <w:w w:val="87"/>
                </w:rPr>
                <w:t>Reinstatement</w:t>
              </w:r>
            </w:hyperlink>
          </w:p>
        </w:tc>
        <w:tc>
          <w:tcPr>
            <w:tcW w:w="6120" w:type="dxa"/>
            <w:vAlign w:val="bottom"/>
            <w:tcBorders>
              <w:top w:val="single" w:sz="8" w:color="0000EE"/>
            </w:tcBorders>
            <w:gridSpan w:val="4"/>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304"/>
        </w:trPr>
        <w:tc>
          <w:tcPr>
            <w:tcW w:w="254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114">
              <w:r>
                <w:rPr>
                  <w:rFonts w:ascii="Arial" w:cs="Arial" w:eastAsia="Arial" w:hAnsi="Arial"/>
                  <w:sz w:val="18"/>
                  <w:szCs w:val="18"/>
                  <w:color w:val="0000EE"/>
                  <w:w w:val="98"/>
                </w:rPr>
                <w:t>ARTICLE XVI SINKING FUNDS</w:t>
              </w:r>
            </w:hyperlink>
          </w:p>
        </w:tc>
        <w:tc>
          <w:tcPr>
            <w:tcW w:w="7340" w:type="dxa"/>
            <w:vAlign w:val="bottom"/>
            <w:gridSpan w:val="6"/>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04"/>
        </w:trPr>
        <w:tc>
          <w:tcPr>
            <w:tcW w:w="360" w:type="dxa"/>
            <w:vAlign w:val="bottom"/>
          </w:tcPr>
          <w:p>
            <w:pPr>
              <w:spacing w:after="0"/>
              <w:rPr>
                <w:sz w:val="24"/>
                <w:szCs w:val="24"/>
                <w:color w:val="auto"/>
              </w:rPr>
            </w:pPr>
          </w:p>
        </w:tc>
        <w:tc>
          <w:tcPr>
            <w:tcW w:w="900" w:type="dxa"/>
            <w:vAlign w:val="bottom"/>
            <w:tcBorders>
              <w:bottom w:val="single" w:sz="8" w:color="0000EE"/>
            </w:tcBorders>
          </w:tcPr>
          <w:p>
            <w:pPr>
              <w:spacing w:after="0"/>
              <w:rPr>
                <w:rFonts w:ascii="Arial" w:cs="Arial" w:eastAsia="Arial" w:hAnsi="Arial"/>
                <w:sz w:val="18"/>
                <w:szCs w:val="18"/>
                <w:color w:val="0000EE"/>
                <w:w w:val="87"/>
              </w:rPr>
            </w:pPr>
            <w:hyperlink w:anchor="page114">
              <w:r>
                <w:rPr>
                  <w:rFonts w:ascii="Arial" w:cs="Arial" w:eastAsia="Arial" w:hAnsi="Arial"/>
                  <w:sz w:val="18"/>
                  <w:szCs w:val="18"/>
                  <w:color w:val="0000EE"/>
                  <w:w w:val="87"/>
                </w:rPr>
                <w:t>Section 16.1</w:t>
              </w:r>
            </w:hyperlink>
          </w:p>
        </w:tc>
        <w:tc>
          <w:tcPr>
            <w:tcW w:w="680" w:type="dxa"/>
            <w:vAlign w:val="bottom"/>
          </w:tcPr>
          <w:p>
            <w:pPr>
              <w:spacing w:after="0"/>
              <w:rPr>
                <w:sz w:val="24"/>
                <w:szCs w:val="24"/>
                <w:color w:val="auto"/>
              </w:rPr>
            </w:pPr>
          </w:p>
        </w:tc>
        <w:tc>
          <w:tcPr>
            <w:tcW w:w="170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114">
              <w:r>
                <w:rPr>
                  <w:rFonts w:ascii="Arial" w:cs="Arial" w:eastAsia="Arial" w:hAnsi="Arial"/>
                  <w:sz w:val="18"/>
                  <w:szCs w:val="18"/>
                  <w:color w:val="0000EE"/>
                  <w:w w:val="98"/>
                </w:rPr>
                <w:t>Applicability of Article</w:t>
              </w:r>
            </w:hyperlink>
          </w:p>
        </w:tc>
        <w:tc>
          <w:tcPr>
            <w:tcW w:w="6240" w:type="dxa"/>
            <w:vAlign w:val="bottom"/>
            <w:gridSpan w:val="4"/>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196"/>
        </w:trPr>
        <w:tc>
          <w:tcPr>
            <w:tcW w:w="36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14">
              <w:r>
                <w:rPr>
                  <w:rFonts w:ascii="Arial" w:cs="Arial" w:eastAsia="Arial" w:hAnsi="Arial"/>
                  <w:sz w:val="18"/>
                  <w:szCs w:val="18"/>
                  <w:color w:val="0000EE"/>
                  <w:w w:val="87"/>
                </w:rPr>
                <w:t>Section 16.2</w:t>
              </w:r>
            </w:hyperlink>
          </w:p>
        </w:tc>
        <w:tc>
          <w:tcPr>
            <w:tcW w:w="680" w:type="dxa"/>
            <w:vAlign w:val="bottom"/>
          </w:tcPr>
          <w:p>
            <w:pPr>
              <w:spacing w:after="0"/>
              <w:rPr>
                <w:sz w:val="17"/>
                <w:szCs w:val="17"/>
                <w:color w:val="auto"/>
              </w:rPr>
            </w:pPr>
          </w:p>
        </w:tc>
        <w:tc>
          <w:tcPr>
            <w:tcW w:w="39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14">
              <w:r>
                <w:rPr>
                  <w:rFonts w:ascii="Arial" w:cs="Arial" w:eastAsia="Arial" w:hAnsi="Arial"/>
                  <w:sz w:val="18"/>
                  <w:szCs w:val="18"/>
                  <w:color w:val="0000EE"/>
                  <w:w w:val="91"/>
                </w:rPr>
                <w:t>Satisfaction of Sinking Fund Payments with Securities</w:t>
              </w:r>
            </w:hyperlink>
          </w:p>
        </w:tc>
        <w:tc>
          <w:tcPr>
            <w:tcW w:w="4000" w:type="dxa"/>
            <w:vAlign w:val="bottom"/>
            <w:gridSpan w:val="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36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14">
              <w:r>
                <w:rPr>
                  <w:rFonts w:ascii="Arial" w:cs="Arial" w:eastAsia="Arial" w:hAnsi="Arial"/>
                  <w:sz w:val="18"/>
                  <w:szCs w:val="18"/>
                  <w:color w:val="0000EE"/>
                  <w:w w:val="87"/>
                </w:rPr>
                <w:t>Section 16.3</w:t>
              </w:r>
            </w:hyperlink>
          </w:p>
        </w:tc>
        <w:tc>
          <w:tcPr>
            <w:tcW w:w="680" w:type="dxa"/>
            <w:vAlign w:val="bottom"/>
          </w:tcPr>
          <w:p>
            <w:pPr>
              <w:spacing w:after="0"/>
              <w:rPr>
                <w:sz w:val="17"/>
                <w:szCs w:val="17"/>
                <w:color w:val="auto"/>
              </w:rPr>
            </w:pPr>
          </w:p>
        </w:tc>
        <w:tc>
          <w:tcPr>
            <w:tcW w:w="31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14">
              <w:r>
                <w:rPr>
                  <w:rFonts w:ascii="Arial" w:cs="Arial" w:eastAsia="Arial" w:hAnsi="Arial"/>
                  <w:sz w:val="18"/>
                  <w:szCs w:val="18"/>
                  <w:color w:val="0000EE"/>
                  <w:w w:val="91"/>
                </w:rPr>
                <w:t>Redemption of Securities for Sinking Fund</w:t>
              </w:r>
            </w:hyperlink>
          </w:p>
        </w:tc>
        <w:tc>
          <w:tcPr>
            <w:tcW w:w="4820" w:type="dxa"/>
            <w:vAlign w:val="bottom"/>
            <w:gridSpan w:val="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bl>
    <w:p>
      <w:pPr>
        <w:spacing w:after="0" w:line="229" w:lineRule="exact"/>
        <w:rPr>
          <w:sz w:val="20"/>
          <w:szCs w:val="20"/>
          <w:color w:val="auto"/>
        </w:rPr>
      </w:pPr>
    </w:p>
    <w:p>
      <w:pPr>
        <w:ind w:left="200"/>
        <w:spacing w:after="0"/>
        <w:tabs>
          <w:tab w:leader="none" w:pos="1120" w:val="left"/>
        </w:tabs>
        <w:rPr>
          <w:sz w:val="20"/>
          <w:szCs w:val="20"/>
          <w:color w:val="auto"/>
        </w:rPr>
      </w:pPr>
      <w:r>
        <w:rPr>
          <w:rFonts w:ascii="Arial" w:cs="Arial" w:eastAsia="Arial" w:hAnsi="Arial"/>
          <w:sz w:val="18"/>
          <w:szCs w:val="18"/>
          <w:color w:val="auto"/>
        </w:rPr>
        <w:t>Schedule I</w:t>
      </w:r>
      <w:r>
        <w:rPr>
          <w:sz w:val="20"/>
          <w:szCs w:val="20"/>
          <w:color w:val="auto"/>
        </w:rPr>
        <w:tab/>
      </w:r>
      <w:r>
        <w:rPr>
          <w:rFonts w:ascii="Arial" w:cs="Arial" w:eastAsia="Arial" w:hAnsi="Arial"/>
          <w:sz w:val="16"/>
          <w:szCs w:val="16"/>
          <w:color w:val="auto"/>
        </w:rPr>
        <w:t>Subsidiary Guarantors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CALIFORNIA RESOURCES CORPORATION</w:t>
      </w:r>
    </w:p>
    <w:p>
      <w:pPr>
        <w:spacing w:after="0" w:line="229"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RECONCILIATION AND TIE OF CERTAIN SECTIONS OF THIS INDENTURE RELATING TO SECTIONS 310 THROUGH 318, INCLUSIVE, OF THE TRUST INDENTURE ACT OF 1939:</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300" w:type="dxa"/>
            <w:vAlign w:val="bottom"/>
            <w:gridSpan w:val="2"/>
            <w:vMerge w:val="restart"/>
          </w:tcPr>
          <w:p>
            <w:pPr>
              <w:spacing w:after="0"/>
              <w:rPr>
                <w:sz w:val="20"/>
                <w:szCs w:val="20"/>
                <w:color w:val="auto"/>
              </w:rPr>
            </w:pPr>
            <w:r>
              <w:rPr>
                <w:rFonts w:ascii="Arial" w:cs="Arial" w:eastAsia="Arial" w:hAnsi="Arial"/>
                <w:sz w:val="14"/>
                <w:szCs w:val="14"/>
                <w:color w:val="auto"/>
                <w:w w:val="99"/>
              </w:rPr>
              <w:t>TRUST INDENTURE ACT SECTION</w:t>
            </w:r>
          </w:p>
        </w:tc>
        <w:tc>
          <w:tcPr>
            <w:tcW w:w="75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INDENTURE</w:t>
            </w:r>
          </w:p>
        </w:tc>
        <w:tc>
          <w:tcPr>
            <w:tcW w:w="0" w:type="dxa"/>
            <w:vAlign w:val="bottom"/>
          </w:tcPr>
          <w:p>
            <w:pPr>
              <w:spacing w:after="0"/>
              <w:rPr>
                <w:sz w:val="1"/>
                <w:szCs w:val="1"/>
                <w:color w:val="auto"/>
              </w:rPr>
            </w:pPr>
          </w:p>
        </w:tc>
      </w:tr>
      <w:tr>
        <w:trPr>
          <w:trHeight w:val="174"/>
        </w:trPr>
        <w:tc>
          <w:tcPr>
            <w:tcW w:w="2300" w:type="dxa"/>
            <w:vAlign w:val="bottom"/>
            <w:gridSpan w:val="2"/>
            <w:vMerge w:val="continue"/>
          </w:tcPr>
          <w:p>
            <w:pPr>
              <w:spacing w:after="0"/>
              <w:rPr>
                <w:sz w:val="15"/>
                <w:szCs w:val="15"/>
                <w:color w:val="auto"/>
              </w:rPr>
            </w:pPr>
          </w:p>
        </w:tc>
        <w:tc>
          <w:tcPr>
            <w:tcW w:w="7500" w:type="dxa"/>
            <w:vAlign w:val="bottom"/>
          </w:tcPr>
          <w:p>
            <w:pPr>
              <w:spacing w:after="0"/>
              <w:rPr>
                <w:sz w:val="15"/>
                <w:szCs w:val="15"/>
                <w:color w:val="auto"/>
              </w:rPr>
            </w:pPr>
          </w:p>
        </w:tc>
        <w:tc>
          <w:tcPr>
            <w:tcW w:w="1240" w:type="dxa"/>
            <w:vAlign w:val="bottom"/>
          </w:tcPr>
          <w:p>
            <w:pPr>
              <w:jc w:val="center"/>
              <w:spacing w:after="0" w:line="154" w:lineRule="exact"/>
              <w:rPr>
                <w:sz w:val="20"/>
                <w:szCs w:val="20"/>
                <w:color w:val="auto"/>
              </w:rPr>
            </w:pPr>
            <w:r>
              <w:rPr>
                <w:rFonts w:ascii="Arial" w:cs="Arial" w:eastAsia="Arial" w:hAnsi="Arial"/>
                <w:sz w:val="14"/>
                <w:szCs w:val="14"/>
                <w:color w:val="auto"/>
                <w:w w:val="99"/>
              </w:rPr>
              <w:t>SECTION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Section 301(a)(1)</w:t>
            </w:r>
          </w:p>
        </w:tc>
        <w:tc>
          <w:tcPr>
            <w:tcW w:w="75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(a)(2)</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7"/>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(a)(3)</w:t>
            </w:r>
          </w:p>
        </w:tc>
        <w:tc>
          <w:tcPr>
            <w:tcW w:w="7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(a)(4)</w:t>
            </w:r>
          </w:p>
        </w:tc>
        <w:tc>
          <w:tcPr>
            <w:tcW w:w="75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8"/>
              </w:rPr>
              <w:t>6.8, 6.10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Section 311(a)</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5"/>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5"/>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Section 312(a)</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9"/>
              </w:rPr>
              <w:t>7.1, 7.2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7"/>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7"/>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Section 313(a)</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7"/>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(b)</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7"/>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7"/>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7"/>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Section 314(a)</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7"/>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(a)(4)</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8"/>
              </w:rPr>
              <w:t>1.1, 10.4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7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(c)(1)</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(c)(2)</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(c)(3)</w:t>
            </w:r>
          </w:p>
        </w:tc>
        <w:tc>
          <w:tcPr>
            <w:tcW w:w="75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7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(e)</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Section 315(a)</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7"/>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(b)</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7"/>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7"/>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7"/>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5"/>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Section 316(a)</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(a)(1)(A)</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8"/>
              </w:rPr>
              <w:t>5.2, 5.12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(a)(1)(B)</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5"/>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(a)(2)</w:t>
            </w:r>
          </w:p>
        </w:tc>
        <w:tc>
          <w:tcPr>
            <w:tcW w:w="7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(b)</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7"/>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7"/>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Section 317(a)(1)</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7"/>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(a)(2)</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7"/>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(b)</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5"/>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Section 318(a)</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7"/>
              </w:rPr>
              <w:t>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40"/>
          </w:cols>
          <w:pgMar w:left="240" w:top="459" w:right="4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264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136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SENIOR INDENTURE</w:t>
            </w: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ind w:left="640"/>
              <w:spacing w:after="0"/>
              <w:rPr>
                <w:sz w:val="20"/>
                <w:szCs w:val="20"/>
                <w:color w:val="auto"/>
              </w:rPr>
            </w:pPr>
            <w:r>
              <w:rPr>
                <w:rFonts w:ascii="Arial" w:cs="Arial" w:eastAsia="Arial" w:hAnsi="Arial"/>
                <w:sz w:val="18"/>
                <w:szCs w:val="18"/>
                <w:b w:val="1"/>
                <w:bCs w:val="1"/>
                <w:color w:val="auto"/>
                <w:w w:val="97"/>
              </w:rPr>
              <w:t>INDENTURE</w:t>
            </w:r>
            <w:r>
              <w:rPr>
                <w:rFonts w:ascii="Arial" w:cs="Arial" w:eastAsia="Arial" w:hAnsi="Arial"/>
                <w:sz w:val="18"/>
                <w:szCs w:val="18"/>
                <w:color w:val="auto"/>
                <w:w w:val="97"/>
              </w:rPr>
              <w:t>, dated as of</w:t>
            </w: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64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7520" w:type="dxa"/>
            <w:vAlign w:val="bottom"/>
            <w:gridSpan w:val="5"/>
          </w:tcPr>
          <w:p>
            <w:pPr>
              <w:spacing w:after="0"/>
              <w:rPr>
                <w:sz w:val="20"/>
                <w:szCs w:val="20"/>
                <w:color w:val="auto"/>
              </w:rPr>
            </w:pPr>
            <w:r>
              <w:rPr>
                <w:rFonts w:ascii="Arial" w:cs="Arial" w:eastAsia="Arial" w:hAnsi="Arial"/>
                <w:sz w:val="18"/>
                <w:szCs w:val="18"/>
                <w:color w:val="auto"/>
                <w:w w:val="90"/>
              </w:rPr>
              <w:t>, 20, among California Resources Corporation., a corporation duly organized and existing under the</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7"/>
          <w:szCs w:val="17"/>
          <w:color w:val="auto"/>
        </w:rPr>
        <w:t>laws of the State of Delaware (herein called the “Company”), having its principal office at 27200 Tourney Road, Suite 315, Santa Clarita, California</w:t>
      </w:r>
    </w:p>
    <w:p>
      <w:pPr>
        <w:spacing w:after="0" w:line="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8900" w:type="dxa"/>
            <w:vAlign w:val="bottom"/>
            <w:gridSpan w:val="4"/>
          </w:tcPr>
          <w:p>
            <w:pPr>
              <w:spacing w:after="0"/>
              <w:rPr>
                <w:sz w:val="20"/>
                <w:szCs w:val="20"/>
                <w:color w:val="auto"/>
              </w:rPr>
            </w:pPr>
            <w:r>
              <w:rPr>
                <w:rFonts w:ascii="Arial" w:cs="Arial" w:eastAsia="Arial" w:hAnsi="Arial"/>
                <w:sz w:val="18"/>
                <w:szCs w:val="18"/>
                <w:color w:val="auto"/>
              </w:rPr>
              <w:t>91355, each of the Subsidiary Guarantors (as hereinafter defined) parties hereto and [TRUSTEE’S NAME], a [</w:t>
            </w:r>
          </w:p>
        </w:tc>
        <w:tc>
          <w:tcPr>
            <w:tcW w:w="2100" w:type="dxa"/>
            <w:vAlign w:val="bottom"/>
          </w:tcPr>
          <w:p>
            <w:pPr>
              <w:spacing w:after="0"/>
              <w:rPr>
                <w:sz w:val="20"/>
                <w:szCs w:val="20"/>
                <w:color w:val="auto"/>
              </w:rPr>
            </w:pPr>
            <w:r>
              <w:rPr>
                <w:rFonts w:ascii="Arial" w:cs="Arial" w:eastAsia="Arial" w:hAnsi="Arial"/>
                <w:sz w:val="18"/>
                <w:szCs w:val="18"/>
                <w:color w:val="auto"/>
                <w:w w:val="91"/>
              </w:rPr>
              <w:t>] duly organized and existing</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w w:val="91"/>
              </w:rPr>
              <w:t>under the laws of [</w:t>
            </w:r>
          </w:p>
        </w:tc>
        <w:tc>
          <w:tcPr>
            <w:tcW w:w="360" w:type="dxa"/>
            <w:vAlign w:val="bottom"/>
            <w:tcBorders>
              <w:bottom w:val="single" w:sz="8" w:color="auto"/>
            </w:tcBorders>
          </w:tcPr>
          <w:p>
            <w:pPr>
              <w:spacing w:after="0"/>
              <w:rPr>
                <w:sz w:val="17"/>
                <w:szCs w:val="17"/>
                <w:color w:val="auto"/>
              </w:rPr>
            </w:pPr>
          </w:p>
        </w:tc>
        <w:tc>
          <w:tcPr>
            <w:tcW w:w="6280" w:type="dxa"/>
            <w:vAlign w:val="bottom"/>
          </w:tcPr>
          <w:p>
            <w:pPr>
              <w:spacing w:after="0" w:line="196" w:lineRule="exact"/>
              <w:rPr>
                <w:sz w:val="20"/>
                <w:szCs w:val="20"/>
                <w:color w:val="auto"/>
              </w:rPr>
            </w:pPr>
            <w:r>
              <w:rPr>
                <w:rFonts w:ascii="Arial" w:cs="Arial" w:eastAsia="Arial" w:hAnsi="Arial"/>
                <w:sz w:val="18"/>
                <w:szCs w:val="18"/>
                <w:color w:val="auto"/>
              </w:rPr>
              <w:t>], as Trustee (herein called the “Trustee”).</w:t>
            </w:r>
          </w:p>
        </w:tc>
        <w:tc>
          <w:tcPr>
            <w:tcW w:w="900" w:type="dxa"/>
            <w:vAlign w:val="bottom"/>
            <w:tcBorders>
              <w:top w:val="single" w:sz="8" w:color="auto"/>
            </w:tcBorders>
          </w:tcPr>
          <w:p>
            <w:pPr>
              <w:spacing w:after="0"/>
              <w:rPr>
                <w:sz w:val="17"/>
                <w:szCs w:val="17"/>
                <w:color w:val="auto"/>
              </w:rPr>
            </w:pPr>
          </w:p>
        </w:tc>
        <w:tc>
          <w:tcPr>
            <w:tcW w:w="2100" w:type="dxa"/>
            <w:vAlign w:val="bottom"/>
          </w:tcPr>
          <w:p>
            <w:pPr>
              <w:spacing w:after="0"/>
              <w:rPr>
                <w:sz w:val="17"/>
                <w:szCs w:val="17"/>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RECITALS OF THE COMPANY AND THE SUBSIDIARY GUARANTORS</w:t>
      </w:r>
    </w:p>
    <w:p>
      <w:pPr>
        <w:spacing w:after="0" w:line="229"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in this Indenture provided.</w:t>
      </w:r>
    </w:p>
    <w:p>
      <w:pPr>
        <w:spacing w:after="0" w:line="124"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The Company and the Subsidiary Guarantors are members of the same consolidated group of companies. The Subsidiary Guarantors will derive direct and indirect economic benefit from the issuance of the Securities. Accordingly, each Subsidiary Guarantor has duly authorized the execution and delivery of this Indenture to provide for its full, unconditional and joint and several guarantee of the Securities to the extent provided in or pursuant this Indenture.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229"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agreed, for the equal and proportionate benefit of all Holders of the Securities or of series thereof, as follows: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9"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117" w:lineRule="exact"/>
        <w:rPr>
          <w:sz w:val="20"/>
          <w:szCs w:val="20"/>
          <w:color w:val="auto"/>
        </w:rPr>
      </w:pPr>
    </w:p>
    <w:p>
      <w:pPr>
        <w:ind w:left="1040" w:hanging="396"/>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117" w:lineRule="exact"/>
        <w:rPr>
          <w:rFonts w:ascii="Arial" w:cs="Arial" w:eastAsia="Arial" w:hAnsi="Arial"/>
          <w:sz w:val="18"/>
          <w:szCs w:val="18"/>
          <w:color w:val="auto"/>
        </w:rPr>
      </w:pPr>
    </w:p>
    <w:p>
      <w:pPr>
        <w:ind w:left="200" w:right="140" w:firstLine="444"/>
        <w:spacing w:after="0" w:line="277" w:lineRule="auto"/>
        <w:tabs>
          <w:tab w:leader="none" w:pos="10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either directly or by reference therein, have the meanings assigned to them therein;</w:t>
      </w:r>
    </w:p>
    <w:p>
      <w:pPr>
        <w:spacing w:after="0" w:line="62" w:lineRule="exact"/>
        <w:rPr>
          <w:rFonts w:ascii="Arial" w:cs="Arial" w:eastAsia="Arial" w:hAnsi="Arial"/>
          <w:sz w:val="18"/>
          <w:szCs w:val="18"/>
          <w:color w:val="auto"/>
        </w:rPr>
      </w:pPr>
    </w:p>
    <w:p>
      <w:pPr>
        <w:jc w:val="both"/>
        <w:ind w:left="200" w:right="340" w:firstLine="444"/>
        <w:spacing w:after="0" w:line="312" w:lineRule="auto"/>
        <w:tabs>
          <w:tab w:leader="none" w:pos="1031"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this instrument;</w:t>
      </w:r>
    </w:p>
    <w:p>
      <w:pPr>
        <w:sectPr>
          <w:pgSz w:w="11900" w:h="16838" w:orient="portrait"/>
          <w:cols w:equalWidth="0" w:num="1">
            <w:col w:w="11200"/>
          </w:cols>
          <w:pgMar w:left="240" w:top="446"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4"/>
        <w:spacing w:after="0" w:line="277" w:lineRule="auto"/>
        <w:tabs>
          <w:tab w:leader="none" w:pos="1031"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or a “Section” refers to an Article or a Section, as the case may be, of this Indenture; and</w:t>
      </w:r>
    </w:p>
    <w:p>
      <w:pPr>
        <w:spacing w:after="0" w:line="62" w:lineRule="exact"/>
        <w:rPr>
          <w:rFonts w:ascii="Arial" w:cs="Arial" w:eastAsia="Arial" w:hAnsi="Arial"/>
          <w:sz w:val="18"/>
          <w:szCs w:val="18"/>
          <w:color w:val="auto"/>
        </w:rPr>
      </w:pPr>
    </w:p>
    <w:p>
      <w:pPr>
        <w:ind w:left="200" w:right="440" w:firstLine="444"/>
        <w:spacing w:after="0" w:line="277" w:lineRule="auto"/>
        <w:tabs>
          <w:tab w:leader="none" w:pos="103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words “herein”, “hereof”, “hereunder” and other words of similar import refer to this Indenture as a whole and not to any particular Article, Section or other subdivision.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when used with respect to any Holder, has the meaning specified in Section 1.4.</w:t>
      </w:r>
    </w:p>
    <w:p>
      <w:pPr>
        <w:spacing w:after="0" w:line="22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means any Person authorized by the Trustee pursuant to Section 6.14 to act on behalf of the Trustee to authenticate Securities of one or more series.</w:t>
      </w:r>
    </w:p>
    <w:p>
      <w:pPr>
        <w:spacing w:after="0" w:line="170" w:lineRule="exact"/>
        <w:rPr>
          <w:sz w:val="20"/>
          <w:szCs w:val="20"/>
          <w:color w:val="auto"/>
        </w:rPr>
      </w:pPr>
    </w:p>
    <w:p>
      <w:pPr>
        <w:ind w:left="200" w:right="36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of Directors</w:t>
      </w:r>
      <w:r>
        <w:rPr>
          <w:rFonts w:ascii="Arial" w:cs="Arial" w:eastAsia="Arial" w:hAnsi="Arial"/>
          <w:sz w:val="17"/>
          <w:szCs w:val="17"/>
          <w:color w:val="auto"/>
        </w:rPr>
        <w:t>” means, with respect to the Company, either the board of directors of the Company or any committee of that board duly authorized to act for it in respect hereof, and with respect to any Subsidiary Guarantor, either the board of directors or other governing body of such Subsidiary Guarantor or any committee of that board or other governing body duly authorized to act for it in respect hereof.</w:t>
      </w:r>
    </w:p>
    <w:p>
      <w:pPr>
        <w:spacing w:after="0" w:line="166"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Resolution</w:t>
      </w:r>
      <w:r>
        <w:rPr>
          <w:rFonts w:ascii="Arial" w:cs="Arial" w:eastAsia="Arial" w:hAnsi="Arial"/>
          <w:sz w:val="17"/>
          <w:szCs w:val="17"/>
          <w:color w:val="auto"/>
        </w:rPr>
        <w:t>” means, with respect to the Company or a Subsidiary Guarantor, a copy of a resolution certified by the Secretary or an Assistant Secretary of the Company or such Subsidiary Guarantor or, in the case of a Subsidiary Guarantor that is a partnership or has no such officers, the Secretary or Assistant Secretary of a general partner or manager of such Subsidiary Guarantory, as the case may be, to have been duly adopted by its Board of Directors and to be in full force and effect on the date of such certification, and delivered to the Trustee.</w:t>
      </w:r>
    </w:p>
    <w:p>
      <w:pPr>
        <w:spacing w:after="0" w:line="171"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4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of any Person means any and all shares, interests, participations or other equivalents (however designated) of corporate stock or other equity participations, including partnership interests, whether general or limited, of such Person.</w:t>
      </w:r>
    </w:p>
    <w:p>
      <w:pPr>
        <w:spacing w:after="0" w:line="170"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common stock, no par value, of the Company as the same exists at the date of execution and delivery of this Indenture or other Capital Stock of the Company into which such common stock is converted, reclassified or changed from time to time.</w:t>
      </w:r>
    </w:p>
    <w:p>
      <w:pPr>
        <w:spacing w:after="0" w:line="12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7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Request</w:t>
      </w:r>
      <w:r>
        <w:rPr>
          <w:rFonts w:ascii="Arial" w:cs="Arial" w:eastAsia="Arial" w:hAnsi="Arial"/>
          <w:sz w:val="18"/>
          <w:szCs w:val="18"/>
          <w:color w:val="auto"/>
        </w:rPr>
        <w:t>” or “</w:t>
      </w:r>
      <w:r>
        <w:rPr>
          <w:rFonts w:ascii="Arial" w:cs="Arial" w:eastAsia="Arial" w:hAnsi="Arial"/>
          <w:sz w:val="18"/>
          <w:szCs w:val="18"/>
          <w:u w:val="single" w:color="auto"/>
          <w:color w:val="auto"/>
        </w:rPr>
        <w:t>Company Order</w:t>
      </w:r>
      <w:r>
        <w:rPr>
          <w:rFonts w:ascii="Arial" w:cs="Arial" w:eastAsia="Arial" w:hAnsi="Arial"/>
          <w:sz w:val="18"/>
          <w:szCs w:val="18"/>
          <w:color w:val="auto"/>
        </w:rPr>
        <w:t>” means a written request or order signed in the name of the Company by its Chairman of the Board of Directors, its Executive Chairman of the Board of Directors, its President and Chief Executive Officer or a Vice President, and by its Treasurer, an Assistant Treasurer, its Secretary or an Assistant Secretary, and delivered to the Trustee.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Agent</w:t>
      </w:r>
      <w:r>
        <w:rPr>
          <w:rFonts w:ascii="Arial" w:cs="Arial" w:eastAsia="Arial" w:hAnsi="Arial"/>
          <w:sz w:val="18"/>
          <w:szCs w:val="18"/>
          <w:color w:val="auto"/>
        </w:rPr>
        <w:t>” means any Person authorized by the Company to convert any Securities on behalf of the Company.</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the office of the Trustee at which at any particular time its corporate trust business in relation to this Indenture shall be administered, such office being located on the date hereof at [TRUSTEE ADDRESS].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means a corporation, association, limited liability company, joint-stock company or business trust.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Defeasance</w:t>
      </w:r>
      <w:r>
        <w:rPr>
          <w:rFonts w:ascii="Arial" w:cs="Arial" w:eastAsia="Arial" w:hAnsi="Arial"/>
          <w:sz w:val="18"/>
          <w:szCs w:val="18"/>
          <w:color w:val="auto"/>
        </w:rPr>
        <w:t>” has the meaning specified in Section 15.3.</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w:t>
      </w:r>
      <w:r>
        <w:rPr>
          <w:rFonts w:ascii="Arial" w:cs="Arial" w:eastAsia="Arial" w:hAnsi="Arial"/>
          <w:sz w:val="16"/>
          <w:szCs w:val="16"/>
          <w:color w:val="auto"/>
        </w:rPr>
        <w:t>” of any Person at any date means any obligation created, assumed or guaranteed by such Person for the repayment of borrowed money.</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specified in Section 3.7.</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Defeasance</w:t>
      </w:r>
      <w:r>
        <w:rPr>
          <w:rFonts w:ascii="Arial" w:cs="Arial" w:eastAsia="Arial" w:hAnsi="Arial"/>
          <w:sz w:val="18"/>
          <w:szCs w:val="18"/>
          <w:color w:val="auto"/>
        </w:rPr>
        <w:t>” has the meaning specified in Section 15.2.</w:t>
      </w:r>
    </w:p>
    <w:p>
      <w:pPr>
        <w:spacing w:after="0" w:line="225"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Depositary</w:t>
      </w:r>
      <w:r>
        <w:rPr>
          <w:rFonts w:ascii="Arial" w:cs="Arial" w:eastAsia="Arial" w:hAnsi="Arial"/>
          <w:sz w:val="17"/>
          <w:szCs w:val="17"/>
          <w:color w:val="auto"/>
        </w:rPr>
        <w:t>” means, with respect to Securities of any series issuable in whole or in part in the form of one or more Global Securities, a clearing agency registered under the Exchange Act that is designated to act as Depositary for such Securities as contemplated by Section 3.1.</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Section 5.1.</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and any statute successor thereto, in each case as amended from time to time.</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Date</w:t>
      </w:r>
      <w:r>
        <w:rPr>
          <w:rFonts w:ascii="Arial" w:cs="Arial" w:eastAsia="Arial" w:hAnsi="Arial"/>
          <w:sz w:val="18"/>
          <w:szCs w:val="18"/>
          <w:color w:val="auto"/>
        </w:rPr>
        <w:t>” has the meaning specified in Section 1.4.</w:t>
      </w:r>
    </w:p>
    <w:p>
      <w:pPr>
        <w:spacing w:after="0" w:line="22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Security</w:t>
      </w:r>
      <w:r>
        <w:rPr>
          <w:rFonts w:ascii="Arial" w:cs="Arial" w:eastAsia="Arial" w:hAnsi="Arial"/>
          <w:sz w:val="18"/>
          <w:szCs w:val="18"/>
          <w:color w:val="auto"/>
        </w:rPr>
        <w:t>” means a Security that evidences all or part of the Securities of any series and bears the legend set forth in Section 2.5 (or such legend as may be specified as contemplated by Section 3.1 for such Securities).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240" w:top="459" w:right="5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 Person in whose name a Security is registered in the Security Register.</w:t>
      </w:r>
    </w:p>
    <w:p>
      <w:pPr>
        <w:spacing w:after="0" w:line="225"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Indenture</w:t>
      </w:r>
      <w:r>
        <w:rPr>
          <w:rFonts w:ascii="Arial" w:cs="Arial" w:eastAsia="Arial" w:hAnsi="Arial"/>
          <w:sz w:val="16"/>
          <w:szCs w:val="16"/>
          <w:color w:val="auto"/>
        </w:rPr>
        <w:t>”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3.1.</w:t>
      </w:r>
    </w:p>
    <w:p>
      <w:pPr>
        <w:spacing w:after="0" w:line="154"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when used with respect to an Original Issue Discount Security which by its terms bears interest only after Maturity, means interest payable after Maturity.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when used with respect to any Security, means the Stated Maturity of an installment of interest on such Security.</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Company Act</w:t>
      </w:r>
      <w:r>
        <w:rPr>
          <w:rFonts w:ascii="Arial" w:cs="Arial" w:eastAsia="Arial" w:hAnsi="Arial"/>
          <w:sz w:val="16"/>
          <w:szCs w:val="16"/>
          <w:color w:val="auto"/>
        </w:rPr>
        <w:t>” means the Investment Company Act of 1940 and any statute successor thereto, in each case as amended from time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w:t>
      </w:r>
      <w:r>
        <w:rPr>
          <w:rFonts w:ascii="Arial" w:cs="Arial" w:eastAsia="Arial" w:hAnsi="Arial"/>
          <w:sz w:val="16"/>
          <w:szCs w:val="16"/>
          <w:color w:val="auto"/>
        </w:rPr>
        <w:t>”,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Default</w:t>
      </w:r>
      <w:r>
        <w:rPr>
          <w:rFonts w:ascii="Arial" w:cs="Arial" w:eastAsia="Arial" w:hAnsi="Arial"/>
          <w:sz w:val="18"/>
          <w:szCs w:val="18"/>
          <w:color w:val="auto"/>
        </w:rPr>
        <w:t>” means a written notice of the kind specified in Section 5.1(5).</w:t>
      </w:r>
    </w:p>
    <w:p>
      <w:pPr>
        <w:spacing w:after="0" w:line="225"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means a certificate signed by the Chairman of the Board of Directors, a Executive Chairman of the Board of Directors, the President and Chief Executive Officer or a Vice President, and by the Treasurer, an Assistant Treasurer, the Secretary or an Assistant Secretary, of the Company or a Subsidiary Guarantor, as the case may be, and delivered to the Trustee. One of the officers signing an Officers’ Certificate given pursuant to Section 10.4 shall be the principal executive, financial or accounting officer of the Company.</w:t>
      </w:r>
    </w:p>
    <w:p>
      <w:pPr>
        <w:spacing w:after="0" w:line="17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as to the Company or a Subsidiary Guarantor, a written opinion of counsel, who may be counsel for the Company or such Subsidiary Guarantor, as the case may be, and who shall be acceptable to the Trustee.</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means any Security which provides for an amount less than the principal amount thereof to be due and payable upon a declaration of acceleration of the Maturity thereof pursuant to Section 5.2.</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when used with respect to Securities, means, as of the date of determination, all Securities theretofore authenticated and delivered under this Indenture, except:</w:t>
      </w:r>
    </w:p>
    <w:p>
      <w:pPr>
        <w:spacing w:after="0" w:line="62" w:lineRule="exact"/>
        <w:rPr>
          <w:sz w:val="20"/>
          <w:szCs w:val="20"/>
          <w:color w:val="auto"/>
        </w:rPr>
      </w:pPr>
    </w:p>
    <w:p>
      <w:pPr>
        <w:ind w:left="5660" w:right="3680" w:hanging="5016"/>
        <w:spacing w:after="0" w:line="449" w:lineRule="auto"/>
        <w:tabs>
          <w:tab w:leader="none" w:pos="102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 4</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444"/>
        <w:spacing w:after="0" w:line="259" w:lineRule="auto"/>
        <w:tabs>
          <w:tab w:leader="none" w:pos="10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spacing w:after="0" w:line="78" w:lineRule="exact"/>
        <w:rPr>
          <w:rFonts w:ascii="Arial" w:cs="Arial" w:eastAsia="Arial" w:hAnsi="Arial"/>
          <w:sz w:val="18"/>
          <w:szCs w:val="18"/>
          <w:color w:val="auto"/>
        </w:rPr>
      </w:pPr>
    </w:p>
    <w:p>
      <w:pPr>
        <w:ind w:left="1040" w:hanging="396"/>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Securities as to which Defeasance has been effected pursuant to Section 15.2; and</w:t>
      </w:r>
    </w:p>
    <w:p>
      <w:pPr>
        <w:spacing w:after="0" w:line="117" w:lineRule="exact"/>
        <w:rPr>
          <w:rFonts w:ascii="Arial" w:cs="Arial" w:eastAsia="Arial" w:hAnsi="Arial"/>
          <w:sz w:val="18"/>
          <w:szCs w:val="18"/>
          <w:color w:val="auto"/>
        </w:rPr>
      </w:pPr>
    </w:p>
    <w:p>
      <w:pPr>
        <w:jc w:val="both"/>
        <w:ind w:left="200" w:right="160" w:firstLine="444"/>
        <w:spacing w:after="0" w:line="312" w:lineRule="auto"/>
        <w:tabs>
          <w:tab w:leader="none" w:pos="1031" w:val="left"/>
        </w:tabs>
        <w:numPr>
          <w:ilvl w:val="0"/>
          <w:numId w:val="42"/>
        </w:numPr>
        <w:rPr>
          <w:rFonts w:ascii="Arial" w:cs="Arial" w:eastAsia="Arial" w:hAnsi="Arial"/>
          <w:sz w:val="16"/>
          <w:szCs w:val="16"/>
          <w:color w:val="auto"/>
        </w:rPr>
      </w:pPr>
      <w:r>
        <w:rPr>
          <w:rFonts w:ascii="Arial" w:cs="Arial" w:eastAsia="Arial" w:hAnsi="Arial"/>
          <w:sz w:val="16"/>
          <w:szCs w:val="16"/>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47" w:lineRule="exact"/>
        <w:rPr>
          <w:sz w:val="20"/>
          <w:szCs w:val="20"/>
          <w:color w:val="auto"/>
        </w:rPr>
      </w:pPr>
    </w:p>
    <w:p>
      <w:pPr>
        <w:ind w:left="200" w:right="20"/>
        <w:spacing w:after="0" w:line="268" w:lineRule="auto"/>
        <w:rPr>
          <w:sz w:val="20"/>
          <w:szCs w:val="20"/>
          <w:color w:val="auto"/>
        </w:rPr>
      </w:pPr>
      <w:r>
        <w:rPr>
          <w:rFonts w:ascii="Arial" w:cs="Arial" w:eastAsia="Arial" w:hAnsi="Arial"/>
          <w:sz w:val="17"/>
          <w:szCs w:val="17"/>
          <w:color w:val="auto"/>
        </w:rPr>
        <w:t>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5.2, (B) if, as of such date, the principal amount payable at the Stated Maturity of a Security is not determinable, the principal amount of such Security which shall be deemed to be Outstanding shall be the amount as specified or determined as contemplated by Section 3.1, (C) the principal amount of a Security denominated in one or more foreign currencies or currency units which shall be deemed to be Outstanding shall be the U.S. dollar equivalent, determined as of such date in the manner provided as contemplated by Section 3.1, of the principal amount of such Security (or, in the case of a Security described in clause (A) or (B) above, of the amount determined as provided in such clause), and (D) Securities owned by the Company, any Subsidiary Guarantor or any other obligor upon the Securities or any Affiliate of the Company, any Subsidiary Guarantor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a Subsidiary Guarantor or any other obligor upon the Securities or any Affiliate of the Company, a Subsidiary Guarantor or of such other obligor.</w:t>
      </w:r>
    </w:p>
    <w:p>
      <w:pPr>
        <w:spacing w:after="0" w:line="18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authorized by the Company to pay the principal of or any premium or interest on any Securities on behalf of the Company.</w:t>
      </w:r>
    </w:p>
    <w:p>
      <w:pPr>
        <w:spacing w:after="0" w:line="170"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limited liability company, joint venture, trust, estate, association, unincorporated organization or government or any agency or political subdivision thereof.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 of Payment</w:t>
      </w:r>
      <w:r>
        <w:rPr>
          <w:rFonts w:ascii="Arial" w:cs="Arial" w:eastAsia="Arial" w:hAnsi="Arial"/>
          <w:sz w:val="18"/>
          <w:szCs w:val="18"/>
          <w:color w:val="auto"/>
        </w:rPr>
        <w:t>”, when used with respect to the Securities of any series, means the place or places where the principal of and any premium and interest on the Securities of that series are payable as specified as contemplated by Section 3.1.</w:t>
      </w:r>
    </w:p>
    <w:p>
      <w:pPr>
        <w:spacing w:after="0" w:line="170"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14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Security to be redeemed, means the date fixed for such redemption by or pursuant to this Indenture.</w:t>
      </w:r>
    </w:p>
    <w:p>
      <w:pPr>
        <w:spacing w:after="0" w:line="170"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when used with respect to any Security to be redeemed, means the price at which it is to be redeemed pursuant to this Indenture.</w:t>
      </w:r>
    </w:p>
    <w:p>
      <w:pPr>
        <w:spacing w:after="0" w:line="17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for the interest payable on any Interest Payment Date on the Securities of any series means the date specified for that purpose as contemplated by Section 3.1.</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and any statute successor thereto, in each case as amended from time to time.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Register</w:t>
      </w:r>
      <w:r>
        <w:rPr>
          <w:rFonts w:ascii="Arial" w:cs="Arial" w:eastAsia="Arial" w:hAnsi="Arial"/>
          <w:sz w:val="18"/>
          <w:szCs w:val="18"/>
          <w:color w:val="auto"/>
        </w:rPr>
        <w:t>” and “</w:t>
      </w:r>
      <w:r>
        <w:rPr>
          <w:rFonts w:ascii="Arial" w:cs="Arial" w:eastAsia="Arial" w:hAnsi="Arial"/>
          <w:sz w:val="18"/>
          <w:szCs w:val="18"/>
          <w:u w:val="single" w:color="auto"/>
          <w:color w:val="auto"/>
        </w:rPr>
        <w:t>Security Registrar</w:t>
      </w:r>
      <w:r>
        <w:rPr>
          <w:rFonts w:ascii="Arial" w:cs="Arial" w:eastAsia="Arial" w:hAnsi="Arial"/>
          <w:sz w:val="18"/>
          <w:szCs w:val="18"/>
          <w:color w:val="auto"/>
        </w:rPr>
        <w:t>” have the respective meanings specified in Section 3.5.</w:t>
      </w:r>
    </w:p>
    <w:p>
      <w:pPr>
        <w:spacing w:after="0" w:line="225" w:lineRule="exact"/>
        <w:rPr>
          <w:sz w:val="20"/>
          <w:szCs w:val="20"/>
          <w:color w:val="auto"/>
        </w:rPr>
      </w:pPr>
    </w:p>
    <w:p>
      <w:pPr>
        <w:ind w:left="200" w:right="30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Subsidiary</w:t>
      </w:r>
      <w:r>
        <w:rPr>
          <w:rFonts w:ascii="Arial" w:cs="Arial" w:eastAsia="Arial" w:hAnsi="Arial"/>
          <w:sz w:val="16"/>
          <w:szCs w:val="16"/>
          <w:color w:val="auto"/>
        </w:rPr>
        <w:t>” means, at any date of determination, any Subsidiary that represents 10% or more of the Company’s consolidated total assets at the end of the most recent fiscal quarter for which financial information is available or 10% or more of the Company’s consolidated net revenues or consolidated operating income for the most recent four quarters for which financial information is available.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for the payment of any Defaulted Interest means a date fixed by the Trustee pursuant to Section 3.7.</w:t>
      </w:r>
    </w:p>
    <w:p>
      <w:pPr>
        <w:spacing w:after="0" w:line="225"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Stated Maturity</w:t>
      </w:r>
      <w:r>
        <w:rPr>
          <w:rFonts w:ascii="Arial" w:cs="Arial" w:eastAsia="Arial" w:hAnsi="Arial"/>
          <w:sz w:val="17"/>
          <w:szCs w:val="17"/>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means (1) a corporation more than 50% of the combined voting power of the outstanding Voting Stock of which is owned, directly or indirectly, by such Person or by one or more other Subsidiaries of such Person or by such Person and one or more Subsidiaries thereof or (2) any other Person (other than a corporation) in which such Person, or one or more other Subsidiaries of such Person or such Person and one or more other Subsidiaries thereof, directly or indirectly, has at least a majority ownership and power to direct the policies, management and affairs thereof.</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Guarantees</w:t>
      </w:r>
      <w:r>
        <w:rPr>
          <w:rFonts w:ascii="Arial" w:cs="Arial" w:eastAsia="Arial" w:hAnsi="Arial"/>
          <w:sz w:val="18"/>
          <w:szCs w:val="18"/>
          <w:color w:val="auto"/>
        </w:rPr>
        <w:t>” means the guarantees of each Subsidiary Guarantor as provided in Article 13.</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Guarantors</w:t>
      </w:r>
      <w:r>
        <w:rPr>
          <w:rFonts w:ascii="Arial" w:cs="Arial" w:eastAsia="Arial" w:hAnsi="Arial"/>
          <w:sz w:val="18"/>
          <w:szCs w:val="18"/>
          <w:color w:val="auto"/>
        </w:rPr>
        <w:t>” means (i) the subsidiaries listed in Schedule I hereto; (ii) each other Subsidiary of the Company that becomes a Subsidiary Guarantor in accordance with Section 13.5 hereof, and (iii) any successor of the foregoing, in each case (i), (ii) and (iii) until such Subsidiary Guarantor ceases to be such in accordance with Section 13.4 hereof.</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means the Trust Indenture Act of 1939 as in force at the date as of which this instrument was executed; provided, however, that in the event the Trust Indenture Act of 1939 is amended after such date, “Trust Indenture Act” means, to the extent required by any such amendment, the Trust Indenture Act of 1939 as so amended.</w:t>
      </w:r>
    </w:p>
    <w:p>
      <w:pPr>
        <w:spacing w:after="0" w:line="18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Obligation</w:t>
      </w:r>
      <w:r>
        <w:rPr>
          <w:rFonts w:ascii="Arial" w:cs="Arial" w:eastAsia="Arial" w:hAnsi="Arial"/>
          <w:sz w:val="18"/>
          <w:szCs w:val="18"/>
          <w:color w:val="auto"/>
        </w:rPr>
        <w:t>” has the meaning specified in Section 15.4.</w:t>
      </w:r>
    </w:p>
    <w:p>
      <w:pPr>
        <w:spacing w:after="0" w:line="225"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Vice President</w:t>
      </w:r>
      <w:r>
        <w:rPr>
          <w:rFonts w:ascii="Arial" w:cs="Arial" w:eastAsia="Arial" w:hAnsi="Arial"/>
          <w:sz w:val="18"/>
          <w:szCs w:val="18"/>
          <w:color w:val="auto"/>
        </w:rPr>
        <w:t>”, when used with respect to the Company or the Trustee, means any vice president, whether or not designated by a number or a word or words added before or after the title “vice president”.</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of any Person means Capital Stock of such Person which ordinarily has voting power for the election of directors (or persons performing similar functions) of such Person, whether at all times or only so long as no senior class of securities has such voting power by reason of any contingency.</w:t>
      </w:r>
    </w:p>
    <w:p>
      <w:pPr>
        <w:spacing w:after="0" w:line="18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of any Person means a Subsidiary of such Person all of the outstanding Capital Stock of which (other than directors’ qualifying shares) shall at the time be owned by such Person or by one or more Wholly Owned Subsidiaries of such Person or by such Person and one or more Wholly Owned Subsidiaries of such Person.</w:t>
      </w:r>
    </w:p>
    <w:p>
      <w:pPr>
        <w:spacing w:after="0" w:line="181"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Compliance Certificates and Opinions</w:t>
      </w:r>
      <w:r>
        <w:rPr>
          <w:rFonts w:ascii="Arial" w:cs="Arial" w:eastAsia="Arial" w:hAnsi="Arial"/>
          <w:sz w:val="16"/>
          <w:szCs w:val="16"/>
          <w:color w:val="auto"/>
        </w:rPr>
        <w:t>.</w:t>
      </w:r>
    </w:p>
    <w:p>
      <w:pPr>
        <w:spacing w:after="0" w:line="225"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Upon any application or request by the Company or any Subsidiary Guarantor to the Trustee to take any action under any provision of this Indenture, the Company and/or such Subsidiary Guarantor, as appropriate, shall furnish to the Trustee such certificates and opinions as may be required under the Trust Indenture Act. Each such certificate or opinion shall be given in the form of an Officers’ Certificate, if to be given by an officer of the Company or a Subsidiary Guarantor, or an Opinion of Counsel, if to be given by counsel, and shall comply with the requirements of the Trust Indenture Act and any other requirements set forth in this Indenture.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shall include: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hanging="396"/>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statement that each individual signing such certificate or opinion has read such covenant or condition and the definitions herein relating</w:t>
      </w:r>
    </w:p>
    <w:p>
      <w:pPr>
        <w:spacing w:after="0" w:line="34"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8"/>
          <w:szCs w:val="18"/>
          <w:color w:val="auto"/>
        </w:rPr>
        <w:t>thereto;</w:t>
      </w:r>
    </w:p>
    <w:p>
      <w:pPr>
        <w:spacing w:after="0" w:line="102" w:lineRule="exact"/>
        <w:rPr>
          <w:rFonts w:ascii="Arial" w:cs="Arial" w:eastAsia="Arial" w:hAnsi="Arial"/>
          <w:sz w:val="17"/>
          <w:szCs w:val="17"/>
          <w:color w:val="auto"/>
        </w:rPr>
      </w:pPr>
    </w:p>
    <w:p>
      <w:pPr>
        <w:ind w:left="200" w:right="500" w:firstLine="444"/>
        <w:spacing w:after="0" w:line="277" w:lineRule="auto"/>
        <w:tabs>
          <w:tab w:leader="none" w:pos="10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200" w:firstLine="444"/>
        <w:spacing w:after="0" w:line="277" w:lineRule="auto"/>
        <w:tabs>
          <w:tab w:leader="none" w:pos="10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statement that, in the opinion of each such individual, he has made such examination or investigation as is necessary to enable him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1040" w:hanging="396"/>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statement as to whether, in the opinion of each such individual, such condition or covenant has been complied with.</w:t>
      </w:r>
    </w:p>
    <w:p>
      <w:pPr>
        <w:spacing w:after="0" w:line="225"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Form of Documents Delivered to Trustee</w:t>
      </w:r>
      <w:r>
        <w:rPr>
          <w:rFonts w:ascii="Arial" w:cs="Arial" w:eastAsia="Arial" w:hAnsi="Arial"/>
          <w:sz w:val="16"/>
          <w:szCs w:val="16"/>
          <w:color w:val="auto"/>
        </w:rPr>
        <w:t>.</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Any certificate or opinion of an officer of the Company or a Subsidiary Guarantor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or such Subsidiary Guarantor stating that the information with respect to such factual matters is in the possession of the Company or such Subsidiary Guarantor, unless such counsel knows, or in the exercise of reasonable care should know, that the certificate or opinion or representations with respect to such matters are erroneous.</w:t>
      </w:r>
    </w:p>
    <w:p>
      <w:pPr>
        <w:spacing w:after="0" w:line="189"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Acts of Holders; Record Dates</w:t>
      </w:r>
      <w:r>
        <w:rPr>
          <w:rFonts w:ascii="Arial" w:cs="Arial" w:eastAsia="Arial" w:hAnsi="Arial"/>
          <w:sz w:val="16"/>
          <w:szCs w:val="16"/>
          <w:color w:val="auto"/>
        </w:rPr>
        <w:t>.</w:t>
      </w:r>
    </w:p>
    <w:p>
      <w:pPr>
        <w:spacing w:after="0" w:line="225"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Whenever in this Indenture it is provided that the Holders of a specified percentage in aggregate principal amount of the Securities of any or all series may take action (including the making of any demand or request, the giving of any direction,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(b) by the record of the Holders voting in favor thereof at any meeting of Holders duly called and held in accordance with procedures approved by the Trustee, (c) by a combination of such instrument or instruments and any such record of such a meeting of Holders or (d) in the case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of Securities evidenced by a Global Security, by any electronic transmission or other message, whether or not in written format, that complies with the Depositary’s applicable procedures. Such evidence (and the action embodied therein and evidenced thereby) are herein sometimes referred to as the “Act” of the relevant Holders. Proof of execution of any such instrument or of a writing appointing any such agent or proxy shall be sufficient for any purpose of this Indenture and (subject to Section 6.1) conclusive in favor of the Trustee and the Company, if made in the manner provided in this Section.</w:t>
      </w:r>
    </w:p>
    <w:p>
      <w:pPr>
        <w:spacing w:after="0" w:line="18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that the Trustee deems sufficient. The ownership of Securities shall be proved by the Security Register.</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1.6.</w:t>
      </w:r>
    </w:p>
    <w:p>
      <w:pPr>
        <w:spacing w:after="0" w:line="17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Trustee may set any day as a record date for the purpose of determining the Holders of Outstanding Securities of any series entitled to join in the giving or making of (i) any Notice of</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Default, (ii) any declaration of acceleration referred to in Section 5.2, (iii) any request to institute proceedings referred to in Section 5.7(2)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1.6.</w:t>
      </w:r>
    </w:p>
    <w:p>
      <w:pPr>
        <w:spacing w:after="0" w:line="17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With respect to any record date set pursuant to this Section, the party hereto which sets such record dates may designate any day as the “Expiration Date” and from time to time may change the Expiration Date to any earlier or later day; provided that no such change shall be effective unless notice of the proposed new Expiration Date is given to the other party hereto in writing, and to each Holder of Securities of the relevant series in the manner set forth in Section 1.6,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78"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81"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6"/>
          <w:szCs w:val="16"/>
          <w:u w:val="single" w:color="auto"/>
          <w:color w:val="auto"/>
        </w:rPr>
        <w:t>Notices, Etc., to Trustee and Company</w:t>
      </w:r>
      <w:r>
        <w:rPr>
          <w:rFonts w:ascii="Arial" w:cs="Arial" w:eastAsia="Arial" w:hAnsi="Arial"/>
          <w:sz w:val="16"/>
          <w:szCs w:val="16"/>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Any request, demand, authorization, direction, notice, consent, waiver or Act of Holders or other document provided or permitted by this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Indenture to be made upon, given or furnished to, or filed with:</w:t>
      </w:r>
    </w:p>
    <w:p>
      <w:pPr>
        <w:spacing w:after="0" w:line="103" w:lineRule="exact"/>
        <w:rPr>
          <w:sz w:val="20"/>
          <w:szCs w:val="20"/>
          <w:color w:val="auto"/>
        </w:rPr>
      </w:pPr>
    </w:p>
    <w:p>
      <w:pPr>
        <w:ind w:left="200" w:right="260" w:firstLine="444"/>
        <w:spacing w:after="0" w:line="342" w:lineRule="auto"/>
        <w:tabs>
          <w:tab w:leader="none" w:pos="1031"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Trustee by any Holder or by the Company or any Subsidiary Guarantor shall be sufficient for every purpose hereunder if made, given, furnished or filed in writing in the English language to or with the Trustee at its Corporate Trust Office, Attention: Corporate Trust Department; or</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firstLine="444"/>
        <w:spacing w:after="0" w:line="297" w:lineRule="auto"/>
        <w:tabs>
          <w:tab w:leader="none" w:pos="1031"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or any Subsidiary Guarantor by the Trustee or by any Holder shall be sufficient for every purpose hereunder (unless otherwise herein expressly provided) if in writing in the English language and mailed, first-class postage prepaid, in the case of the Company addressed to it at the address of its principal office specified in the first paragraph of this instrument or at any other address previously furnished in writing to the Trustee by the Company and, in the case of any Subsidiary Guarantor, to it at the address of the Company’s principal office specified in the first paragraph of this instrument, Attention: Chief Financial Officer, or at any other address previously furnished in writing to the Trustee by such Subsidiary Guarantor.</w:t>
      </w:r>
    </w:p>
    <w:p>
      <w:pPr>
        <w:spacing w:after="0" w:line="158"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6"/>
          <w:szCs w:val="16"/>
          <w:u w:val="single" w:color="auto"/>
          <w:color w:val="auto"/>
        </w:rPr>
        <w:t>Notice to Holders; Waiver</w:t>
      </w:r>
      <w:r>
        <w:rPr>
          <w:rFonts w:ascii="Arial" w:cs="Arial" w:eastAsia="Arial" w:hAnsi="Arial"/>
          <w:sz w:val="16"/>
          <w:szCs w:val="16"/>
          <w:color w:val="auto"/>
        </w:rPr>
        <w:t>.</w:t>
      </w:r>
    </w:p>
    <w:p>
      <w:pPr>
        <w:spacing w:after="0" w:line="225"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Where this Indenture provides for notice to Holders of any event, such notice shall be sufficiently given (unless otherwise herein expressly provided) if in writing in the English language and mailed, first-class postage prepaid, to each Holder affected by such event, at his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92"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24"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7"/>
          <w:szCs w:val="17"/>
          <w:u w:val="single" w:color="auto"/>
          <w:color w:val="auto"/>
        </w:rPr>
        <w:t>Conflict with Trust Indenture Act</w:t>
      </w:r>
      <w:r>
        <w:rPr>
          <w:rFonts w:ascii="Arial" w:cs="Arial" w:eastAsia="Arial" w:hAnsi="Arial"/>
          <w:sz w:val="17"/>
          <w:szCs w:val="17"/>
          <w:color w:val="auto"/>
        </w:rPr>
        <w:t>.</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187"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u w:val="single" w:color="auto"/>
          <w:color w:val="auto"/>
        </w:rPr>
        <w:t>Effect of Headings and Table of Contents</w:t>
      </w:r>
      <w:r>
        <w:rPr>
          <w:rFonts w:ascii="Arial" w:cs="Arial" w:eastAsia="Arial" w:hAnsi="Arial"/>
          <w:sz w:val="16"/>
          <w:szCs w:val="16"/>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Article and Section headings herein and the Table of Contents are for convenience only and shall not affect the construction hereof.</w:t>
      </w:r>
    </w:p>
    <w:p>
      <w:pPr>
        <w:spacing w:after="0" w:line="237"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All covenants and agreements in this Indenture by the Company and any Subsidiary Guarantor shall bind their respective successors and assigns, whether so expressed or not.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6"/>
          <w:szCs w:val="16"/>
          <w:u w:val="single" w:color="auto"/>
          <w:color w:val="auto"/>
        </w:rPr>
        <w:t>Separability Clause</w:t>
      </w:r>
      <w:r>
        <w:rPr>
          <w:rFonts w:ascii="Arial" w:cs="Arial" w:eastAsia="Arial" w:hAnsi="Arial"/>
          <w:sz w:val="16"/>
          <w:szCs w:val="16"/>
          <w:color w:val="auto"/>
        </w:rPr>
        <w:t>.</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case any provision in this Indenture, the Securities or the Subsidiary Guarantees shall be invalid, illegal or unenforceable, the validity, legality and enforce ability of the remaining provisions shall not in any way be affected or impaired thereby.</w:t>
      </w:r>
    </w:p>
    <w:p>
      <w:pPr>
        <w:spacing w:after="0" w:line="170"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u w:val="single" w:color="auto"/>
          <w:color w:val="auto"/>
        </w:rPr>
        <w:t>Benefits of Indenture</w:t>
      </w:r>
      <w:r>
        <w:rPr>
          <w:rFonts w:ascii="Arial" w:cs="Arial" w:eastAsia="Arial" w:hAnsi="Arial"/>
          <w:sz w:val="16"/>
          <w:szCs w:val="16"/>
          <w:color w:val="auto"/>
        </w:rPr>
        <w:t>.</w:t>
      </w:r>
    </w:p>
    <w:p>
      <w:pPr>
        <w:spacing w:after="0" w:line="225"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Nothing in this Indenture, the Securities or the Subsidiary Guarantees, express or implied, shall give to any Person, other than the parties hereto and their successors hereunder and the Holders, any benefit or any legal or equitable right, remedy or claim under this Indenture.</w:t>
      </w:r>
    </w:p>
    <w:p>
      <w:pPr>
        <w:spacing w:after="0" w:line="147"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Indenture, the Securities and the Subsidiary Guarantees shall be governed by and construed in accordance with the law of the State of New</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York.</w:t>
      </w:r>
    </w:p>
    <w:p>
      <w:pPr>
        <w:spacing w:after="0" w:line="211"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Legal Holidays</w:t>
      </w:r>
      <w:r>
        <w:rPr>
          <w:rFonts w:ascii="Arial" w:cs="Arial" w:eastAsia="Arial" w:hAnsi="Arial"/>
          <w:sz w:val="16"/>
          <w:szCs w:val="16"/>
          <w:color w:val="auto"/>
        </w:rPr>
        <w:t>.</w:t>
      </w:r>
    </w:p>
    <w:p>
      <w:pPr>
        <w:spacing w:after="0" w:line="225"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In any case where any Interest Payment Date, Redemption Date, purchase date or Stated Maturity of any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Redemption Date or purchase date, or at the Stated Maturity.</w:t>
      </w:r>
    </w:p>
    <w:p>
      <w:pPr>
        <w:spacing w:after="0" w:line="173"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1.14</w:t>
      </w:r>
      <w:r>
        <w:rPr>
          <w:sz w:val="20"/>
          <w:szCs w:val="20"/>
          <w:color w:val="auto"/>
        </w:rPr>
        <w:tab/>
      </w: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w:t>
      </w:r>
    </w:p>
    <w:p>
      <w:pPr>
        <w:spacing w:after="0" w:line="225"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No director, officer, employee, incorporator, stockholder, member, partner or trustee of the Company or any Subsidiary Guarantor, as such, shall have any liability for any obligations of the Company or any Subsidiary Guarantor under the Securities, this Indenture, any Subsidiary Guarantees or for any claim based on, in respect of, or by reason of, such obligations or their creation. By accepting a Security, each Holder shall be deemed to have waived and released all such liability. The waiver and release shall be a part of the consideration for the issue of the Securities.</w:t>
      </w: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SECURITY FORMS</w:t>
      </w:r>
    </w:p>
    <w:p>
      <w:pPr>
        <w:spacing w:after="0" w:line="229"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Forms Generally</w:t>
      </w:r>
      <w:r>
        <w:rPr>
          <w:rFonts w:ascii="Arial" w:cs="Arial" w:eastAsia="Arial" w:hAnsi="Arial"/>
          <w:sz w:val="16"/>
          <w:szCs w:val="16"/>
          <w:color w:val="auto"/>
        </w:rPr>
        <w:t>.</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Securities of each series and, if applicable, the notations of Subsidiary Guarantees to be endorsed thereon shall be in substantially the form set forth in this Article, or in such other form as shall be established by or pursuant to a Board Resolution or in one or more indentures supplemental hereto, in each case with such appropriate insertions, omissions, substitutions and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or notations of Subsidiary Guarantees, as the case may be,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3.3 for the authentication and delivery of such Securities.</w:t>
      </w:r>
    </w:p>
    <w:p>
      <w:pPr>
        <w:spacing w:after="0" w:line="178"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70"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Form of Face of Security</w:t>
      </w:r>
      <w:r>
        <w:rPr>
          <w:rFonts w:ascii="Arial" w:cs="Arial" w:eastAsia="Arial" w:hAnsi="Arial"/>
          <w:sz w:val="16"/>
          <w:szCs w:val="16"/>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[Insert any legend required by the Internal Revenue Code and the regulations thereunder.]</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00" w:type="dxa"/>
            <w:vAlign w:val="bottom"/>
            <w:gridSpan w:val="6"/>
          </w:tcPr>
          <w:p>
            <w:pPr>
              <w:ind w:left="220"/>
              <w:spacing w:after="0"/>
              <w:rPr>
                <w:sz w:val="20"/>
                <w:szCs w:val="20"/>
                <w:color w:val="auto"/>
              </w:rPr>
            </w:pPr>
            <w:r>
              <w:rPr>
                <w:rFonts w:ascii="Arial" w:cs="Arial" w:eastAsia="Arial" w:hAnsi="Arial"/>
                <w:sz w:val="18"/>
                <w:szCs w:val="18"/>
                <w:color w:val="auto"/>
              </w:rPr>
              <w:t>California Resources Corporation</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9"/>
        </w:trPr>
        <w:tc>
          <w:tcPr>
            <w:tcW w:w="320" w:type="dxa"/>
            <w:vAlign w:val="bottom"/>
          </w:tcPr>
          <w:p>
            <w:pPr>
              <w:spacing w:after="0"/>
              <w:rPr>
                <w:sz w:val="20"/>
                <w:szCs w:val="20"/>
                <w:color w:val="auto"/>
              </w:rPr>
            </w:pPr>
            <w:r>
              <w:rPr>
                <w:rFonts w:ascii="Arial" w:cs="Arial" w:eastAsia="Arial" w:hAnsi="Arial"/>
                <w:sz w:val="18"/>
                <w:szCs w:val="18"/>
                <w:color w:val="auto"/>
              </w:rPr>
              <w:t>No.</w:t>
            </w:r>
          </w:p>
        </w:tc>
        <w:tc>
          <w:tcPr>
            <w:tcW w:w="6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452"/>
        </w:trPr>
        <w:tc>
          <w:tcPr>
            <w:tcW w:w="320" w:type="dxa"/>
            <w:vAlign w:val="bottom"/>
          </w:tcPr>
          <w:p>
            <w:pPr>
              <w:spacing w:after="0"/>
              <w:rPr>
                <w:sz w:val="24"/>
                <w:szCs w:val="24"/>
                <w:color w:val="auto"/>
              </w:rPr>
            </w:pPr>
          </w:p>
        </w:tc>
        <w:tc>
          <w:tcPr>
            <w:tcW w:w="10700" w:type="dxa"/>
            <w:vAlign w:val="bottom"/>
            <w:gridSpan w:val="19"/>
          </w:tcPr>
          <w:p>
            <w:pPr>
              <w:ind w:left="120"/>
              <w:spacing w:after="0"/>
              <w:rPr>
                <w:sz w:val="20"/>
                <w:szCs w:val="20"/>
                <w:color w:val="auto"/>
              </w:rPr>
            </w:pPr>
            <w:r>
              <w:rPr>
                <w:rFonts w:ascii="Arial" w:cs="Arial" w:eastAsia="Arial" w:hAnsi="Arial"/>
                <w:sz w:val="18"/>
                <w:szCs w:val="18"/>
                <w:color w:val="auto"/>
                <w:w w:val="94"/>
              </w:rPr>
              <w:t>California Resources Corporation, a corporation duly organized and existing under the laws of Delaware (herein called the “Company,” which</w:t>
            </w:r>
          </w:p>
        </w:tc>
      </w:tr>
      <w:tr>
        <w:trPr>
          <w:trHeight w:val="190"/>
        </w:trPr>
        <w:tc>
          <w:tcPr>
            <w:tcW w:w="9080" w:type="dxa"/>
            <w:vAlign w:val="bottom"/>
            <w:gridSpan w:val="15"/>
          </w:tcPr>
          <w:p>
            <w:pPr>
              <w:spacing w:after="0" w:line="190" w:lineRule="exact"/>
              <w:rPr>
                <w:sz w:val="20"/>
                <w:szCs w:val="20"/>
                <w:color w:val="auto"/>
              </w:rPr>
            </w:pPr>
            <w:r>
              <w:rPr>
                <w:rFonts w:ascii="Arial" w:cs="Arial" w:eastAsia="Arial" w:hAnsi="Arial"/>
                <w:sz w:val="18"/>
                <w:szCs w:val="18"/>
                <w:color w:val="auto"/>
                <w:w w:val="90"/>
              </w:rPr>
              <w:t>term includes any successor Person under the Indenture hereinafter referred to), for value received, hereby promises to pay to</w:t>
            </w:r>
          </w:p>
        </w:tc>
        <w:tc>
          <w:tcPr>
            <w:tcW w:w="900" w:type="dxa"/>
            <w:vAlign w:val="bottom"/>
            <w:tcBorders>
              <w:bottom w:val="single" w:sz="8" w:color="auto"/>
            </w:tcBorders>
            <w:gridSpan w:val="2"/>
          </w:tcPr>
          <w:p>
            <w:pPr>
              <w:spacing w:after="0"/>
              <w:rPr>
                <w:sz w:val="16"/>
                <w:szCs w:val="16"/>
                <w:color w:val="auto"/>
              </w:rPr>
            </w:pPr>
          </w:p>
        </w:tc>
        <w:tc>
          <w:tcPr>
            <w:tcW w:w="1040" w:type="dxa"/>
            <w:vAlign w:val="bottom"/>
            <w:gridSpan w:val="3"/>
          </w:tcPr>
          <w:p>
            <w:pPr>
              <w:spacing w:after="0" w:line="190" w:lineRule="exact"/>
              <w:rPr>
                <w:sz w:val="20"/>
                <w:szCs w:val="20"/>
                <w:color w:val="auto"/>
              </w:rPr>
            </w:pPr>
            <w:r>
              <w:rPr>
                <w:rFonts w:ascii="Arial" w:cs="Arial" w:eastAsia="Arial" w:hAnsi="Arial"/>
                <w:sz w:val="18"/>
                <w:szCs w:val="18"/>
                <w:color w:val="auto"/>
                <w:w w:val="91"/>
              </w:rPr>
              <w:t>, or registered</w:t>
            </w:r>
          </w:p>
        </w:tc>
      </w:tr>
      <w:tr>
        <w:trPr>
          <w:trHeight w:val="196"/>
        </w:trPr>
        <w:tc>
          <w:tcPr>
            <w:tcW w:w="2100" w:type="dxa"/>
            <w:vAlign w:val="bottom"/>
            <w:gridSpan w:val="7"/>
          </w:tcPr>
          <w:p>
            <w:pPr>
              <w:spacing w:after="0" w:line="196" w:lineRule="exact"/>
              <w:rPr>
                <w:sz w:val="20"/>
                <w:szCs w:val="20"/>
                <w:color w:val="auto"/>
              </w:rPr>
            </w:pPr>
            <w:r>
              <w:rPr>
                <w:rFonts w:ascii="Arial" w:cs="Arial" w:eastAsia="Arial" w:hAnsi="Arial"/>
                <w:sz w:val="18"/>
                <w:szCs w:val="18"/>
                <w:color w:val="auto"/>
                <w:w w:val="91"/>
              </w:rPr>
              <w:t>assigns, the principal sum of</w:t>
            </w:r>
          </w:p>
        </w:tc>
        <w:tc>
          <w:tcPr>
            <w:tcW w:w="900" w:type="dxa"/>
            <w:vAlign w:val="bottom"/>
            <w:tcBorders>
              <w:bottom w:val="single" w:sz="8" w:color="auto"/>
            </w:tcBorders>
          </w:tcPr>
          <w:p>
            <w:pPr>
              <w:spacing w:after="0"/>
              <w:rPr>
                <w:sz w:val="17"/>
                <w:szCs w:val="17"/>
                <w:color w:val="auto"/>
              </w:rPr>
            </w:pPr>
          </w:p>
        </w:tc>
        <w:tc>
          <w:tcPr>
            <w:tcW w:w="84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96"/>
              </w:rPr>
              <w:t>Dollars on</w:t>
            </w: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280" w:type="dxa"/>
            <w:vAlign w:val="bottom"/>
            <w:gridSpan w:val="8"/>
          </w:tcPr>
          <w:p>
            <w:pPr>
              <w:ind w:left="60"/>
              <w:spacing w:after="0" w:line="196" w:lineRule="exact"/>
              <w:rPr>
                <w:sz w:val="20"/>
                <w:szCs w:val="20"/>
                <w:color w:val="auto"/>
              </w:rPr>
            </w:pPr>
            <w:r>
              <w:rPr>
                <w:rFonts w:ascii="Arial" w:cs="Arial" w:eastAsia="Arial" w:hAnsi="Arial"/>
                <w:sz w:val="18"/>
                <w:szCs w:val="18"/>
                <w:color w:val="auto"/>
                <w:w w:val="98"/>
              </w:rPr>
              <w:t>[if the Security is to bear interest prior to Maturity, insert — , and to pay interest</w:t>
            </w:r>
          </w:p>
        </w:tc>
      </w:tr>
      <w:tr>
        <w:trPr>
          <w:trHeight w:val="196"/>
        </w:trPr>
        <w:tc>
          <w:tcPr>
            <w:tcW w:w="940" w:type="dxa"/>
            <w:vAlign w:val="bottom"/>
            <w:gridSpan w:val="3"/>
          </w:tcPr>
          <w:p>
            <w:pPr>
              <w:spacing w:after="0" w:line="196" w:lineRule="exact"/>
              <w:rPr>
                <w:sz w:val="20"/>
                <w:szCs w:val="20"/>
                <w:color w:val="auto"/>
              </w:rPr>
            </w:pPr>
            <w:r>
              <w:rPr>
                <w:rFonts w:ascii="Arial" w:cs="Arial" w:eastAsia="Arial" w:hAnsi="Arial"/>
                <w:sz w:val="18"/>
                <w:szCs w:val="18"/>
                <w:color w:val="auto"/>
                <w:w w:val="90"/>
              </w:rPr>
              <w:t>thereon from</w:t>
            </w: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140" w:type="dxa"/>
            <w:vAlign w:val="bottom"/>
            <w:gridSpan w:val="14"/>
          </w:tcPr>
          <w:p>
            <w:pPr>
              <w:ind w:left="40"/>
              <w:spacing w:after="0" w:line="196" w:lineRule="exact"/>
              <w:rPr>
                <w:sz w:val="20"/>
                <w:szCs w:val="20"/>
                <w:color w:val="auto"/>
              </w:rPr>
            </w:pPr>
            <w:r>
              <w:rPr>
                <w:rFonts w:ascii="Arial" w:cs="Arial" w:eastAsia="Arial" w:hAnsi="Arial"/>
                <w:sz w:val="18"/>
                <w:szCs w:val="18"/>
                <w:color w:val="auto"/>
                <w:w w:val="97"/>
              </w:rPr>
              <w:t>or from the most recent Interest Payment Date to which interest has been paid or duly provided for, semi-annually on</w:t>
            </w:r>
          </w:p>
        </w:tc>
      </w:tr>
      <w:tr>
        <w:trPr>
          <w:trHeight w:val="196"/>
        </w:trPr>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gridSpan w:val="6"/>
          </w:tcPr>
          <w:p>
            <w:pPr>
              <w:spacing w:after="0" w:line="196" w:lineRule="exact"/>
              <w:rPr>
                <w:sz w:val="20"/>
                <w:szCs w:val="20"/>
                <w:color w:val="auto"/>
              </w:rPr>
            </w:pPr>
            <w:r>
              <w:rPr>
                <w:rFonts w:ascii="Arial" w:cs="Arial" w:eastAsia="Arial" w:hAnsi="Arial"/>
                <w:sz w:val="18"/>
                <w:szCs w:val="18"/>
                <w:color w:val="auto"/>
                <w:w w:val="90"/>
              </w:rPr>
              <w:t>and in each year, commencing</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w w:val="91"/>
              </w:rPr>
              <w:t>, at the rate of</w:t>
            </w:r>
          </w:p>
        </w:tc>
        <w:tc>
          <w:tcPr>
            <w:tcW w:w="5900" w:type="dxa"/>
            <w:vAlign w:val="bottom"/>
            <w:gridSpan w:val="7"/>
          </w:tcPr>
          <w:p>
            <w:pPr>
              <w:ind w:left="360"/>
              <w:spacing w:after="0" w:line="196" w:lineRule="exact"/>
              <w:rPr>
                <w:sz w:val="20"/>
                <w:szCs w:val="20"/>
                <w:color w:val="auto"/>
              </w:rPr>
            </w:pPr>
            <w:r>
              <w:rPr>
                <w:rFonts w:ascii="Arial" w:cs="Arial" w:eastAsia="Arial" w:hAnsi="Arial"/>
                <w:sz w:val="18"/>
                <w:szCs w:val="18"/>
                <w:color w:val="auto"/>
              </w:rPr>
              <w:t>% per annum, until the principal hereof is paid or made available for</w:t>
            </w:r>
          </w:p>
        </w:tc>
      </w:tr>
      <w:tr>
        <w:trPr>
          <w:trHeight w:val="20"/>
        </w:trPr>
        <w:tc>
          <w:tcPr>
            <w:tcW w:w="900" w:type="dxa"/>
            <w:vAlign w:val="bottom"/>
            <w:gridSpan w:val="2"/>
            <w:shd w:val="clear" w:color="auto" w:fill="000000"/>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9940" w:type="dxa"/>
            <w:vAlign w:val="bottom"/>
            <w:gridSpan w:val="16"/>
          </w:tcPr>
          <w:p>
            <w:pPr>
              <w:spacing w:after="0" w:line="196" w:lineRule="exact"/>
              <w:rPr>
                <w:sz w:val="20"/>
                <w:szCs w:val="20"/>
                <w:color w:val="auto"/>
              </w:rPr>
            </w:pPr>
            <w:r>
              <w:rPr>
                <w:rFonts w:ascii="Arial" w:cs="Arial" w:eastAsia="Arial" w:hAnsi="Arial"/>
                <w:sz w:val="18"/>
                <w:szCs w:val="18"/>
                <w:color w:val="auto"/>
                <w:w w:val="91"/>
              </w:rPr>
              <w:t>payment, provided that any principal and premium, and any such installment of interest, which is overdue shall bear interest at the rate of</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Pr>
          <w:p>
            <w:pPr>
              <w:spacing w:after="0" w:line="196" w:lineRule="exact"/>
              <w:rPr>
                <w:sz w:val="20"/>
                <w:szCs w:val="20"/>
                <w:color w:val="auto"/>
              </w:rPr>
            </w:pPr>
            <w:r>
              <w:rPr>
                <w:rFonts w:ascii="Arial" w:cs="Arial" w:eastAsia="Arial" w:hAnsi="Arial"/>
                <w:sz w:val="18"/>
                <w:szCs w:val="18"/>
                <w:color w:val="auto"/>
              </w:rPr>
              <w:t>% per</w:t>
            </w:r>
          </w:p>
        </w:tc>
      </w:tr>
    </w:tbl>
    <w:p>
      <w:pPr>
        <w:spacing w:after="0" w:line="13"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or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[If the Security is not to bear interest prior to Maturity, insert — The principal of this Security shall not bear interest except in the case of a default in payment of principal upon acceleration, upon redemption or at Stated Maturity and in such case the overdue principal and any overdue premium shall</w:t>
      </w:r>
    </w:p>
    <w:p>
      <w:pPr>
        <w:ind w:left="200"/>
        <w:spacing w:after="0"/>
        <w:tabs>
          <w:tab w:leader="none" w:pos="2420" w:val="left"/>
        </w:tabs>
        <w:rPr>
          <w:sz w:val="20"/>
          <w:szCs w:val="20"/>
          <w:color w:val="auto"/>
        </w:rPr>
      </w:pPr>
      <w:r>
        <w:rPr>
          <w:rFonts w:ascii="Arial" w:cs="Arial" w:eastAsia="Arial" w:hAnsi="Arial"/>
          <w:sz w:val="18"/>
          <w:szCs w:val="18"/>
          <w:color w:val="auto"/>
        </w:rPr>
        <w:t>bear interest at the rate of</w:t>
      </w:r>
      <w:r>
        <w:rPr>
          <w:sz w:val="20"/>
          <w:szCs w:val="20"/>
          <w:color w:val="auto"/>
        </w:rPr>
        <w:tab/>
      </w:r>
      <w:r>
        <w:rPr>
          <w:rFonts w:ascii="Arial" w:cs="Arial" w:eastAsia="Arial" w:hAnsi="Arial"/>
          <w:sz w:val="16"/>
          <w:szCs w:val="16"/>
          <w:color w:val="auto"/>
        </w:rPr>
        <w:t>% per annum (to the extent that the payment of such interest shall be legally enforceable), from the dates such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1322705</wp:posOffset>
            </wp:positionH>
            <wp:positionV relativeFrom="paragraph">
              <wp:posOffset>-19050</wp:posOffset>
            </wp:positionV>
            <wp:extent cx="2286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are due until they are paid or made available for payment. Interest on any overdue principal or premium shall be payable on demand. Any such interest</w:t>
      </w:r>
    </w:p>
    <w:p>
      <w:pPr>
        <w:spacing w:after="0" w:line="32" w:lineRule="exact"/>
        <w:rPr>
          <w:sz w:val="20"/>
          <w:szCs w:val="20"/>
          <w:color w:val="auto"/>
        </w:rPr>
      </w:pPr>
    </w:p>
    <w:p>
      <w:pPr>
        <w:ind w:left="200"/>
        <w:spacing w:after="0"/>
        <w:tabs>
          <w:tab w:leader="none" w:pos="7360" w:val="left"/>
        </w:tabs>
        <w:rPr>
          <w:sz w:val="20"/>
          <w:szCs w:val="20"/>
          <w:color w:val="auto"/>
        </w:rPr>
      </w:pPr>
      <w:r>
        <w:rPr>
          <w:rFonts w:ascii="Arial" w:cs="Arial" w:eastAsia="Arial" w:hAnsi="Arial"/>
          <w:sz w:val="18"/>
          <w:szCs w:val="18"/>
          <w:color w:val="auto"/>
        </w:rPr>
        <w:t>on overdue principal or premium which is not paid on demand shall bear interest at the rate of</w:t>
      </w:r>
      <w:r>
        <w:rPr>
          <w:sz w:val="20"/>
          <w:szCs w:val="20"/>
          <w:color w:val="auto"/>
        </w:rPr>
        <w:tab/>
      </w:r>
      <w:r>
        <w:rPr>
          <w:rFonts w:ascii="Arial" w:cs="Arial" w:eastAsia="Arial" w:hAnsi="Arial"/>
          <w:sz w:val="16"/>
          <w:szCs w:val="16"/>
          <w:color w:val="auto"/>
        </w:rPr>
        <w:t>% per annum (to the extent that the payment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4452620</wp:posOffset>
            </wp:positionH>
            <wp:positionV relativeFrom="paragraph">
              <wp:posOffset>-19050</wp:posOffset>
            </wp:positionV>
            <wp:extent cx="2286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ind w:left="200" w:right="320"/>
        <w:spacing w:after="0" w:line="261" w:lineRule="auto"/>
        <w:rPr>
          <w:sz w:val="20"/>
          <w:szCs w:val="20"/>
          <w:color w:val="auto"/>
        </w:rPr>
      </w:pPr>
      <w:r>
        <w:rPr>
          <w:rFonts w:ascii="Arial" w:cs="Arial" w:eastAsia="Arial" w:hAnsi="Arial"/>
          <w:sz w:val="18"/>
          <w:szCs w:val="18"/>
          <w:color w:val="auto"/>
        </w:rPr>
        <w:t>interest on interest shall be legally enforceable), from the date of such demand until the amount so demanded is paid or made available for payment. Interest on any overdue interest shall be payable on demand.]</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Payment of the principal of (and premium, if any) and [if applicable, insert — any such] interest on this Security will be made at the office or</w:t>
      </w:r>
    </w:p>
    <w:p>
      <w:pPr>
        <w:spacing w:after="0" w:line="35"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agency of the Company maintained for that purpose in ,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2653030</wp:posOffset>
            </wp:positionH>
            <wp:positionV relativeFrom="paragraph">
              <wp:posOffset>-306705</wp:posOffset>
            </wp:positionV>
            <wp:extent cx="9144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Reference is hereby made to the further prov</w:t>
      </w:r>
      <w:r>
        <w:rPr>
          <w:rFonts w:ascii="Arial" w:cs="Arial" w:eastAsia="Arial" w:hAnsi="Arial"/>
          <w:sz w:val="18"/>
          <w:szCs w:val="18"/>
          <w:i w:val="1"/>
          <w:iCs w:val="1"/>
          <w:color w:val="auto"/>
        </w:rPr>
        <w:t>is</w:t>
      </w:r>
      <w:r>
        <w:rPr>
          <w:rFonts w:ascii="Arial" w:cs="Arial" w:eastAsia="Arial" w:hAnsi="Arial"/>
          <w:sz w:val="18"/>
          <w:szCs w:val="18"/>
          <w:color w:val="auto"/>
        </w:rPr>
        <w:t>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-10160</wp:posOffset>
            </wp:positionV>
            <wp:extent cx="9144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23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CALIFORNIA RESOURCES CORPORATION</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4872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[Attest:</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Form of Reverse of Security</w:t>
      </w:r>
      <w:r>
        <w:rPr>
          <w:rFonts w:ascii="Arial" w:cs="Arial" w:eastAsia="Arial" w:hAnsi="Arial"/>
          <w:sz w:val="16"/>
          <w:szCs w:val="16"/>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Security is one of a duly authorized issue of securities of the Company (herein called the “Securities”), issued and to be issued in one or more</w:t>
      </w:r>
    </w:p>
    <w:p>
      <w:pPr>
        <w:spacing w:after="0" w:line="46" w:lineRule="exact"/>
        <w:rPr>
          <w:sz w:val="20"/>
          <w:szCs w:val="20"/>
          <w:color w:val="auto"/>
        </w:rPr>
      </w:pPr>
    </w:p>
    <w:p>
      <w:pPr>
        <w:ind w:left="200" w:right="380"/>
        <w:spacing w:after="0" w:line="261" w:lineRule="auto"/>
        <w:rPr>
          <w:sz w:val="20"/>
          <w:szCs w:val="20"/>
          <w:color w:val="auto"/>
        </w:rPr>
      </w:pPr>
      <w:r>
        <w:rPr>
          <w:rFonts w:ascii="Arial" w:cs="Arial" w:eastAsia="Arial" w:hAnsi="Arial"/>
          <w:sz w:val="18"/>
          <w:szCs w:val="18"/>
          <w:color w:val="auto"/>
        </w:rPr>
        <w:t>series under an Indenture, dated as of , 20 (herein called the “Indenture”, which term shall have the meaning assigned to it in such instrument), among the Company, the Subsidiary Guarantors named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1862455</wp:posOffset>
            </wp:positionH>
            <wp:positionV relativeFrom="paragraph">
              <wp:posOffset>-173990</wp:posOffset>
            </wp:positionV>
            <wp:extent cx="9715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86" w:lineRule="auto"/>
        <w:rPr>
          <w:sz w:val="20"/>
          <w:szCs w:val="20"/>
          <w:color w:val="auto"/>
        </w:rPr>
      </w:pPr>
      <w:r>
        <w:rPr>
          <w:rFonts w:ascii="Arial" w:cs="Arial" w:eastAsia="Arial" w:hAnsi="Arial"/>
          <w:sz w:val="16"/>
          <w:szCs w:val="16"/>
          <w:color w:val="auto"/>
        </w:rPr>
        <w:t>and [TRUSTEE’S NAME], as Trustee (herein called the “Trustee”, which term includes any successor trustee under the Indenture), and reference is hereby made to the Indenture for a statement of the respective rights, limitations of rights, duties and immunities thereunder of the Company, the Subsidiary Guarantors, the Trustee and the Holders of the Securities and of the terms upon which the Securities are, and are to be, authenticated and delivered. This Security is one of the series designated on the face hereof [if applicable, insert — , limited in aggregate principal amount to</w:t>
      </w:r>
    </w:p>
    <w:p>
      <w:pPr>
        <w:spacing w:after="0" w:line="2" w:lineRule="exact"/>
        <w:rPr>
          <w:sz w:val="20"/>
          <w:szCs w:val="20"/>
          <w:color w:val="auto"/>
        </w:rPr>
      </w:pPr>
    </w:p>
    <w:p>
      <w:pPr>
        <w:ind w:left="1200" w:hanging="996"/>
        <w:spacing w:after="0"/>
        <w:tabs>
          <w:tab w:leader="none" w:pos="1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-19050</wp:posOffset>
            </wp:positionV>
            <wp:extent cx="571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applicable, insert — The Securities of this series are subject to redemption upon not less than 30 nor more than 60 days’ notice by mail, [if</w:t>
      </w:r>
    </w:p>
    <w:p>
      <w:pPr>
        <w:spacing w:after="0" w:line="35" w:lineRule="exact"/>
        <w:rPr>
          <w:sz w:val="20"/>
          <w:szCs w:val="20"/>
          <w:color w:val="auto"/>
        </w:rPr>
      </w:pPr>
    </w:p>
    <w:p>
      <w:pPr>
        <w:ind w:left="200"/>
        <w:spacing w:after="0"/>
        <w:tabs>
          <w:tab w:leader="none" w:pos="3100" w:val="left"/>
          <w:tab w:leader="none" w:pos="6860" w:val="left"/>
          <w:tab w:leader="none" w:pos="9800" w:val="left"/>
        </w:tabs>
        <w:rPr>
          <w:sz w:val="20"/>
          <w:szCs w:val="20"/>
          <w:color w:val="auto"/>
        </w:rPr>
      </w:pPr>
      <w:r>
        <w:rPr>
          <w:rFonts w:ascii="Arial" w:cs="Arial" w:eastAsia="Arial" w:hAnsi="Arial"/>
          <w:sz w:val="18"/>
          <w:szCs w:val="18"/>
          <w:color w:val="auto"/>
        </w:rPr>
        <w:t>applicable, insert — (1) on</w:t>
      </w:r>
      <w:r>
        <w:rPr>
          <w:sz w:val="20"/>
          <w:szCs w:val="20"/>
          <w:color w:val="auto"/>
        </w:rPr>
        <w:tab/>
      </w:r>
      <w:r>
        <w:rPr>
          <w:rFonts w:ascii="Arial" w:cs="Arial" w:eastAsia="Arial" w:hAnsi="Arial"/>
          <w:sz w:val="18"/>
          <w:szCs w:val="18"/>
          <w:color w:val="auto"/>
        </w:rPr>
        <w:t>in any year commencing with the year</w:t>
      </w:r>
      <w:r>
        <w:rPr>
          <w:sz w:val="20"/>
          <w:szCs w:val="20"/>
          <w:color w:val="auto"/>
        </w:rPr>
        <w:tab/>
      </w:r>
      <w:r>
        <w:rPr>
          <w:rFonts w:ascii="Arial" w:cs="Arial" w:eastAsia="Arial" w:hAnsi="Arial"/>
          <w:sz w:val="18"/>
          <w:szCs w:val="18"/>
          <w:color w:val="auto"/>
        </w:rPr>
        <w:t>and ending with the year</w:t>
      </w:r>
      <w:r>
        <w:rPr>
          <w:sz w:val="20"/>
          <w:szCs w:val="20"/>
          <w:color w:val="auto"/>
        </w:rPr>
        <w:tab/>
      </w:r>
      <w:r>
        <w:rPr>
          <w:rFonts w:ascii="Arial" w:cs="Arial" w:eastAsia="Arial" w:hAnsi="Arial"/>
          <w:sz w:val="16"/>
          <w:szCs w:val="16"/>
          <w:color w:val="auto"/>
        </w:rPr>
        <w:t>through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1386205</wp:posOffset>
            </wp:positionH>
            <wp:positionV relativeFrom="paragraph">
              <wp:posOffset>-19050</wp:posOffset>
            </wp:positionV>
            <wp:extent cx="571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-19050</wp:posOffset>
            </wp:positionV>
            <wp:extent cx="571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5525135</wp:posOffset>
            </wp:positionH>
            <wp:positionV relativeFrom="paragraph">
              <wp:posOffset>-19050</wp:posOffset>
            </wp:positionV>
            <wp:extent cx="6858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of the sinking fund for this series at a Redemption Price equal to 100% of the principal amount, and (2)] at any time [if applicable, insert — on or after</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900" w:type="dxa"/>
            <w:vAlign w:val="bottom"/>
            <w:tcBorders>
              <w:bottom w:val="single" w:sz="8" w:color="auto"/>
            </w:tcBorders>
            <w:gridSpan w:val="2"/>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 20</w:t>
            </w:r>
          </w:p>
        </w:tc>
        <w:tc>
          <w:tcPr>
            <w:tcW w:w="360" w:type="dxa"/>
            <w:vAlign w:val="bottom"/>
            <w:tcBorders>
              <w:bottom w:val="single" w:sz="8" w:color="auto"/>
            </w:tcBorders>
          </w:tcPr>
          <w:p>
            <w:pPr>
              <w:spacing w:after="0"/>
              <w:rPr>
                <w:sz w:val="17"/>
                <w:szCs w:val="17"/>
                <w:color w:val="auto"/>
              </w:rPr>
            </w:pPr>
          </w:p>
        </w:tc>
        <w:tc>
          <w:tcPr>
            <w:tcW w:w="9040" w:type="dxa"/>
            <w:vAlign w:val="bottom"/>
            <w:gridSpan w:val="13"/>
          </w:tcPr>
          <w:p>
            <w:pPr>
              <w:spacing w:after="0"/>
              <w:rPr>
                <w:sz w:val="20"/>
                <w:szCs w:val="20"/>
                <w:color w:val="auto"/>
              </w:rPr>
            </w:pPr>
            <w:r>
              <w:rPr>
                <w:rFonts w:ascii="Arial" w:cs="Arial" w:eastAsia="Arial" w:hAnsi="Arial"/>
                <w:sz w:val="18"/>
                <w:szCs w:val="18"/>
                <w:color w:val="auto"/>
                <w:w w:val="91"/>
              </w:rPr>
              <w:t>], as a whole or in part, at the election of the Company, at the following Redemption Prices (expressed as percentages of the</w:t>
            </w:r>
          </w:p>
        </w:tc>
      </w:tr>
      <w:tr>
        <w:trPr>
          <w:trHeight w:val="196"/>
        </w:trPr>
        <w:tc>
          <w:tcPr>
            <w:tcW w:w="5840" w:type="dxa"/>
            <w:vAlign w:val="bottom"/>
            <w:gridSpan w:val="10"/>
          </w:tcPr>
          <w:p>
            <w:pPr>
              <w:spacing w:after="0" w:line="196" w:lineRule="exact"/>
              <w:rPr>
                <w:sz w:val="20"/>
                <w:szCs w:val="20"/>
                <w:color w:val="auto"/>
              </w:rPr>
            </w:pPr>
            <w:r>
              <w:rPr>
                <w:rFonts w:ascii="Arial" w:cs="Arial" w:eastAsia="Arial" w:hAnsi="Arial"/>
                <w:sz w:val="18"/>
                <w:szCs w:val="18"/>
                <w:color w:val="auto"/>
              </w:rPr>
              <w:t>principal amount): If redeemed [if applicable, insert — on or before</w:t>
            </w:r>
          </w:p>
        </w:tc>
        <w:tc>
          <w:tcPr>
            <w:tcW w:w="80" w:type="dxa"/>
            <w:vAlign w:val="bottom"/>
            <w:gridSpan w:val="2"/>
          </w:tcPr>
          <w:p>
            <w:pPr>
              <w:jc w:val="right"/>
              <w:ind w:right="40"/>
              <w:spacing w:after="0"/>
              <w:rPr>
                <w:sz w:val="20"/>
                <w:szCs w:val="20"/>
                <w:color w:val="auto"/>
              </w:rPr>
            </w:pPr>
            <w:r>
              <w:rPr>
                <w:rFonts w:ascii="Arial" w:cs="Arial" w:eastAsia="Arial" w:hAnsi="Arial"/>
                <w:sz w:val="10"/>
                <w:szCs w:val="10"/>
                <w:color w:val="auto"/>
                <w:w w:val="70"/>
              </w:rPr>
              <w:t>,</w:t>
            </w:r>
          </w:p>
        </w:tc>
        <w:tc>
          <w:tcPr>
            <w:tcW w:w="4660" w:type="dxa"/>
            <w:vAlign w:val="bottom"/>
            <w:gridSpan w:val="5"/>
          </w:tcPr>
          <w:p>
            <w:pPr>
              <w:ind w:left="360"/>
              <w:spacing w:after="0" w:line="196" w:lineRule="exact"/>
              <w:rPr>
                <w:sz w:val="20"/>
                <w:szCs w:val="20"/>
                <w:color w:val="auto"/>
              </w:rPr>
            </w:pPr>
            <w:r>
              <w:rPr>
                <w:rFonts w:ascii="Arial" w:cs="Arial" w:eastAsia="Arial" w:hAnsi="Arial"/>
                <w:sz w:val="18"/>
                <w:szCs w:val="18"/>
                <w:color w:val="auto"/>
                <w:w w:val="91"/>
              </w:rPr>
              <w:t>%, and if redeemed] during the 12-month period beginning</w:t>
            </w:r>
          </w:p>
        </w:tc>
      </w:tr>
      <w:tr>
        <w:trPr>
          <w:trHeight w:val="196"/>
        </w:trPr>
        <w:tc>
          <w:tcPr>
            <w:tcW w:w="4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76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of the years indicated,</w:t>
            </w:r>
          </w:p>
        </w:tc>
        <w:tc>
          <w:tcPr>
            <w:tcW w:w="12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26"/>
        </w:trPr>
        <w:tc>
          <w:tcPr>
            <w:tcW w:w="4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Redemption</w:t>
            </w:r>
          </w:p>
        </w:tc>
        <w:tc>
          <w:tcPr>
            <w:tcW w:w="1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Redemption</w:t>
            </w:r>
          </w:p>
        </w:tc>
      </w:tr>
      <w:tr>
        <w:trPr>
          <w:trHeight w:val="156"/>
        </w:trPr>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2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Year</w:t>
            </w:r>
          </w:p>
        </w:tc>
        <w:tc>
          <w:tcPr>
            <w:tcW w:w="1960" w:type="dxa"/>
            <w:vAlign w:val="bottom"/>
            <w:gridSpan w:val="2"/>
          </w:tcPr>
          <w:p>
            <w:pPr>
              <w:ind w:left="640"/>
              <w:spacing w:after="0" w:line="155" w:lineRule="exact"/>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Year</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tcPr>
          <w:p>
            <w:pPr>
              <w:ind w:left="940"/>
              <w:spacing w:after="0" w:line="155" w:lineRule="exact"/>
              <w:rPr>
                <w:sz w:val="20"/>
                <w:szCs w:val="20"/>
                <w:color w:val="auto"/>
              </w:rPr>
            </w:pPr>
            <w:r>
              <w:rPr>
                <w:rFonts w:ascii="Arial" w:cs="Arial" w:eastAsia="Arial" w:hAnsi="Arial"/>
                <w:sz w:val="14"/>
                <w:szCs w:val="14"/>
                <w:b w:val="1"/>
                <w:bCs w:val="1"/>
                <w:color w:val="auto"/>
              </w:rPr>
              <w:t>Price</w:t>
            </w:r>
          </w:p>
        </w:tc>
      </w:tr>
      <w:tr>
        <w:trPr>
          <w:trHeight w:val="196"/>
        </w:trPr>
        <w:tc>
          <w:tcPr>
            <w:tcW w:w="460" w:type="dxa"/>
            <w:vAlign w:val="bottom"/>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spacing w:after="0"/>
              <w:rPr>
                <w:sz w:val="17"/>
                <w:szCs w:val="17"/>
                <w:color w:val="auto"/>
              </w:rPr>
            </w:pPr>
          </w:p>
        </w:tc>
      </w:tr>
      <w:tr>
        <w:trPr>
          <w:trHeight w:val="608"/>
        </w:trPr>
        <w:tc>
          <w:tcPr>
            <w:tcW w:w="3300" w:type="dxa"/>
            <w:vAlign w:val="bottom"/>
            <w:gridSpan w:val="6"/>
          </w:tcPr>
          <w:p>
            <w:pPr>
              <w:spacing w:after="0"/>
              <w:rPr>
                <w:sz w:val="20"/>
                <w:szCs w:val="20"/>
                <w:color w:val="auto"/>
              </w:rPr>
            </w:pPr>
            <w:r>
              <w:rPr>
                <w:rFonts w:ascii="Arial" w:cs="Arial" w:eastAsia="Arial" w:hAnsi="Arial"/>
                <w:sz w:val="18"/>
                <w:szCs w:val="18"/>
                <w:color w:val="auto"/>
                <w:w w:val="90"/>
              </w:rPr>
              <w:t>and thereafter at a Redemption Price equal to</w:t>
            </w:r>
          </w:p>
        </w:tc>
        <w:tc>
          <w:tcPr>
            <w:tcW w:w="360" w:type="dxa"/>
            <w:vAlign w:val="bottom"/>
            <w:tcBorders>
              <w:bottom w:val="single" w:sz="8" w:color="auto"/>
            </w:tcBorders>
          </w:tcPr>
          <w:p>
            <w:pPr>
              <w:spacing w:after="0"/>
              <w:rPr>
                <w:sz w:val="24"/>
                <w:szCs w:val="24"/>
                <w:color w:val="auto"/>
              </w:rPr>
            </w:pPr>
          </w:p>
        </w:tc>
        <w:tc>
          <w:tcPr>
            <w:tcW w:w="6920" w:type="dxa"/>
            <w:vAlign w:val="bottom"/>
            <w:gridSpan w:val="10"/>
          </w:tcPr>
          <w:p>
            <w:pPr>
              <w:spacing w:after="0"/>
              <w:rPr>
                <w:sz w:val="20"/>
                <w:szCs w:val="20"/>
                <w:color w:val="auto"/>
              </w:rPr>
            </w:pPr>
            <w:r>
              <w:rPr>
                <w:rFonts w:ascii="Arial" w:cs="Arial" w:eastAsia="Arial" w:hAnsi="Arial"/>
                <w:sz w:val="18"/>
                <w:szCs w:val="18"/>
                <w:color w:val="auto"/>
                <w:w w:val="92"/>
              </w:rPr>
              <w:t>% of the principal amount, together in the case of any such redemption [if applicable, insert —</w:t>
            </w:r>
          </w:p>
        </w:tc>
      </w:tr>
    </w:tbl>
    <w:p>
      <w:pPr>
        <w:spacing w:after="0" w:line="13"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applicable, insert — The Securities of this series are subject to redemption upon not less than 30 nor more than 60 days’ notice by mail, (1) on</w:t>
      </w:r>
    </w:p>
    <w:p>
      <w:pPr>
        <w:spacing w:after="0" w:line="46" w:lineRule="exact"/>
        <w:rPr>
          <w:sz w:val="20"/>
          <w:szCs w:val="20"/>
          <w:color w:val="auto"/>
        </w:rPr>
      </w:pPr>
    </w:p>
    <w:p>
      <w:pPr>
        <w:ind w:left="1140"/>
        <w:spacing w:after="0"/>
        <w:tabs>
          <w:tab w:leader="none" w:pos="4340" w:val="left"/>
          <w:tab w:leader="none" w:pos="6560" w:val="left"/>
        </w:tabs>
        <w:rPr>
          <w:sz w:val="20"/>
          <w:szCs w:val="20"/>
          <w:color w:val="auto"/>
        </w:rPr>
      </w:pPr>
      <w:r>
        <w:rPr>
          <w:rFonts w:ascii="Arial" w:cs="Arial" w:eastAsia="Arial" w:hAnsi="Arial"/>
          <w:sz w:val="18"/>
          <w:szCs w:val="18"/>
          <w:color w:val="auto"/>
        </w:rPr>
        <w:t>in any year commencing with the year</w:t>
      </w:r>
      <w:r>
        <w:rPr>
          <w:sz w:val="20"/>
          <w:szCs w:val="20"/>
          <w:color w:val="auto"/>
        </w:rPr>
        <w:tab/>
      </w:r>
      <w:r>
        <w:rPr>
          <w:rFonts w:ascii="Arial" w:cs="Arial" w:eastAsia="Arial" w:hAnsi="Arial"/>
          <w:sz w:val="18"/>
          <w:szCs w:val="18"/>
          <w:color w:val="auto"/>
        </w:rPr>
        <w:t>and ending with the year</w:t>
      </w:r>
      <w:r>
        <w:rPr>
          <w:sz w:val="20"/>
          <w:szCs w:val="20"/>
          <w:color w:val="auto"/>
        </w:rPr>
        <w:tab/>
      </w:r>
      <w:r>
        <w:rPr>
          <w:rFonts w:ascii="Arial" w:cs="Arial" w:eastAsia="Arial" w:hAnsi="Arial"/>
          <w:sz w:val="16"/>
          <w:szCs w:val="16"/>
          <w:color w:val="auto"/>
        </w:rPr>
        <w:t>through operation of the sinking fund for this series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-19050</wp:posOffset>
            </wp:positionV>
            <wp:extent cx="571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2510155</wp:posOffset>
            </wp:positionH>
            <wp:positionV relativeFrom="paragraph">
              <wp:posOffset>-19050</wp:posOffset>
            </wp:positionV>
            <wp:extent cx="2286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-19050</wp:posOffset>
            </wp:positionV>
            <wp:extent cx="2286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Redemption Prices for redemption through operation of the sinking fund (expressed as percentages of the principal amount) set forth in the table below,</w:t>
      </w:r>
    </w:p>
    <w:p>
      <w:pPr>
        <w:spacing w:after="0" w:line="32" w:lineRule="exact"/>
        <w:rPr>
          <w:sz w:val="20"/>
          <w:szCs w:val="20"/>
          <w:color w:val="auto"/>
        </w:rPr>
      </w:pPr>
    </w:p>
    <w:p>
      <w:pPr>
        <w:ind w:left="200"/>
        <w:spacing w:after="0"/>
        <w:tabs>
          <w:tab w:leader="none" w:pos="5000" w:val="left"/>
        </w:tabs>
        <w:rPr>
          <w:sz w:val="20"/>
          <w:szCs w:val="20"/>
          <w:color w:val="auto"/>
        </w:rPr>
      </w:pPr>
      <w:r>
        <w:rPr>
          <w:rFonts w:ascii="Arial" w:cs="Arial" w:eastAsia="Arial" w:hAnsi="Arial"/>
          <w:sz w:val="18"/>
          <w:szCs w:val="18"/>
          <w:color w:val="auto"/>
        </w:rPr>
        <w:t>and (2) at any time [if applicable, insert — on or after</w:t>
      </w:r>
      <w:r>
        <w:rPr>
          <w:sz w:val="20"/>
          <w:szCs w:val="20"/>
          <w:color w:val="auto"/>
        </w:rPr>
        <w:tab/>
      </w:r>
      <w:r>
        <w:rPr>
          <w:rFonts w:ascii="Arial" w:cs="Arial" w:eastAsia="Arial" w:hAnsi="Arial"/>
          <w:sz w:val="16"/>
          <w:szCs w:val="16"/>
          <w:color w:val="auto"/>
        </w:rPr>
        <w:t>], as a whole or in part, at the election of the Company, at the Redemption Prices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2614295</wp:posOffset>
            </wp:positionH>
            <wp:positionV relativeFrom="paragraph">
              <wp:posOffset>-19050</wp:posOffset>
            </wp:positionV>
            <wp:extent cx="571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left="200" w:right="480"/>
        <w:spacing w:after="0" w:line="261" w:lineRule="auto"/>
        <w:rPr>
          <w:sz w:val="20"/>
          <w:szCs w:val="20"/>
          <w:color w:val="auto"/>
        </w:rPr>
      </w:pPr>
      <w:r>
        <w:rPr>
          <w:rFonts w:ascii="Arial" w:cs="Arial" w:eastAsia="Arial" w:hAnsi="Arial"/>
          <w:sz w:val="18"/>
          <w:szCs w:val="18"/>
          <w:color w:val="auto"/>
        </w:rPr>
        <w:t>redemption otherwise than through operation of the sinking fund (expressed as percentages of the principal amount) set forth in the table below: If redeemed during the 12-month period beginning of the years indicated,</w:t>
      </w:r>
    </w:p>
    <w:p>
      <w:pPr>
        <w:spacing w:after="0" w:line="19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Redemption Price For</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93"/>
              </w:rPr>
              <w:t>Redemption Price For</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60" w:type="dxa"/>
            <w:vAlign w:val="bottom"/>
            <w:gridSpan w:val="2"/>
            <w:vMerge w:val="continue"/>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Redemption Otherwise</w:t>
            </w:r>
          </w:p>
        </w:tc>
        <w:tc>
          <w:tcPr>
            <w:tcW w:w="0" w:type="dxa"/>
            <w:vAlign w:val="bottom"/>
          </w:tcPr>
          <w:p>
            <w:pPr>
              <w:spacing w:after="0"/>
              <w:rPr>
                <w:sz w:val="1"/>
                <w:szCs w:val="1"/>
                <w:color w:val="auto"/>
              </w:rPr>
            </w:pPr>
          </w:p>
        </w:tc>
      </w:tr>
      <w:tr>
        <w:trPr>
          <w:trHeight w:val="149"/>
        </w:trPr>
        <w:tc>
          <w:tcPr>
            <w:tcW w:w="3440" w:type="dxa"/>
            <w:vAlign w:val="bottom"/>
            <w:gridSpan w:val="2"/>
            <w:vMerge w:val="restart"/>
          </w:tcPr>
          <w:p>
            <w:pPr>
              <w:ind w:left="1480"/>
              <w:spacing w:after="0"/>
              <w:rPr>
                <w:sz w:val="20"/>
                <w:szCs w:val="20"/>
                <w:color w:val="auto"/>
              </w:rPr>
            </w:pPr>
            <w:r>
              <w:rPr>
                <w:rFonts w:ascii="Arial" w:cs="Arial" w:eastAsia="Arial" w:hAnsi="Arial"/>
                <w:sz w:val="14"/>
                <w:szCs w:val="14"/>
                <w:b w:val="1"/>
                <w:bCs w:val="1"/>
                <w:color w:val="auto"/>
              </w:rPr>
              <w:t>Year</w:t>
            </w:r>
          </w:p>
        </w:tc>
        <w:tc>
          <w:tcPr>
            <w:tcW w:w="3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Redemption Through</w:t>
            </w:r>
          </w:p>
        </w:tc>
        <w:tc>
          <w:tcPr>
            <w:tcW w:w="2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Than Through Operation</w:t>
            </w:r>
          </w:p>
        </w:tc>
        <w:tc>
          <w:tcPr>
            <w:tcW w:w="0" w:type="dxa"/>
            <w:vAlign w:val="bottom"/>
          </w:tcPr>
          <w:p>
            <w:pPr>
              <w:spacing w:after="0"/>
              <w:rPr>
                <w:sz w:val="1"/>
                <w:szCs w:val="1"/>
                <w:color w:val="auto"/>
              </w:rPr>
            </w:pPr>
          </w:p>
        </w:tc>
      </w:tr>
      <w:tr>
        <w:trPr>
          <w:trHeight w:val="185"/>
        </w:trPr>
        <w:tc>
          <w:tcPr>
            <w:tcW w:w="3440" w:type="dxa"/>
            <w:vAlign w:val="bottom"/>
            <w:gridSpan w:val="2"/>
            <w:vMerge w:val="continue"/>
          </w:tcPr>
          <w:p>
            <w:pPr>
              <w:spacing w:after="0"/>
              <w:rPr>
                <w:sz w:val="16"/>
                <w:szCs w:val="16"/>
                <w:color w:val="auto"/>
              </w:rPr>
            </w:pPr>
          </w:p>
        </w:tc>
        <w:tc>
          <w:tcPr>
            <w:tcW w:w="3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Operation of the Sinking Fund</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93"/>
              </w:rPr>
              <w:t>of the Sinking Fund</w:t>
            </w:r>
          </w:p>
        </w:tc>
        <w:tc>
          <w:tcPr>
            <w:tcW w:w="0" w:type="dxa"/>
            <w:vAlign w:val="bottom"/>
          </w:tcPr>
          <w:p>
            <w:pPr>
              <w:spacing w:after="0"/>
              <w:rPr>
                <w:sz w:val="1"/>
                <w:szCs w:val="1"/>
                <w:color w:val="auto"/>
              </w:rPr>
            </w:pPr>
          </w:p>
        </w:tc>
      </w:tr>
      <w:tr>
        <w:trPr>
          <w:trHeight w:val="196"/>
        </w:trPr>
        <w:tc>
          <w:tcPr>
            <w:tcW w:w="3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9" w:lineRule="auto"/>
        <w:rPr>
          <w:sz w:val="20"/>
          <w:szCs w:val="20"/>
          <w:color w:val="auto"/>
        </w:rPr>
      </w:pPr>
      <w:r>
        <w:rPr>
          <w:rFonts w:ascii="Arial" w:cs="Arial" w:eastAsia="Arial" w:hAnsi="Arial"/>
          <w:sz w:val="18"/>
          <w:szCs w:val="18"/>
          <w:color w:val="auto"/>
        </w:rPr>
        <w:t>and thereafter at a Redemption Price equal to ___% of the principal amount, together in the case of any such redemption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6740" w:type="dxa"/>
            <w:vAlign w:val="bottom"/>
            <w:gridSpan w:val="7"/>
          </w:tcPr>
          <w:p>
            <w:pPr>
              <w:ind w:left="440"/>
              <w:spacing w:after="0"/>
              <w:rPr>
                <w:sz w:val="20"/>
                <w:szCs w:val="20"/>
                <w:color w:val="auto"/>
              </w:rPr>
            </w:pPr>
            <w:r>
              <w:rPr>
                <w:rFonts w:ascii="Arial" w:cs="Arial" w:eastAsia="Arial" w:hAnsi="Arial"/>
                <w:sz w:val="18"/>
                <w:szCs w:val="18"/>
                <w:color w:val="auto"/>
                <w:w w:val="93"/>
              </w:rPr>
              <w:t>[If applicable, insert — Notwithstanding the foregoing, the Company may not, prior to</w:t>
            </w: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 redeem any Securities of this series as</w:t>
            </w:r>
          </w:p>
        </w:tc>
      </w:tr>
      <w:tr>
        <w:trPr>
          <w:trHeight w:val="222"/>
        </w:trPr>
        <w:tc>
          <w:tcPr>
            <w:tcW w:w="11020" w:type="dxa"/>
            <w:vAlign w:val="bottom"/>
            <w:gridSpan w:val="11"/>
          </w:tcPr>
          <w:p>
            <w:pPr>
              <w:spacing w:after="0"/>
              <w:rPr>
                <w:sz w:val="20"/>
                <w:szCs w:val="20"/>
                <w:color w:val="auto"/>
              </w:rPr>
            </w:pPr>
            <w:r>
              <w:rPr>
                <w:rFonts w:ascii="Arial" w:cs="Arial" w:eastAsia="Arial" w:hAnsi="Arial"/>
                <w:sz w:val="18"/>
                <w:szCs w:val="18"/>
                <w:color w:val="auto"/>
                <w:w w:val="97"/>
              </w:rPr>
              <w:t>contemplated by [if applicable, insert — clause (2) of] the preceding paragraph as a part of, or in anticipation of, any refunding operation by the</w:t>
            </w:r>
          </w:p>
        </w:tc>
      </w:tr>
      <w:tr>
        <w:trPr>
          <w:trHeight w:val="216"/>
        </w:trPr>
        <w:tc>
          <w:tcPr>
            <w:tcW w:w="11020" w:type="dxa"/>
            <w:vAlign w:val="bottom"/>
            <w:gridSpan w:val="11"/>
          </w:tcPr>
          <w:p>
            <w:pPr>
              <w:spacing w:after="0"/>
              <w:rPr>
                <w:sz w:val="20"/>
                <w:szCs w:val="20"/>
                <w:color w:val="auto"/>
              </w:rPr>
            </w:pPr>
            <w:r>
              <w:rPr>
                <w:rFonts w:ascii="Arial" w:cs="Arial" w:eastAsia="Arial" w:hAnsi="Arial"/>
                <w:sz w:val="18"/>
                <w:szCs w:val="18"/>
                <w:color w:val="auto"/>
                <w:w w:val="96"/>
              </w:rPr>
              <w:t>application, directly or indirectly, of moneys borrowed having an interest cost to the Company (calculated in accordance with generally accepted</w:t>
            </w:r>
          </w:p>
        </w:tc>
      </w:tr>
      <w:tr>
        <w:trPr>
          <w:trHeight w:val="190"/>
        </w:trPr>
        <w:tc>
          <w:tcPr>
            <w:tcW w:w="2220" w:type="dxa"/>
            <w:vAlign w:val="bottom"/>
            <w:gridSpan w:val="2"/>
          </w:tcPr>
          <w:p>
            <w:pPr>
              <w:spacing w:after="0" w:line="190" w:lineRule="exact"/>
              <w:rPr>
                <w:sz w:val="20"/>
                <w:szCs w:val="20"/>
                <w:color w:val="auto"/>
              </w:rPr>
            </w:pPr>
            <w:r>
              <w:rPr>
                <w:rFonts w:ascii="Arial" w:cs="Arial" w:eastAsia="Arial" w:hAnsi="Arial"/>
                <w:sz w:val="18"/>
                <w:szCs w:val="18"/>
                <w:color w:val="auto"/>
                <w:w w:val="92"/>
              </w:rPr>
              <w:t>financial practice) of less than</w:t>
            </w:r>
          </w:p>
        </w:tc>
        <w:tc>
          <w:tcPr>
            <w:tcW w:w="360" w:type="dxa"/>
            <w:vAlign w:val="bottom"/>
            <w:tcBorders>
              <w:bottom w:val="single" w:sz="8" w:color="auto"/>
            </w:tcBorders>
          </w:tcPr>
          <w:p>
            <w:pPr>
              <w:spacing w:after="0"/>
              <w:rPr>
                <w:sz w:val="16"/>
                <w:szCs w:val="16"/>
                <w:color w:val="auto"/>
              </w:rPr>
            </w:pPr>
          </w:p>
        </w:tc>
        <w:tc>
          <w:tcPr>
            <w:tcW w:w="1100" w:type="dxa"/>
            <w:vAlign w:val="bottom"/>
            <w:gridSpan w:val="2"/>
          </w:tcPr>
          <w:p>
            <w:pPr>
              <w:spacing w:after="0" w:line="190" w:lineRule="exact"/>
              <w:rPr>
                <w:sz w:val="20"/>
                <w:szCs w:val="20"/>
                <w:color w:val="auto"/>
              </w:rPr>
            </w:pPr>
            <w:r>
              <w:rPr>
                <w:rFonts w:ascii="Arial" w:cs="Arial" w:eastAsia="Arial" w:hAnsi="Arial"/>
                <w:sz w:val="18"/>
                <w:szCs w:val="18"/>
                <w:color w:val="auto"/>
                <w:w w:val="92"/>
              </w:rPr>
              <w:t>% per annum.]</w:t>
            </w:r>
          </w:p>
        </w:tc>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r>
      <w:tr>
        <w:trPr>
          <w:trHeight w:val="412"/>
        </w:trPr>
        <w:tc>
          <w:tcPr>
            <w:tcW w:w="6740" w:type="dxa"/>
            <w:vAlign w:val="bottom"/>
            <w:gridSpan w:val="7"/>
          </w:tcPr>
          <w:p>
            <w:pPr>
              <w:ind w:left="440"/>
              <w:spacing w:after="0"/>
              <w:rPr>
                <w:sz w:val="20"/>
                <w:szCs w:val="20"/>
                <w:color w:val="auto"/>
              </w:rPr>
            </w:pPr>
            <w:r>
              <w:rPr>
                <w:rFonts w:ascii="Arial" w:cs="Arial" w:eastAsia="Arial" w:hAnsi="Arial"/>
                <w:sz w:val="18"/>
                <w:szCs w:val="18"/>
                <w:color w:val="auto"/>
                <w:w w:val="92"/>
              </w:rPr>
              <w:t>[If applicable, insert — The sinking fund for this series provides for the redemption on</w:t>
            </w: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in each year beginning with the year</w:t>
            </w:r>
          </w:p>
        </w:tc>
      </w:tr>
      <w:tr>
        <w:trPr>
          <w:trHeight w:val="196"/>
        </w:trPr>
        <w:tc>
          <w:tcPr>
            <w:tcW w:w="900" w:type="dxa"/>
            <w:vAlign w:val="bottom"/>
          </w:tcPr>
          <w:p>
            <w:pPr>
              <w:spacing w:after="0"/>
              <w:rPr>
                <w:sz w:val="17"/>
                <w:szCs w:val="17"/>
                <w:color w:val="auto"/>
              </w:rPr>
            </w:pPr>
          </w:p>
        </w:tc>
        <w:tc>
          <w:tcPr>
            <w:tcW w:w="188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2"/>
              </w:rPr>
              <w:t>and ending with the year</w:t>
            </w:r>
          </w:p>
        </w:tc>
        <w:tc>
          <w:tcPr>
            <w:tcW w:w="900" w:type="dxa"/>
            <w:vAlign w:val="bottom"/>
          </w:tcPr>
          <w:p>
            <w:pPr>
              <w:spacing w:after="0"/>
              <w:rPr>
                <w:sz w:val="17"/>
                <w:szCs w:val="17"/>
                <w:color w:val="auto"/>
              </w:rPr>
            </w:pPr>
          </w:p>
        </w:tc>
        <w:tc>
          <w:tcPr>
            <w:tcW w:w="306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93"/>
              </w:rPr>
              <w:t>of [if applicable, insert — not less than $</w:t>
            </w:r>
          </w:p>
        </w:tc>
        <w:tc>
          <w:tcPr>
            <w:tcW w:w="820" w:type="dxa"/>
            <w:vAlign w:val="bottom"/>
          </w:tcPr>
          <w:p>
            <w:pPr>
              <w:spacing w:after="0"/>
              <w:rPr>
                <w:sz w:val="17"/>
                <w:szCs w:val="17"/>
                <w:color w:val="auto"/>
              </w:rPr>
            </w:pPr>
          </w:p>
        </w:tc>
        <w:tc>
          <w:tcPr>
            <w:tcW w:w="346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2"/>
              </w:rPr>
              <w:t>(“mandatory sinking fund”) and not more than]</w:t>
            </w:r>
          </w:p>
        </w:tc>
      </w:tr>
      <w:tr>
        <w:trPr>
          <w:trHeight w:val="20"/>
        </w:trPr>
        <w:tc>
          <w:tcPr>
            <w:tcW w:w="9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bl>
    <w:p>
      <w:pPr>
        <w:spacing w:after="0" w:line="13" w:lineRule="exact"/>
        <w:rPr>
          <w:sz w:val="20"/>
          <w:szCs w:val="20"/>
          <w:color w:val="auto"/>
        </w:rPr>
      </w:pPr>
    </w:p>
    <w:p>
      <w:pPr>
        <w:ind w:left="200" w:right="40" w:firstLine="4"/>
        <w:spacing w:after="0" w:line="286" w:lineRule="auto"/>
        <w:tabs>
          <w:tab w:leader="none" w:pos="12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aggregate principal amount of Securities of this series. Securities of this series acquired or redeemed by the Company otherwise than through [if applicable, insert — mandatory] sinking fund payments may be credited against subsequent [if applicable, insert — mandatory] sinking fund payments otherwise required to be made [if applicable, insert — , in the inverse order in which they become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-322580</wp:posOffset>
            </wp:positionV>
            <wp:extent cx="571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46"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[If the Security is subject to redemption of any kind, insert — In the event of redemption of this Security in part only, a new Security or Securities of this series and of like tenor for the unredeemed portion hereof will be issued in the name of the Holder hereof upon the cancellation hereof.]</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[If the Security is subject to conversion, insert — Subject to the provisions of the Indenture, the Holder has the right to convert the principal</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amount of this Security into fully paid and nonassessable shares of Common Stock of the Company at the initial conversion price per share of Common</w:t>
      </w:r>
    </w:p>
    <w:p>
      <w:pPr>
        <w:spacing w:after="0" w:line="32" w:lineRule="exact"/>
        <w:rPr>
          <w:sz w:val="20"/>
          <w:szCs w:val="20"/>
          <w:color w:val="auto"/>
        </w:rPr>
      </w:pPr>
    </w:p>
    <w:p>
      <w:pPr>
        <w:ind w:left="200" w:right="60"/>
        <w:spacing w:after="0" w:line="277" w:lineRule="auto"/>
        <w:rPr>
          <w:sz w:val="20"/>
          <w:szCs w:val="20"/>
          <w:color w:val="auto"/>
        </w:rPr>
      </w:pPr>
      <w:r>
        <w:rPr>
          <w:rFonts w:ascii="Arial" w:cs="Arial" w:eastAsia="Arial" w:hAnsi="Arial"/>
          <w:sz w:val="17"/>
          <w:szCs w:val="17"/>
          <w:color w:val="auto"/>
        </w:rPr>
        <w:t>Stock of $ (or $ in principal amount of Securities for each such share of Common Stock), or at the adjusted conversion price then in effect, if adjustment has been made as provided in the Indenture, upon surrender of the Security to the Conversion Agent, together with a fully executed notice in substantially the form attached hereto and, if required by the Indenture, an amount equal to accrued interest payable on this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-317500</wp:posOffset>
            </wp:positionV>
            <wp:extent cx="13906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53"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[If applicable, insert — As provided in the Indenture and subject to certain limitations therein set forth, the obligations of the Company under this Security are guaranteed pursuant to the Indenture as indicated in the notation of Subsidiary Guarantee endorsed hereon. The Indenture provides that a Subsidiary Guarantor shall be released from its Subsidiary Guarantee upon compliance with certain conditions.]</w:t>
      </w:r>
    </w:p>
    <w:p>
      <w:pPr>
        <w:spacing w:after="0" w:line="166"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[If applicable, insert — 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[If the Security is not an Original Issue Discount Security, insert — If an Event of Default with respect to Securities of this series shall occur and be continuing, the principal of the Securities of this series may be declared due and payable in the manner and with the effect provided in the Indenture.]</w:t>
      </w:r>
    </w:p>
    <w:p>
      <w:pPr>
        <w:spacing w:after="0" w:line="12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the Security is an Original Issue Discount Security, insert — If an Event of Default with respect to Securities of this series shall occur and be continuing, an amount of principal of the Securities of this series may be declared due and payable in the manner and with the effect provided in the Indenture. Such amount shall be equal to — insert formula for determining the 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193"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79"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security or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provided however, that the Company will have 90 days following such written notice to remedy or receive a waiver for any failure to comply with the Company’s obligations under the Indenture so long as the Company is attempting to remedy any such failure as soon as reasonably practicable. The foregoing shall not apply to any suit instituted by the Holder of this Security for the enforcement of any payment of principal hereof or any premium or interest hereon on or after the respective due dates expressed herein [if applicable, insert — or the right to convert this Security in accordance with its terms].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[insert if applicable — and to convert such Security in accordance with its terms].</w:t>
      </w:r>
    </w:p>
    <w:p>
      <w:pPr>
        <w:spacing w:after="0" w:line="18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93" w:lineRule="exact"/>
        <w:rPr>
          <w:sz w:val="20"/>
          <w:szCs w:val="20"/>
          <w:color w:val="auto"/>
        </w:rPr>
      </w:pPr>
    </w:p>
    <w:p>
      <w:pPr>
        <w:ind w:left="640"/>
        <w:spacing w:after="0"/>
        <w:tabs>
          <w:tab w:leader="none" w:pos="9000" w:val="left"/>
        </w:tabs>
        <w:rPr>
          <w:sz w:val="20"/>
          <w:szCs w:val="20"/>
          <w:color w:val="auto"/>
        </w:rPr>
      </w:pPr>
      <w:r>
        <w:rPr>
          <w:rFonts w:ascii="Arial" w:cs="Arial" w:eastAsia="Arial" w:hAnsi="Arial"/>
          <w:sz w:val="18"/>
          <w:szCs w:val="18"/>
          <w:color w:val="auto"/>
        </w:rPr>
        <w:t>The Securities of this series are issuable only in registered form without coupons in denominations of $</w:t>
      </w:r>
      <w:r>
        <w:rPr>
          <w:sz w:val="20"/>
          <w:szCs w:val="20"/>
          <w:color w:val="auto"/>
        </w:rPr>
        <w:tab/>
      </w:r>
      <w:r>
        <w:rPr>
          <w:rFonts w:ascii="Arial" w:cs="Arial" w:eastAsia="Arial" w:hAnsi="Arial"/>
          <w:sz w:val="16"/>
          <w:szCs w:val="16"/>
          <w:color w:val="auto"/>
        </w:rPr>
        <w:t>and any integral multiple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5132705</wp:posOffset>
            </wp:positionH>
            <wp:positionV relativeFrom="paragraph">
              <wp:posOffset>-10160</wp:posOffset>
            </wp:positionV>
            <wp:extent cx="571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left="200" w:right="60"/>
        <w:spacing w:after="0" w:line="323" w:lineRule="auto"/>
        <w:rPr>
          <w:sz w:val="20"/>
          <w:szCs w:val="20"/>
          <w:color w:val="auto"/>
        </w:rPr>
      </w:pPr>
      <w:r>
        <w:rPr>
          <w:rFonts w:ascii="Arial" w:cs="Arial" w:eastAsia="Arial" w:hAnsi="Arial"/>
          <w:sz w:val="16"/>
          <w:szCs w:val="16"/>
          <w:color w:val="auto"/>
        </w:rPr>
        <w:t>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39"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Form of Notation of Subsidiary Guarantee</w:t>
      </w:r>
      <w:r>
        <w:rPr>
          <w:rFonts w:ascii="Arial" w:cs="Arial" w:eastAsia="Arial" w:hAnsi="Arial"/>
          <w:sz w:val="16"/>
          <w:szCs w:val="16"/>
          <w:color w:val="auto"/>
        </w:rPr>
        <w:t>.</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u w:val="single" w:color="auto"/>
          <w:color w:val="auto"/>
        </w:rPr>
        <w:t>SUBSIDIARY GUARANTEE</w:t>
      </w:r>
    </w:p>
    <w:p>
      <w:pPr>
        <w:spacing w:after="0" w:line="225"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Each of the Subsidiary Guarantors (which term includes any successor Person under the Indenture) has fully, unconditionally and absolutely guaranteed, to the extent set forth in the Indenture and subject to the provisions in the Indenture, the due and punctual payment of the principal of, and premium, if any, and interest on the Securities and all other amounts due and payable under the Indenture and the Securities by the Company.</w:t>
      </w:r>
    </w:p>
    <w:p>
      <w:pPr>
        <w:spacing w:after="0" w:line="147"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obligations of the Subsidiary Guarantors to the Holders of Securities and to the Trustee pursuant to the Subsidiary Guarantee and the Indenture are expressly set forth in Article 13 of the Indenture and reference is hereby made to the Indenture for the precise terms of the Subsidiary Guarantee.</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240" w:top="459" w:right="5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[INSERT SUBSIDIARY GUARANTORS]</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4009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2400935"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-130810</wp:posOffset>
            </wp:positionV>
            <wp:extent cx="24009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18"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Form of Legend for Global Securities</w:t>
      </w:r>
      <w:r>
        <w:rPr>
          <w:rFonts w:ascii="Arial" w:cs="Arial" w:eastAsia="Arial" w:hAnsi="Arial"/>
          <w:sz w:val="16"/>
          <w:szCs w:val="16"/>
          <w:color w:val="auto"/>
        </w:rPr>
        <w:t>.</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Unless otherwise specified as contemplated by Section 3.1 for the Securities evidenced thereby, every Global Security authenticated and delivered hereunder shall bear a legend in substantially the following form:</w:t>
      </w:r>
    </w:p>
    <w:p>
      <w:pPr>
        <w:spacing w:after="0" w:line="62" w:lineRule="exact"/>
        <w:rPr>
          <w:sz w:val="20"/>
          <w:szCs w:val="20"/>
          <w:color w:val="auto"/>
        </w:rPr>
      </w:pPr>
    </w:p>
    <w:p>
      <w:pPr>
        <w:ind w:left="640" w:right="180"/>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8"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Form of Trustee’s Certificate of Authentication</w:t>
      </w:r>
      <w:r>
        <w:rPr>
          <w:rFonts w:ascii="Arial" w:cs="Arial" w:eastAsia="Arial" w:hAnsi="Arial"/>
          <w:sz w:val="16"/>
          <w:szCs w:val="16"/>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Trustee’s certificates of authentication shall be in substantially the following form: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[TRUSTEE’S NAME], As Trustee</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4872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04"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Form of Conversion Notice</w:t>
      </w:r>
      <w:r>
        <w:rPr>
          <w:rFonts w:ascii="Arial" w:cs="Arial" w:eastAsia="Arial" w:hAnsi="Arial"/>
          <w:sz w:val="16"/>
          <w:szCs w:val="16"/>
          <w:color w:val="auto"/>
        </w:rPr>
        <w:t>.</w:t>
      </w:r>
    </w:p>
    <w:p>
      <w:pPr>
        <w:spacing w:after="0" w:line="225"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Each convertible Security shall have attached thereto, or set forth on the reverse of the Security, a notice of conversion in substantially the following form:</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u w:val="single" w:color="auto"/>
          <w:color w:val="auto"/>
        </w:rPr>
        <w:t>Conversion Notice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California Resources Corporation</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undersigned owner of this Security hereby: (i) irrevocably exercises the option to convert this Security, or the portion hereof below designated, for shares of Common Stock of California Resources Corporation in accordance with the terms of the Indenture referred to in this Security and (ii) directs that such shares of Common Stock deliverable upon the conversion, together with any check in payment for fractional shares and any Security(ies) representing any</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unconverted principal amount hereof, be issued and delivered to the registered holder hereof unless a different name has been indicated below. If shares are to be delivered registered in the name of a Person other than the undersigned, the undersigned will pay all transfer taxes payable with respect thereto. Any amount required to be paid by the undersigned on account of interest accompanies this Security.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-10160</wp:posOffset>
            </wp:positionV>
            <wp:extent cx="9144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-130175</wp:posOffset>
            </wp:positionV>
            <wp:extent cx="27959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Fill in for registration of shares if to be delivered, and of Securities if to be issued, otherwise than to and in the name of the registered holder.</w:t>
      </w:r>
    </w:p>
    <w:p>
      <w:pPr>
        <w:spacing w:after="0" w:line="26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Social Security or other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5892800</wp:posOffset>
            </wp:positionH>
            <wp:positionV relativeFrom="paragraph">
              <wp:posOffset>-10160</wp:posOffset>
            </wp:positionV>
            <wp:extent cx="1228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-19050</wp:posOffset>
            </wp:positionV>
            <wp:extent cx="17430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27959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27959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Principal amount to be converted: (if less than all)</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-19050</wp:posOffset>
            </wp:positionV>
            <wp:extent cx="3429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27959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acceptable to the Trustee).</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SECURITIES</w:t>
      </w:r>
    </w:p>
    <w:p>
      <w:pPr>
        <w:spacing w:after="0" w:line="229"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Amount Unlimited; Issuable in Series</w:t>
      </w:r>
      <w:r>
        <w:rPr>
          <w:rFonts w:ascii="Arial" w:cs="Arial" w:eastAsia="Arial" w:hAnsi="Arial"/>
          <w:sz w:val="16"/>
          <w:szCs w:val="16"/>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aggregate principal amount of Securities which may be authenticated and delivered under this Indenture is unlimited.</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Securities may be issued in one or more series. There shall be established in or pursuant to a Board Resolution and, subject to Section 3.3, set forth, or determined in the manner provided, in an Officers’ Certificate, or established in one or more indentures supplemental hereto, prior to the issuance of Securities of any series,</w:t>
      </w:r>
    </w:p>
    <w:p>
      <w:pPr>
        <w:spacing w:after="0" w:line="73" w:lineRule="exact"/>
        <w:rPr>
          <w:sz w:val="20"/>
          <w:szCs w:val="20"/>
          <w:color w:val="auto"/>
        </w:rPr>
      </w:pPr>
    </w:p>
    <w:p>
      <w:pPr>
        <w:jc w:val="center"/>
        <w:ind w:left="5620" w:right="1160" w:hanging="4976"/>
        <w:spacing w:after="0" w:line="449" w:lineRule="auto"/>
        <w:tabs>
          <w:tab w:leader="none" w:pos="103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the series from Securities of any other series); 20</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hanging="396"/>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Securities of the series will not have the benefit of the Subsidiary Guarantees of the Subsidiary Guarantors;</w:t>
      </w:r>
    </w:p>
    <w:p>
      <w:pPr>
        <w:spacing w:after="0" w:line="117" w:lineRule="exact"/>
        <w:rPr>
          <w:rFonts w:ascii="Arial" w:cs="Arial" w:eastAsia="Arial" w:hAnsi="Arial"/>
          <w:sz w:val="18"/>
          <w:szCs w:val="18"/>
          <w:color w:val="auto"/>
        </w:rPr>
      </w:pPr>
    </w:p>
    <w:p>
      <w:pPr>
        <w:ind w:left="200" w:right="60" w:firstLine="444"/>
        <w:spacing w:after="0" w:line="259" w:lineRule="auto"/>
        <w:tabs>
          <w:tab w:leader="none" w:pos="1031"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3.4, 3.5, 3.6, 9.6 or 11.7 and except for any Securities which, pursuant to Section 3.3, are deemed never to have been authenticated and delivered hereunder);</w:t>
      </w:r>
    </w:p>
    <w:p>
      <w:pPr>
        <w:spacing w:after="0" w:line="78" w:lineRule="exact"/>
        <w:rPr>
          <w:rFonts w:ascii="Arial" w:cs="Arial" w:eastAsia="Arial" w:hAnsi="Arial"/>
          <w:sz w:val="18"/>
          <w:szCs w:val="18"/>
          <w:color w:val="auto"/>
        </w:rPr>
      </w:pPr>
    </w:p>
    <w:p>
      <w:pPr>
        <w:ind w:left="200" w:right="120" w:firstLine="444"/>
        <w:spacing w:after="0" w:line="277" w:lineRule="auto"/>
        <w:tabs>
          <w:tab w:leader="none" w:pos="103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62" w:lineRule="exact"/>
        <w:rPr>
          <w:rFonts w:ascii="Arial" w:cs="Arial" w:eastAsia="Arial" w:hAnsi="Arial"/>
          <w:sz w:val="18"/>
          <w:szCs w:val="18"/>
          <w:color w:val="auto"/>
        </w:rPr>
      </w:pPr>
    </w:p>
    <w:p>
      <w:pPr>
        <w:ind w:left="1040" w:hanging="396"/>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or dates on which the principal of any Securities of the series is payable;</w:t>
      </w:r>
    </w:p>
    <w:p>
      <w:pPr>
        <w:spacing w:after="0" w:line="117" w:lineRule="exact"/>
        <w:rPr>
          <w:rFonts w:ascii="Arial" w:cs="Arial" w:eastAsia="Arial" w:hAnsi="Arial"/>
          <w:sz w:val="18"/>
          <w:szCs w:val="18"/>
          <w:color w:val="auto"/>
        </w:rPr>
      </w:pPr>
    </w:p>
    <w:p>
      <w:pPr>
        <w:ind w:left="200" w:firstLine="444"/>
        <w:spacing w:after="0" w:line="264" w:lineRule="auto"/>
        <w:tabs>
          <w:tab w:leader="none" w:pos="103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rate or rates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w:t>
      </w:r>
    </w:p>
    <w:p>
      <w:pPr>
        <w:spacing w:after="0" w:line="73" w:lineRule="exact"/>
        <w:rPr>
          <w:rFonts w:ascii="Arial" w:cs="Arial" w:eastAsia="Arial" w:hAnsi="Arial"/>
          <w:sz w:val="18"/>
          <w:szCs w:val="18"/>
          <w:color w:val="auto"/>
        </w:rPr>
      </w:pPr>
    </w:p>
    <w:p>
      <w:pPr>
        <w:ind w:left="1040" w:hanging="396"/>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and interest on any Securities of the series shall be payable;</w:t>
      </w:r>
    </w:p>
    <w:p>
      <w:pPr>
        <w:spacing w:after="0" w:line="117" w:lineRule="exact"/>
        <w:rPr>
          <w:rFonts w:ascii="Arial" w:cs="Arial" w:eastAsia="Arial" w:hAnsi="Arial"/>
          <w:sz w:val="18"/>
          <w:szCs w:val="18"/>
          <w:color w:val="auto"/>
        </w:rPr>
      </w:pPr>
    </w:p>
    <w:p>
      <w:pPr>
        <w:jc w:val="both"/>
        <w:ind w:left="200" w:right="20" w:firstLine="444"/>
        <w:spacing w:after="0" w:line="264" w:lineRule="auto"/>
        <w:tabs>
          <w:tab w:leader="none" w:pos="103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73" w:lineRule="exact"/>
        <w:rPr>
          <w:rFonts w:ascii="Arial" w:cs="Arial" w:eastAsia="Arial" w:hAnsi="Arial"/>
          <w:sz w:val="18"/>
          <w:szCs w:val="18"/>
          <w:color w:val="auto"/>
        </w:rPr>
      </w:pPr>
    </w:p>
    <w:p>
      <w:pPr>
        <w:ind w:left="200" w:right="140" w:firstLine="444"/>
        <w:spacing w:after="0" w:line="286" w:lineRule="auto"/>
        <w:tabs>
          <w:tab w:leader="none" w:pos="1031"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57" w:lineRule="exact"/>
        <w:rPr>
          <w:rFonts w:ascii="Arial" w:cs="Arial" w:eastAsia="Arial" w:hAnsi="Arial"/>
          <w:sz w:val="17"/>
          <w:szCs w:val="17"/>
          <w:color w:val="auto"/>
        </w:rPr>
      </w:pPr>
    </w:p>
    <w:p>
      <w:pPr>
        <w:ind w:left="1120" w:hanging="476"/>
        <w:spacing w:after="0"/>
        <w:tabs>
          <w:tab w:leader="none" w:pos="11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any Securities of the series shall be</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issuable;</w:t>
      </w:r>
    </w:p>
    <w:p>
      <w:pPr>
        <w:spacing w:after="0" w:line="102" w:lineRule="exact"/>
        <w:rPr>
          <w:rFonts w:ascii="Arial" w:cs="Arial" w:eastAsia="Arial" w:hAnsi="Arial"/>
          <w:sz w:val="16"/>
          <w:szCs w:val="16"/>
          <w:color w:val="auto"/>
        </w:rPr>
      </w:pPr>
    </w:p>
    <w:p>
      <w:pPr>
        <w:ind w:left="200" w:right="340" w:firstLine="444"/>
        <w:spacing w:after="0" w:line="277" w:lineRule="auto"/>
        <w:tabs>
          <w:tab w:leader="none" w:pos="1114"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amount of principal of or any premium or interest on any Securities of the series may be determined with reference to an index or pursuant to a formula, the manner in which such amounts shall be determined;</w:t>
      </w:r>
    </w:p>
    <w:p>
      <w:pPr>
        <w:spacing w:after="0" w:line="62" w:lineRule="exact"/>
        <w:rPr>
          <w:rFonts w:ascii="Arial" w:cs="Arial" w:eastAsia="Arial" w:hAnsi="Arial"/>
          <w:sz w:val="18"/>
          <w:szCs w:val="18"/>
          <w:color w:val="auto"/>
        </w:rPr>
      </w:pPr>
    </w:p>
    <w:p>
      <w:pPr>
        <w:ind w:left="200" w:right="180" w:firstLine="444"/>
        <w:spacing w:after="0" w:line="264" w:lineRule="auto"/>
        <w:tabs>
          <w:tab w:leader="none" w:pos="1121"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1.1;</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4"/>
        <w:spacing w:after="0" w:line="257" w:lineRule="auto"/>
        <w:tabs>
          <w:tab w:leader="none" w:pos="1121"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80" w:lineRule="exact"/>
        <w:rPr>
          <w:rFonts w:ascii="Arial" w:cs="Arial" w:eastAsia="Arial" w:hAnsi="Arial"/>
          <w:sz w:val="18"/>
          <w:szCs w:val="18"/>
          <w:color w:val="auto"/>
        </w:rPr>
      </w:pPr>
    </w:p>
    <w:p>
      <w:pPr>
        <w:ind w:left="200" w:right="140" w:firstLine="444"/>
        <w:spacing w:after="0" w:line="277" w:lineRule="auto"/>
        <w:tabs>
          <w:tab w:leader="none" w:pos="1121"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other than the entire principal amount thereof, the portion of the principal amount of any Securities of the series which shall be payable upon declaration of acceleration of the Maturity thereof pursuant to Section 5.2;</w:t>
      </w:r>
    </w:p>
    <w:p>
      <w:pPr>
        <w:spacing w:after="0" w:line="62" w:lineRule="exact"/>
        <w:rPr>
          <w:rFonts w:ascii="Arial" w:cs="Arial" w:eastAsia="Arial" w:hAnsi="Arial"/>
          <w:sz w:val="18"/>
          <w:szCs w:val="18"/>
          <w:color w:val="auto"/>
        </w:rPr>
      </w:pPr>
    </w:p>
    <w:p>
      <w:pPr>
        <w:ind w:left="200" w:right="100" w:firstLine="444"/>
        <w:spacing w:after="0" w:line="257" w:lineRule="auto"/>
        <w:tabs>
          <w:tab w:leader="none" w:pos="1121"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80" w:lineRule="exact"/>
        <w:rPr>
          <w:rFonts w:ascii="Arial" w:cs="Arial" w:eastAsia="Arial" w:hAnsi="Arial"/>
          <w:sz w:val="18"/>
          <w:szCs w:val="18"/>
          <w:color w:val="auto"/>
        </w:rPr>
      </w:pPr>
    </w:p>
    <w:p>
      <w:pPr>
        <w:ind w:left="200" w:right="60" w:firstLine="444"/>
        <w:spacing w:after="0" w:line="264" w:lineRule="auto"/>
        <w:tabs>
          <w:tab w:leader="none" w:pos="1121"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that the Securities of the series, in whole or any specified part, shall be defeasible pursuant to Section 15.2 or Section 15.3 or both such Sections and, if other than by a Board Resolution, the manner in which any election by the Company to defease such Securities shall be evidenced;</w:t>
      </w:r>
    </w:p>
    <w:p>
      <w:pPr>
        <w:spacing w:after="0" w:line="73" w:lineRule="exact"/>
        <w:rPr>
          <w:rFonts w:ascii="Arial" w:cs="Arial" w:eastAsia="Arial" w:hAnsi="Arial"/>
          <w:sz w:val="18"/>
          <w:szCs w:val="18"/>
          <w:color w:val="auto"/>
        </w:rPr>
      </w:pPr>
    </w:p>
    <w:p>
      <w:pPr>
        <w:ind w:left="200" w:right="20" w:firstLine="444"/>
        <w:spacing w:after="0" w:line="297" w:lineRule="auto"/>
        <w:tabs>
          <w:tab w:leader="none" w:pos="1121"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applicable, that any Securities of the series shall be issuable in whole or in part in the form of one or more Global Securities and, in such case, the respective Depositories for such Global Securities, the form of any legend or legends which shall be borne by any such Global Security in addition to or in lieu of that set forth in Section 2.5 and any circumstances in addition to or in lieu of those set forth in clause (2) of the last paragraph of Section 3.5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50" w:lineRule="exact"/>
        <w:rPr>
          <w:rFonts w:ascii="Arial" w:cs="Arial" w:eastAsia="Arial" w:hAnsi="Arial"/>
          <w:sz w:val="16"/>
          <w:szCs w:val="16"/>
          <w:color w:val="auto"/>
        </w:rPr>
      </w:pPr>
    </w:p>
    <w:p>
      <w:pPr>
        <w:ind w:left="200" w:firstLine="444"/>
        <w:spacing w:after="0" w:line="277" w:lineRule="auto"/>
        <w:tabs>
          <w:tab w:leader="none" w:pos="1121"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5.2;</w:t>
      </w:r>
    </w:p>
    <w:p>
      <w:pPr>
        <w:spacing w:after="0" w:line="62" w:lineRule="exact"/>
        <w:rPr>
          <w:rFonts w:ascii="Arial" w:cs="Arial" w:eastAsia="Arial" w:hAnsi="Arial"/>
          <w:sz w:val="18"/>
          <w:szCs w:val="18"/>
          <w:color w:val="auto"/>
        </w:rPr>
      </w:pPr>
    </w:p>
    <w:p>
      <w:pPr>
        <w:ind w:left="1120" w:hanging="476"/>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 10 which applies to Securities of the series;</w:t>
      </w:r>
    </w:p>
    <w:p>
      <w:pPr>
        <w:spacing w:after="0" w:line="117" w:lineRule="exact"/>
        <w:rPr>
          <w:rFonts w:ascii="Arial" w:cs="Arial" w:eastAsia="Arial" w:hAnsi="Arial"/>
          <w:sz w:val="18"/>
          <w:szCs w:val="18"/>
          <w:color w:val="auto"/>
        </w:rPr>
      </w:pPr>
    </w:p>
    <w:p>
      <w:pPr>
        <w:ind w:left="200" w:right="340" w:firstLine="444"/>
        <w:spacing w:after="0" w:line="277" w:lineRule="auto"/>
        <w:tabs>
          <w:tab w:leader="none" w:pos="1121"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the Securities of the series will be convertible into Common Stock (or cash in lieu thereof) and, if so, the terms and conditions upon which such conversion will be effected; and</w:t>
      </w:r>
    </w:p>
    <w:p>
      <w:pPr>
        <w:spacing w:after="0" w:line="62" w:lineRule="exact"/>
        <w:rPr>
          <w:rFonts w:ascii="Arial" w:cs="Arial" w:eastAsia="Arial" w:hAnsi="Arial"/>
          <w:sz w:val="18"/>
          <w:szCs w:val="18"/>
          <w:color w:val="auto"/>
        </w:rPr>
      </w:pPr>
    </w:p>
    <w:p>
      <w:pPr>
        <w:ind w:left="1120" w:hanging="476"/>
        <w:spacing w:after="0"/>
        <w:tabs>
          <w:tab w:leader="none" w:pos="11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other terms of the series (which terms shall not be inconsistent with the provisions of this Indenture, except as permitted by</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Section 9.1(5)).</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60"/>
          </w:cols>
          <w:pgMar w:left="24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and (subject to Section 3.3) set forth, or determined in the manner provided, in the Officers’ Certificate referred to above or in any such indenture supplemental hereto.</w:t>
      </w:r>
    </w:p>
    <w:p>
      <w:pPr>
        <w:spacing w:after="0" w:line="18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Securities of each series shall have the benefit of the Subsidiary Guarantees unless the Company elects otherwise upon the establishment of a series pursuant to this Section 3.1.</w:t>
      </w:r>
    </w:p>
    <w:p>
      <w:pPr>
        <w:spacing w:after="0" w:line="170"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Denominations</w:t>
      </w:r>
      <w:r>
        <w:rPr>
          <w:rFonts w:ascii="Arial" w:cs="Arial" w:eastAsia="Arial" w:hAnsi="Arial"/>
          <w:sz w:val="16"/>
          <w:szCs w:val="16"/>
          <w:color w:val="auto"/>
        </w:rPr>
        <w:t>.</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Securities of each series shall be issuable only in registered form without coupons and only in such denominations as shall be specified as contemplated by Section 3.1. In the absence of any such specified denomination with respect to the Securities of any series, the Securities of such series shall be issuable in denominations of $1,000 and any integral multiple thereof.</w:t>
      </w:r>
    </w:p>
    <w:p>
      <w:pPr>
        <w:spacing w:after="0" w:line="181"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Execution, Authentication, Delivery and Dating</w:t>
      </w:r>
      <w:r>
        <w:rPr>
          <w:rFonts w:ascii="Arial" w:cs="Arial" w:eastAsia="Arial" w:hAnsi="Arial"/>
          <w:sz w:val="16"/>
          <w:szCs w:val="16"/>
          <w:color w:val="auto"/>
        </w:rPr>
        <w:t>.</w:t>
      </w:r>
    </w:p>
    <w:p>
      <w:pPr>
        <w:spacing w:after="0" w:line="225"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The Securities shall be executed on behalf of the Company by its Chairman of the Board of Directors, its Executive Chairman of the Board of Directors, its President and Chief Executive Officer or one of its Vice Presidents. If its corporate seal is reproduced thereon, then it shall be attested by its Secretary or one of its Assistant Secretaries. The signature of any of these officers on the Securities may be manual or facsimile.</w:t>
      </w:r>
    </w:p>
    <w:p>
      <w:pPr>
        <w:spacing w:after="0" w:line="166"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At any time and from time to time after the execution and delivery of this Indenture, the Company may deliver Securities of any series executed by the Company and, if applicable, having endorsed thereon the notations of Subsidiary Guarantees executed as provided in Section 13.3 by the Subsidiary Guarantors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2.1 and 3.1, in authenticating such Securities, and accepting the additional responsibilities under this Indenture in relation to such Securities, the Trustee shall be entitled to receive, and (subject to Section 6.1) shall be fully protected in relying upon, an Opinion of Counsel stating,</w:t>
      </w:r>
    </w:p>
    <w:p>
      <w:pPr>
        <w:spacing w:after="0" w:line="70" w:lineRule="exact"/>
        <w:rPr>
          <w:sz w:val="20"/>
          <w:szCs w:val="20"/>
          <w:color w:val="auto"/>
        </w:rPr>
      </w:pPr>
    </w:p>
    <w:p>
      <w:pPr>
        <w:ind w:left="200" w:right="180" w:firstLine="444"/>
        <w:spacing w:after="0" w:line="277" w:lineRule="auto"/>
        <w:tabs>
          <w:tab w:leader="none" w:pos="1031"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the form of such Securities has been established by or pursuant to Board Resolution as permitted by Section 2.1, that such form has been established in conformity with the provisions of this Indenture;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4"/>
        <w:spacing w:after="0" w:line="277" w:lineRule="auto"/>
        <w:tabs>
          <w:tab w:leader="none" w:pos="1031"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terms of such Securities have been established by or pursuant to Board Resolution as permitted by Section 3.1, that such terms have been established in conformity with the provisions of this Indenture; and</w:t>
      </w:r>
    </w:p>
    <w:p>
      <w:pPr>
        <w:spacing w:after="0" w:line="62" w:lineRule="exact"/>
        <w:rPr>
          <w:rFonts w:ascii="Arial" w:cs="Arial" w:eastAsia="Arial" w:hAnsi="Arial"/>
          <w:sz w:val="18"/>
          <w:szCs w:val="18"/>
          <w:color w:val="auto"/>
        </w:rPr>
      </w:pPr>
    </w:p>
    <w:p>
      <w:pPr>
        <w:ind w:left="200" w:firstLine="444"/>
        <w:spacing w:after="0" w:line="257" w:lineRule="auto"/>
        <w:tabs>
          <w:tab w:leader="none" w:pos="103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and, if applicable, the notations of Subsidiary Guarantees endorsed thereon will constitute valid and legally binding obligations of the Subsidiary Guarantors, enforceable in accordance with their terms, subject to bankruptcy, insolvency, fraudulent transfer, reorganization, moratorium and similar laws of general applicability relating to or affecting creditors’ rights and to general equity principles.</w:t>
      </w:r>
    </w:p>
    <w:p>
      <w:pPr>
        <w:spacing w:after="0" w:line="188"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81"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Notwithstanding the provisions of Section 3.1 and of the preceding paragraph, if all Securities of a series are not to be originally issued at one time, it shall not be necessary to deliver the Officers’ Certificate otherwise required pursuant to Section 3.1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225"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No Security or Subsidiary Guarantee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3.9, for all purposes of this Indenture such Security shall be deemed never to have been authenticated and delivered hereunder and shall never be entitled to the benefits of this Indenture.</w:t>
      </w:r>
    </w:p>
    <w:p>
      <w:pPr>
        <w:spacing w:after="0" w:line="165"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Temporary Securities</w:t>
      </w:r>
      <w:r>
        <w:rPr>
          <w:rFonts w:ascii="Arial" w:cs="Arial" w:eastAsia="Arial" w:hAnsi="Arial"/>
          <w:sz w:val="16"/>
          <w:szCs w:val="16"/>
          <w:color w:val="auto"/>
        </w:rPr>
        <w:t>.</w:t>
      </w:r>
    </w:p>
    <w:p>
      <w:pPr>
        <w:spacing w:after="0" w:line="225"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and, if applicable, having endorsed thereon the notations of Subsidiary Guarantees in lieu of which they are issued and with such appropriate insertions, omissions, substitutions and other variations as the officers executing such Securities and, if applicable, notations of Subsidiary Guarantees may determine, as evidenced by their execution of such Securities and notations of Subsidiary Guarantees.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and, if applicable, having endorsed thereon notations of Subsidiary Guarantees executed by the Subsidiary Guarantors. Until so exchanged, the temporary Securities of any series shall in all respects be entitled to the same benefits under this Indenture as definitive Securities of such series and tenor.</w:t>
      </w:r>
    </w:p>
    <w:p>
      <w:pPr>
        <w:spacing w:after="0" w:line="179"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Registration, Registration of Transfer and Exchange</w:t>
      </w:r>
      <w:r>
        <w:rPr>
          <w:rFonts w:ascii="Arial" w:cs="Arial" w:eastAsia="Arial" w:hAnsi="Arial"/>
          <w:sz w:val="16"/>
          <w:szCs w:val="16"/>
          <w:color w:val="auto"/>
        </w:rPr>
        <w:t>.</w:t>
      </w:r>
    </w:p>
    <w:p>
      <w:pPr>
        <w:spacing w:after="0" w:line="225"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54"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Upon surrender for registration of transfer of any Security of a series at the office or agency of the Company in a Place of Payment for that series, the Company shall execute, if applicable the Subsidiary Guarantors shall execute the notations of Subsidiary Guarantees endorsed thereon and the Trustee shall authenticate and deliver, in the name of the designated transferee or transferees, one or more new Securities of the same series, of any authorized denominations and of like tenor and aggregate principal amount.</w:t>
      </w:r>
    </w:p>
    <w:p>
      <w:pPr>
        <w:spacing w:after="0" w:line="18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if applicable the Subsidiary Guarantors shall execute the notations of Subsidiary Guarantees endorsed thereon and the Trustee shall authenticate and deliver, the Securities which the Holder making the exchange is entitled to receive.</w:t>
      </w:r>
    </w:p>
    <w:p>
      <w:pPr>
        <w:spacing w:after="0" w:line="154"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24"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3.4, 9.6, 11.7 or otherwise not involving any transfer.</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11.3 and ending at the close of business on the day of such mailing, or (B) to register the transfer of or exchange any Security so selected for redemption in whole or in part, except the unredeemed portion of any Security being redeemed in part.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provisions of clauses (1), (2), (3) and (4) below shall apply only to Global Securities:</w:t>
      </w:r>
    </w:p>
    <w:p>
      <w:pPr>
        <w:spacing w:after="0" w:line="117" w:lineRule="exact"/>
        <w:rPr>
          <w:sz w:val="20"/>
          <w:szCs w:val="20"/>
          <w:color w:val="auto"/>
        </w:rPr>
      </w:pPr>
    </w:p>
    <w:p>
      <w:pPr>
        <w:ind w:left="200" w:right="620" w:firstLine="444"/>
        <w:spacing w:after="0" w:line="264" w:lineRule="auto"/>
        <w:tabs>
          <w:tab w:leader="none" w:pos="1031"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73" w:lineRule="exact"/>
        <w:rPr>
          <w:rFonts w:ascii="Arial" w:cs="Arial" w:eastAsia="Arial" w:hAnsi="Arial"/>
          <w:sz w:val="18"/>
          <w:szCs w:val="18"/>
          <w:color w:val="auto"/>
        </w:rPr>
      </w:pPr>
    </w:p>
    <w:p>
      <w:pPr>
        <w:ind w:left="200" w:right="60" w:firstLine="444"/>
        <w:spacing w:after="0" w:line="290" w:lineRule="auto"/>
        <w:tabs>
          <w:tab w:leader="none" w:pos="1031"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and in either case the Company fails to appoint a successor Depositary within 90 days, (B) there shall have occurred and be continuing an Event of Default with respect to such Global Security and the Depositary shall have notified the Trustee of its decision to exchange such Global Security for Securities in certificated form, (C) subject to the rules of the Depositary, the Company shall have elected to terminate the book-entry system through the Depositary, or (D) there shall exist such circumstances, if any, in addition to or in lieu of the foregoing as have been specified for this purpose as contemplated by Section 3.1.</w:t>
      </w:r>
    </w:p>
    <w:p>
      <w:pPr>
        <w:spacing w:after="0" w:line="58" w:lineRule="exact"/>
        <w:rPr>
          <w:rFonts w:ascii="Arial" w:cs="Arial" w:eastAsia="Arial" w:hAnsi="Arial"/>
          <w:sz w:val="16"/>
          <w:szCs w:val="16"/>
          <w:color w:val="auto"/>
        </w:rPr>
      </w:pPr>
    </w:p>
    <w:p>
      <w:pPr>
        <w:ind w:left="200" w:right="20" w:firstLine="444"/>
        <w:spacing w:after="0" w:line="342" w:lineRule="auto"/>
        <w:tabs>
          <w:tab w:leader="none" w:pos="1031" w:val="left"/>
        </w:tabs>
        <w:numPr>
          <w:ilvl w:val="0"/>
          <w:numId w:val="54"/>
        </w:numPr>
        <w:rPr>
          <w:rFonts w:ascii="Arial" w:cs="Arial" w:eastAsia="Arial" w:hAnsi="Arial"/>
          <w:sz w:val="16"/>
          <w:szCs w:val="16"/>
          <w:color w:val="auto"/>
        </w:rPr>
      </w:pPr>
      <w:r>
        <w:rPr>
          <w:rFonts w:ascii="Arial" w:cs="Arial" w:eastAsia="Arial" w:hAnsi="Arial"/>
          <w:sz w:val="16"/>
          <w:szCs w:val="16"/>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5" w:lineRule="exact"/>
        <w:rPr>
          <w:rFonts w:ascii="Arial" w:cs="Arial" w:eastAsia="Arial" w:hAnsi="Arial"/>
          <w:sz w:val="16"/>
          <w:szCs w:val="16"/>
          <w:color w:val="auto"/>
        </w:rPr>
      </w:pPr>
    </w:p>
    <w:p>
      <w:pPr>
        <w:ind w:left="200" w:right="100" w:firstLine="444"/>
        <w:spacing w:after="0" w:line="312" w:lineRule="auto"/>
        <w:tabs>
          <w:tab w:leader="none" w:pos="1031" w:val="left"/>
        </w:tabs>
        <w:numPr>
          <w:ilvl w:val="0"/>
          <w:numId w:val="54"/>
        </w:numPr>
        <w:rPr>
          <w:rFonts w:ascii="Arial" w:cs="Arial" w:eastAsia="Arial" w:hAnsi="Arial"/>
          <w:sz w:val="16"/>
          <w:szCs w:val="16"/>
          <w:color w:val="auto"/>
        </w:rPr>
      </w:pPr>
      <w:r>
        <w:rPr>
          <w:rFonts w:ascii="Arial" w:cs="Arial" w:eastAsia="Arial" w:hAnsi="Arial"/>
          <w:sz w:val="16"/>
          <w:szCs w:val="16"/>
          <w:color w:val="auto"/>
        </w:rPr>
        <w:t>Every Security authenticated and delivered upon registration of transfer of, or in exchange for or in lieu of, a Global Security or any portion thereof, whether pursuant to this Section, Section 3.4, 3.6, 9.6 or 11.7 or otherwise, shall be authenticated and delivered in the form of, and shall be, a Global Security, unless such Security is registered in the name of a Person other than the Depositary for such Global Security or a nominee thereof.</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6"/>
          <w:szCs w:val="16"/>
          <w:u w:val="single" w:color="auto"/>
          <w:color w:val="auto"/>
        </w:rPr>
        <w:t>Mutilated, Destroyed, Lost and Stolen Securities</w:t>
      </w:r>
      <w:r>
        <w:rPr>
          <w:rFonts w:ascii="Arial" w:cs="Arial" w:eastAsia="Arial" w:hAnsi="Arial"/>
          <w:sz w:val="16"/>
          <w:szCs w:val="16"/>
          <w:color w:val="auto"/>
        </w:rPr>
        <w:t>.</w:t>
      </w:r>
    </w:p>
    <w:p>
      <w:pPr>
        <w:spacing w:after="0" w:line="225" w:lineRule="exact"/>
        <w:rPr>
          <w:sz w:val="20"/>
          <w:szCs w:val="20"/>
          <w:color w:val="auto"/>
        </w:rPr>
      </w:pPr>
    </w:p>
    <w:p>
      <w:pPr>
        <w:jc w:val="both"/>
        <w:ind w:left="200" w:right="360" w:firstLine="441"/>
        <w:spacing w:after="0" w:line="286" w:lineRule="auto"/>
        <w:rPr>
          <w:sz w:val="20"/>
          <w:szCs w:val="20"/>
          <w:color w:val="auto"/>
        </w:rPr>
      </w:pPr>
      <w:r>
        <w:rPr>
          <w:rFonts w:ascii="Arial" w:cs="Arial" w:eastAsia="Arial" w:hAnsi="Arial"/>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 and, if applicable, the Subsidiary Guarantors shall execute the notation of Subsidiary Guarantee endorsed thereon.</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there shall be delivered to the Company and the Trustee (i) evidence to their satisfaction of the destruction, loss or theft of any Security and</w:t>
      </w:r>
    </w:p>
    <w:p>
      <w:pPr>
        <w:spacing w:after="0" w:line="46" w:lineRule="exact"/>
        <w:rPr>
          <w:sz w:val="20"/>
          <w:szCs w:val="20"/>
          <w:color w:val="auto"/>
        </w:rPr>
      </w:pPr>
    </w:p>
    <w:p>
      <w:pPr>
        <w:ind w:left="200" w:firstLine="4"/>
        <w:spacing w:after="0" w:line="288" w:lineRule="auto"/>
        <w:tabs>
          <w:tab w:leader="none" w:pos="465"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such security or indemnity as may be required by them to save each of them and any agent of either of them harmless from any loss that any of them may suffer if a Security is replaced, then, in the absence of notice to the Company or the Trustee that such Security has been acquired by a protected purchaser, the Company shall execute, and the Trustee shall authenticate and deliver, in lieu of any such destroyed, lost or stolen Security, a new Security of the same series and of like tenor and principal amount and bearing a number not contemporaneously outstanding, and, if applicable, the Subsidiary Guarantors shall execute the notation of Subsidiary Guarantee endorsed thereon. In case any such mutilated, destroyed, lost or stolen Security has become or is about to become due and payable or is to be converted, the Company in its discretion may, instead of issuing a new Security, pay or authorize the conversion of such Security (without surrender thereof save in the case of a mutilated Security).</w:t>
      </w:r>
    </w:p>
    <w:p>
      <w:pPr>
        <w:spacing w:after="0" w:line="169"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5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payment or conversion of mutilated, destroyed, lost or stolen Securities.</w:t>
      </w:r>
    </w:p>
    <w:p>
      <w:pPr>
        <w:spacing w:after="0" w:line="170"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u w:val="single" w:color="auto"/>
          <w:color w:val="auto"/>
        </w:rPr>
        <w:t>Payment of Interest; Interest Rights Preserved</w:t>
      </w:r>
      <w:r>
        <w:rPr>
          <w:rFonts w:ascii="Arial" w:cs="Arial" w:eastAsia="Arial" w:hAnsi="Arial"/>
          <w:sz w:val="16"/>
          <w:szCs w:val="16"/>
          <w:color w:val="auto"/>
        </w:rPr>
        <w:t>.</w:t>
      </w:r>
    </w:p>
    <w:p>
      <w:pPr>
        <w:spacing w:after="0" w:line="225"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Except as otherwise provided as contemplated by Section 3.1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66"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24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4"/>
        <w:spacing w:after="0" w:line="286" w:lineRule="auto"/>
        <w:tabs>
          <w:tab w:leader="none" w:pos="1027"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63" w:lineRule="exact"/>
        <w:rPr>
          <w:rFonts w:ascii="Arial" w:cs="Arial" w:eastAsia="Arial" w:hAnsi="Arial"/>
          <w:sz w:val="16"/>
          <w:szCs w:val="16"/>
          <w:color w:val="auto"/>
        </w:rPr>
      </w:pPr>
    </w:p>
    <w:p>
      <w:pPr>
        <w:ind w:left="200" w:firstLine="444"/>
        <w:spacing w:after="0" w:line="259" w:lineRule="auto"/>
        <w:tabs>
          <w:tab w:leader="none" w:pos="102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24"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5"/>
          <w:szCs w:val="15"/>
          <w:u w:val="single" w:color="auto"/>
          <w:color w:val="auto"/>
        </w:rPr>
        <w:t>Persons Deemed Owners</w:t>
      </w:r>
      <w:r>
        <w:rPr>
          <w:rFonts w:ascii="Arial" w:cs="Arial" w:eastAsia="Arial" w:hAnsi="Arial"/>
          <w:sz w:val="15"/>
          <w:szCs w:val="15"/>
          <w:color w:val="auto"/>
        </w:rPr>
        <w:t>.</w:t>
      </w:r>
    </w:p>
    <w:p>
      <w:pPr>
        <w:spacing w:after="0" w:line="225"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Prior to due presentment of a Security for registration of transfer, the Company, the Subsidiary Guarantors, the Trustee and any agent of the Company, the Subsidiary Guarantors, or the Trustee may treat the Person in whose name such Security is registered as the owner of such Security for the purpose of receiving payment of principal of and any premium and (subject to Section 3.7) any interest on such Security and for all other purposes whatsoever, whether or not such Security be overdue, and neither the Company, any Subsidiary Guarantor, the Trustee nor any agent of the Company, any Subsidiary Guarantor, or the Trustee shall be affected by notice to the contrary.</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6"/>
          <w:szCs w:val="16"/>
          <w:u w:val="single" w:color="auto"/>
          <w:color w:val="auto"/>
        </w:rPr>
        <w:t>Cancellation</w:t>
      </w:r>
      <w:r>
        <w:rPr>
          <w:rFonts w:ascii="Arial" w:cs="Arial" w:eastAsia="Arial" w:hAnsi="Arial"/>
          <w:sz w:val="16"/>
          <w:szCs w:val="16"/>
          <w:color w:val="auto"/>
        </w:rPr>
        <w:t>.</w:t>
      </w:r>
    </w:p>
    <w:p>
      <w:pPr>
        <w:spacing w:after="0" w:line="225"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All Securities surrendered for payment, redemption, purchase, registration of transfer or exchange or for credit against any sinking fund payment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disposed of in accordance with its standard procedures, unless as directed by a Company Order.</w:t>
      </w:r>
    </w:p>
    <w:p>
      <w:pPr>
        <w:spacing w:after="0" w:line="192"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Computation of Interest</w:t>
      </w:r>
      <w:r>
        <w:rPr>
          <w:rFonts w:ascii="Arial" w:cs="Arial" w:eastAsia="Arial" w:hAnsi="Arial"/>
          <w:sz w:val="16"/>
          <w:szCs w:val="16"/>
          <w:color w:val="auto"/>
        </w:rPr>
        <w:t>.</w:t>
      </w:r>
    </w:p>
    <w:p>
      <w:pPr>
        <w:spacing w:after="0" w:line="225"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Except as otherwise specified as contemplated by Section 3.1 for Securities of any series, interest on the Securities of each series shall be computed on the basis of a 360-day year of twelve 30-day months.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w:t>
      </w:r>
    </w:p>
    <w:p>
      <w:pPr>
        <w:spacing w:after="0" w:line="225"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This Indenture shall upon Company Request cease to be of further effect with respect to the Securities of any series, and the Trustee, at the expense of the Company, shall execute proper instruments acknowledging satisfaction and discharge of this Indenture, when</w:t>
      </w:r>
    </w:p>
    <w:p>
      <w:pPr>
        <w:spacing w:after="0" w:line="16" w:lineRule="exact"/>
        <w:rPr>
          <w:sz w:val="20"/>
          <w:szCs w:val="20"/>
          <w:color w:val="auto"/>
        </w:rPr>
      </w:pPr>
    </w:p>
    <w:p>
      <w:pPr>
        <w:ind w:left="1040" w:hanging="396"/>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200" w:firstLine="885"/>
        <w:spacing w:after="0" w:line="259" w:lineRule="auto"/>
        <w:tabs>
          <w:tab w:leader="none" w:pos="1511"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(i) Securities of such series which have been destroyed, lost or stolen and which have been replaced or paid as provided in Section 3.6 and (ii) Securities of such series for whose payment money has theretofore been deposited in trust or segregated and held in trust by the Company and thereafter repaid to the Company or discharged from such trust, as provided in Section 10.3) have been delivered to the Trustee for cancellation; or</w:t>
      </w:r>
    </w:p>
    <w:p>
      <w:pPr>
        <w:spacing w:after="0" w:line="78" w:lineRule="exact"/>
        <w:rPr>
          <w:rFonts w:ascii="Arial" w:cs="Arial" w:eastAsia="Arial" w:hAnsi="Arial"/>
          <w:sz w:val="18"/>
          <w:szCs w:val="18"/>
          <w:color w:val="auto"/>
        </w:rPr>
      </w:pPr>
    </w:p>
    <w:p>
      <w:pPr>
        <w:ind w:left="1500" w:hanging="415"/>
        <w:spacing w:after="0"/>
        <w:tabs>
          <w:tab w:leader="none" w:pos="15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such Securities of such series not theretofore delivered to the Trustee for cancellation</w:t>
      </w:r>
    </w:p>
    <w:p>
      <w:pPr>
        <w:spacing w:after="0" w:line="117" w:lineRule="exact"/>
        <w:rPr>
          <w:rFonts w:ascii="Arial" w:cs="Arial" w:eastAsia="Arial" w:hAnsi="Arial"/>
          <w:sz w:val="18"/>
          <w:szCs w:val="18"/>
          <w:color w:val="auto"/>
        </w:rPr>
      </w:pPr>
    </w:p>
    <w:p>
      <w:pPr>
        <w:ind w:left="1980" w:hanging="344"/>
        <w:spacing w:after="0"/>
        <w:tabs>
          <w:tab w:leader="none" w:pos="1980" w:val="left"/>
        </w:tabs>
        <w:numPr>
          <w:ilvl w:val="2"/>
          <w:numId w:val="57"/>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2040" w:hanging="404"/>
        <w:spacing w:after="0"/>
        <w:tabs>
          <w:tab w:leader="none" w:pos="2040" w:val="left"/>
        </w:tabs>
        <w:numPr>
          <w:ilvl w:val="2"/>
          <w:numId w:val="57"/>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firstLine="1436"/>
        <w:spacing w:after="0" w:line="277" w:lineRule="auto"/>
        <w:tabs>
          <w:tab w:leader="none" w:pos="2083" w:val="left"/>
        </w:tabs>
        <w:numPr>
          <w:ilvl w:val="0"/>
          <w:numId w:val="58"/>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7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and the Company or, if applicable, a Subsidiary Guarantor, in the case of (i), (ii) or (iii) above, has irrevocably deposited or caused to be deposited with the Trustee as trust funds in trust for the purpose money in an amount sufficient, without consideration of any reinvestment of interest,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80" w:lineRule="exact"/>
        <w:rPr>
          <w:sz w:val="20"/>
          <w:szCs w:val="20"/>
          <w:color w:val="auto"/>
        </w:rPr>
      </w:pPr>
    </w:p>
    <w:p>
      <w:pPr>
        <w:ind w:left="200" w:right="100" w:firstLine="444"/>
        <w:spacing w:after="0" w:line="277" w:lineRule="auto"/>
        <w:tabs>
          <w:tab w:leader="none" w:pos="103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or a Subsidiary Guarantor has paid or caused to be paid all other sums payable hereunder by the Company and the Subsidiary Guarantors with respect to the Securities of such series; and</w:t>
      </w:r>
    </w:p>
    <w:p>
      <w:pPr>
        <w:spacing w:after="0" w:line="62" w:lineRule="exact"/>
        <w:rPr>
          <w:rFonts w:ascii="Arial" w:cs="Arial" w:eastAsia="Arial" w:hAnsi="Arial"/>
          <w:sz w:val="18"/>
          <w:szCs w:val="18"/>
          <w:color w:val="auto"/>
        </w:rPr>
      </w:pPr>
    </w:p>
    <w:p>
      <w:pPr>
        <w:ind w:left="200" w:right="360" w:firstLine="444"/>
        <w:spacing w:after="0" w:line="342" w:lineRule="auto"/>
        <w:tabs>
          <w:tab w:leader="none" w:pos="1031"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all conditions precedent herein provided for relating to the satisfaction and discharge of this Indenture with respect to the Securities of such series have been complied with.</w:t>
      </w:r>
    </w:p>
    <w:p>
      <w:pPr>
        <w:spacing w:after="0" w:line="124"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 under Section 6.7, the obligations of the Company with respect to the Securities of such series under Sections 3.4, 3.5, 3.6, 10.2 and 10.3, any surviving rights of conversion, the obligations of the Trustee to any Authenticating Agent under Section 6.14 and, if money shall have been deposited with the Trustee pursuant to subclause (B) of clause (1) of this Section, the obligations of the Trustee under Section 4.2 and the last paragraph of Section 10.3 shall survive.</w:t>
      </w:r>
    </w:p>
    <w:p>
      <w:pPr>
        <w:spacing w:after="0" w:line="154"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Application of Trust Money</w:t>
      </w:r>
      <w:r>
        <w:rPr>
          <w:rFonts w:ascii="Arial" w:cs="Arial" w:eastAsia="Arial" w:hAnsi="Arial"/>
          <w:sz w:val="16"/>
          <w:szCs w:val="16"/>
          <w:color w:val="auto"/>
        </w:rPr>
        <w:t>.</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Subject to the provisions of the last paragraph of Section 10.3, all money deposited with the Trustee pursuant to Section 4.1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REMEDIES</w:t>
      </w:r>
    </w:p>
    <w:p>
      <w:pPr>
        <w:spacing w:after="0" w:line="229"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73" w:lineRule="exact"/>
        <w:rPr>
          <w:sz w:val="20"/>
          <w:szCs w:val="20"/>
          <w:color w:val="auto"/>
        </w:rPr>
      </w:pPr>
    </w:p>
    <w:p>
      <w:pPr>
        <w:ind w:left="200" w:right="40" w:firstLine="444"/>
        <w:spacing w:after="0" w:line="277" w:lineRule="auto"/>
        <w:tabs>
          <w:tab w:leader="none" w:pos="10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30 days; or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24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hanging="396"/>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any Security of that series at its Maturity; or</w:t>
      </w:r>
    </w:p>
    <w:p>
      <w:pPr>
        <w:spacing w:after="0" w:line="117" w:lineRule="exact"/>
        <w:rPr>
          <w:rFonts w:ascii="Arial" w:cs="Arial" w:eastAsia="Arial" w:hAnsi="Arial"/>
          <w:sz w:val="18"/>
          <w:szCs w:val="18"/>
          <w:color w:val="auto"/>
        </w:rPr>
      </w:pPr>
    </w:p>
    <w:p>
      <w:pPr>
        <w:ind w:left="1040" w:hanging="396"/>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Security of that series; or</w:t>
      </w:r>
    </w:p>
    <w:p>
      <w:pPr>
        <w:spacing w:after="0" w:line="117" w:lineRule="exact"/>
        <w:rPr>
          <w:rFonts w:ascii="Arial" w:cs="Arial" w:eastAsia="Arial" w:hAnsi="Arial"/>
          <w:sz w:val="18"/>
          <w:szCs w:val="18"/>
          <w:color w:val="auto"/>
        </w:rPr>
      </w:pPr>
    </w:p>
    <w:p>
      <w:pPr>
        <w:ind w:left="200" w:right="220" w:firstLine="444"/>
        <w:spacing w:after="0" w:line="277" w:lineRule="auto"/>
        <w:tabs>
          <w:tab w:leader="none" w:pos="1031"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of the Company or, if the Subsidiary Guarantors have issued Subsidiary Guarantees with respect to the Securities of such series, any Subsidiary Guarantor in Article 8 of this Indenture; or</w:t>
      </w:r>
    </w:p>
    <w:p>
      <w:pPr>
        <w:spacing w:after="0" w:line="62" w:lineRule="exact"/>
        <w:rPr>
          <w:rFonts w:ascii="Arial" w:cs="Arial" w:eastAsia="Arial" w:hAnsi="Arial"/>
          <w:sz w:val="18"/>
          <w:szCs w:val="18"/>
          <w:color w:val="auto"/>
        </w:rPr>
      </w:pPr>
    </w:p>
    <w:p>
      <w:pPr>
        <w:ind w:left="200" w:firstLine="444"/>
        <w:spacing w:after="0" w:line="253" w:lineRule="auto"/>
        <w:tabs>
          <w:tab w:leader="none" w:pos="1031"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or, if the Subsidiary Guarantors have issued Subsidiary Guarantees with respect to the Securities of such series, any Subsidiary Guarantor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provided however, that the Company will have 90 days following such written notice to remedy or receive a waiver for any failure to comply with the Company’s obligations under the Indenture so long as the Company is attempting to remedy any such failure as soon as reasonably practicable; or</w:t>
      </w:r>
    </w:p>
    <w:p>
      <w:pPr>
        <w:spacing w:after="0" w:line="89" w:lineRule="exact"/>
        <w:rPr>
          <w:rFonts w:ascii="Arial" w:cs="Arial" w:eastAsia="Arial" w:hAnsi="Arial"/>
          <w:sz w:val="18"/>
          <w:szCs w:val="18"/>
          <w:color w:val="auto"/>
        </w:rPr>
      </w:pPr>
    </w:p>
    <w:p>
      <w:pPr>
        <w:ind w:left="200" w:firstLine="444"/>
        <w:spacing w:after="0" w:line="255" w:lineRule="auto"/>
        <w:tabs>
          <w:tab w:leader="none" w:pos="1031"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Debt of the Company, any Significant Subsidiary or, if the Subsidiary Guarantors have issued Subsidiary Guarantees with respect to the Securities of such series, any Subsidiary Guarantor is accelerated by the holders thereof because of a default and the total amount of such Debt unpaid or accelerated exceeds $100.0 million, or its foreign currency equivalent at the time, or such default results from the failure to pay when due principal of such Debt; provided that if such default is cured or waived or such acceleration is rescinded, or such Debt (or the overdue portion thereof) is repaid within a period of 30 days from the continuation of such default beyond any applicable grace period or the occurrence of such acceleration, as the case may be, such Event of Default or any consequent acceleration shall be rescinded, so long as such rescission does not conflict with any judgment or decree or applicable provision of law; or</w:t>
      </w:r>
    </w:p>
    <w:p>
      <w:pPr>
        <w:spacing w:after="0" w:line="81" w:lineRule="exact"/>
        <w:rPr>
          <w:rFonts w:ascii="Arial" w:cs="Arial" w:eastAsia="Arial" w:hAnsi="Arial"/>
          <w:sz w:val="18"/>
          <w:szCs w:val="18"/>
          <w:color w:val="auto"/>
        </w:rPr>
      </w:pPr>
    </w:p>
    <w:p>
      <w:pPr>
        <w:ind w:left="200" w:right="120" w:firstLine="444"/>
        <w:spacing w:after="0" w:line="293" w:lineRule="auto"/>
        <w:tabs>
          <w:tab w:leader="none" w:pos="1031"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entry by a court having jurisdiction in the premises of (A) a decree or order for relief in respect of the Company, any Significant Subsidiary or, if the Subsidiary Guarantors have issued Subsidiary Guarantees with respect to the Securities of such series, any Subsidiary Guarantor in an involuntary case or proceeding under any applicable Federal or State bankruptcy, insolvency, reorganization or other similar law or (B) a decree or order adjudging the Company, any Significant Subsidiary or any such Subsidiary Guarantor a bankrupt or insolvent, or approving as properly filed a petition seeking reorganization, arrangement, adjustment or composition of or in respect of the Company, any Significant Subsidiary or any such Subsidiary Guarantor under any applicable Federal or State law, or appointing a custodian, receiver, liquidator, assignee, trustee,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sequestrator or other similar official of the Company, any Significant Subsidiary or any such Subsidiary Guarantor or of any substantial part of its or their property, or ordering the winding up or liquidation of its or their affairs, and the continuance of any such decree or order for relief or any such other decree or order unstayed and in effect for a period of 60 consecutive days; or</w:t>
      </w:r>
    </w:p>
    <w:p>
      <w:pPr>
        <w:spacing w:after="0" w:line="73" w:lineRule="exact"/>
        <w:rPr>
          <w:sz w:val="20"/>
          <w:szCs w:val="20"/>
          <w:color w:val="auto"/>
        </w:rPr>
      </w:pPr>
    </w:p>
    <w:p>
      <w:pPr>
        <w:ind w:left="200" w:right="20" w:firstLine="444"/>
        <w:spacing w:after="0" w:line="287" w:lineRule="auto"/>
        <w:tabs>
          <w:tab w:leader="none" w:pos="1031"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commencement by the Company, any Significant Subsidiary or, if the Subsidiary Guarantors have issued Subsidiary Guarantees with respect to the Securities of such series, any Subsidiary Guarantor of a voluntary case or proceeding under any applicable Federal or State bankruptcy, insolvency, reorganization or other similar law or of any other case or proceeding to be adjudicated a bankrupt or insolvent, or the consent by it or them to the entry of a decree or order for relief in respect of the Company, any Significant Subsidiary or any such Subsidiary Guarantor in an involuntary case or proceeding under any applicable Federal or State bankruptcy, insolvency, reorganization or other similar law or to the commencement of any bankruptcy or insolvency case or proceeding against it or them, or the filing by it or them of a petition or answer or consent seeking reorganization or relief under any applicable Federal or State law, or the consent by it or them to the filing of such petition or to the appointment of or taking possession by a custodian, receiver, liquidator, assignee, trustee, sequestrator or other similar official of the Company, any Significant Subsidiary or any such Subsidiary Guarantor or of any substantial part of its or their property, or the making by it or them of an assignment for the benefit of creditors, or the admission by it or them in writing of its or their inability to pay its or their debts generally as they become due, or the taking of corporate action by the Company, any Significant Subsidiary or any such Subsidiary Guarantor in furtherance of any such action; or</w:t>
      </w:r>
    </w:p>
    <w:p>
      <w:pPr>
        <w:spacing w:after="0" w:line="64" w:lineRule="exact"/>
        <w:rPr>
          <w:rFonts w:ascii="Arial" w:cs="Arial" w:eastAsia="Arial" w:hAnsi="Arial"/>
          <w:sz w:val="16"/>
          <w:szCs w:val="16"/>
          <w:color w:val="auto"/>
        </w:rPr>
      </w:pPr>
    </w:p>
    <w:p>
      <w:pPr>
        <w:ind w:left="200" w:right="20" w:firstLine="444"/>
        <w:spacing w:after="0" w:line="297" w:lineRule="auto"/>
        <w:tabs>
          <w:tab w:leader="none" w:pos="1031"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 the event the Subsidiary Guarantors have issued Subsidiary Guarantees with respect to the Securities of such series, the Subsidiary Guarantee of any Subsidiary Guarantor is held by a final non-appealable order or judgment of a court of competent jurisdiction to be unenforceable or invalid or ceases for any reason to be in full force and effect (other than in accordance with the terms of this Indenture) or any Subsidiary Guarantor or any Person acting on behalf of any Subsidiary Guarantor denies or disaffirms such Subsidiary Guarantor’s obligations under its Subsidiary Guarantee in writing (other than by reason of a release of such Subsidiary Guarantor from its Subsidiary Guarantee in accordance with the terms of this Indenture); or</w:t>
      </w:r>
    </w:p>
    <w:p>
      <w:pPr>
        <w:spacing w:after="0" w:line="50" w:lineRule="exact"/>
        <w:rPr>
          <w:rFonts w:ascii="Arial" w:cs="Arial" w:eastAsia="Arial" w:hAnsi="Arial"/>
          <w:sz w:val="16"/>
          <w:szCs w:val="16"/>
          <w:color w:val="auto"/>
        </w:rPr>
      </w:pPr>
    </w:p>
    <w:p>
      <w:pPr>
        <w:ind w:left="1120" w:hanging="476"/>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w:t>
      </w:r>
    </w:p>
    <w:p>
      <w:pPr>
        <w:spacing w:after="0" w:line="225"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Acceleration of Maturity; Rescission and Annulment</w:t>
      </w:r>
      <w:r>
        <w:rPr>
          <w:rFonts w:ascii="Arial" w:cs="Arial" w:eastAsia="Arial" w:hAnsi="Arial"/>
          <w:sz w:val="16"/>
          <w:szCs w:val="16"/>
          <w:color w:val="auto"/>
        </w:rPr>
        <w:t>.</w:t>
      </w:r>
    </w:p>
    <w:p>
      <w:pPr>
        <w:spacing w:after="0" w:line="225"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If an Event of Default (other than an Event of Default with respect to the Company specified in Section 5.1(7) or 5.1(8)) with respect to Securities of any series at the time Outstanding occurs and is continuing, then in every such case the Trustee or the Holders of not less than 25% in principal amount of the Outstanding Securities of that series may declare the unpaid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together with any accrued and unpaid interest thereon, shall become immediately due and payable. If an Event of Default with respect to the Company specified in Section 5.1(7) or 5.1(8) with respect to Securities of any series at the time Outstanding occurs, the</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principal amount of all the Securities of that series (or, if any Securities of that series are Original Issue Discount Securities, such portion of the principal amount of such Securities as may be specified by the terms thereof), together with any accrued and unpaid interest thereon, shall automatically, and without any declaration or other action on the part of the Trustee or any Holder, become immediately due and payable.</w:t>
      </w:r>
    </w:p>
    <w:p>
      <w:pPr>
        <w:spacing w:after="0" w:line="166"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39" w:lineRule="exact"/>
        <w:rPr>
          <w:sz w:val="20"/>
          <w:szCs w:val="20"/>
          <w:color w:val="auto"/>
        </w:rPr>
      </w:pPr>
    </w:p>
    <w:p>
      <w:pPr>
        <w:ind w:left="1040" w:hanging="396"/>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or, if applicable, any Subsidiary Guarantor has paid or deposited with the Trustee a sum sufficient to pay:</w:t>
      </w:r>
    </w:p>
    <w:p>
      <w:pPr>
        <w:spacing w:after="0" w:line="117" w:lineRule="exact"/>
        <w:rPr>
          <w:rFonts w:ascii="Arial" w:cs="Arial" w:eastAsia="Arial" w:hAnsi="Arial"/>
          <w:sz w:val="18"/>
          <w:szCs w:val="18"/>
          <w:color w:val="auto"/>
        </w:rPr>
      </w:pPr>
    </w:p>
    <w:p>
      <w:pPr>
        <w:ind w:left="1520" w:hanging="435"/>
        <w:spacing w:after="0"/>
        <w:tabs>
          <w:tab w:leader="none" w:pos="15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overdue interest on all Securities of that series,</w:t>
      </w:r>
    </w:p>
    <w:p>
      <w:pPr>
        <w:spacing w:after="0" w:line="117" w:lineRule="exact"/>
        <w:rPr>
          <w:rFonts w:ascii="Arial" w:cs="Arial" w:eastAsia="Arial" w:hAnsi="Arial"/>
          <w:sz w:val="18"/>
          <w:szCs w:val="18"/>
          <w:color w:val="auto"/>
        </w:rPr>
      </w:pPr>
    </w:p>
    <w:p>
      <w:pPr>
        <w:ind w:left="200" w:right="160" w:firstLine="885"/>
        <w:spacing w:after="0" w:line="277" w:lineRule="auto"/>
        <w:tabs>
          <w:tab w:leader="none" w:pos="1501"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62" w:lineRule="exact"/>
        <w:rPr>
          <w:rFonts w:ascii="Arial" w:cs="Arial" w:eastAsia="Arial" w:hAnsi="Arial"/>
          <w:sz w:val="18"/>
          <w:szCs w:val="18"/>
          <w:color w:val="auto"/>
        </w:rPr>
      </w:pPr>
    </w:p>
    <w:p>
      <w:pPr>
        <w:ind w:left="1500" w:hanging="415"/>
        <w:spacing w:after="0"/>
        <w:tabs>
          <w:tab w:leader="none" w:pos="15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or rates prescribed therefor in such</w:t>
      </w:r>
    </w:p>
    <w:p>
      <w:pPr>
        <w:spacing w:after="0" w:line="34"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8"/>
          <w:szCs w:val="18"/>
          <w:color w:val="auto"/>
        </w:rPr>
        <w:t>Securities, and</w:t>
      </w:r>
    </w:p>
    <w:p>
      <w:pPr>
        <w:spacing w:after="0" w:line="102" w:lineRule="exact"/>
        <w:rPr>
          <w:rFonts w:ascii="Arial" w:cs="Arial" w:eastAsia="Arial" w:hAnsi="Arial"/>
          <w:sz w:val="17"/>
          <w:szCs w:val="17"/>
          <w:color w:val="auto"/>
        </w:rPr>
      </w:pPr>
    </w:p>
    <w:p>
      <w:pPr>
        <w:ind w:left="200" w:right="220" w:firstLine="885"/>
        <w:spacing w:after="0" w:line="277" w:lineRule="auto"/>
        <w:tabs>
          <w:tab w:leader="none" w:pos="1511"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62" w:lineRule="exact"/>
        <w:rPr>
          <w:rFonts w:ascii="Arial" w:cs="Arial" w:eastAsia="Arial" w:hAnsi="Arial"/>
          <w:sz w:val="18"/>
          <w:szCs w:val="18"/>
          <w:color w:val="auto"/>
        </w:rPr>
      </w:pPr>
    </w:p>
    <w:p>
      <w:pPr>
        <w:ind w:left="200" w:right="220" w:firstLine="444"/>
        <w:spacing w:after="0" w:line="277" w:lineRule="auto"/>
        <w:tabs>
          <w:tab w:leader="none" w:pos="1031"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Securities of that series which has become due solely by such declaration of acceleration, have been cured or waived as provided in Section 5.13.</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u w:val="single" w:color="auto"/>
          <w:color w:val="auto"/>
        </w:rPr>
        <w:t>Collection of Indebtedness and Suits for Enforcement by Trustee</w:t>
      </w:r>
      <w:r>
        <w:rPr>
          <w:rFonts w:ascii="Arial" w:cs="Arial" w:eastAsia="Arial" w:hAnsi="Arial"/>
          <w:sz w:val="16"/>
          <w:szCs w:val="16"/>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covenants that if:</w:t>
      </w:r>
    </w:p>
    <w:p>
      <w:pPr>
        <w:spacing w:after="0" w:line="117" w:lineRule="exact"/>
        <w:rPr>
          <w:sz w:val="20"/>
          <w:szCs w:val="20"/>
          <w:color w:val="auto"/>
        </w:rPr>
      </w:pPr>
    </w:p>
    <w:p>
      <w:pPr>
        <w:ind w:left="200" w:right="80" w:firstLine="444"/>
        <w:spacing w:after="0" w:line="277" w:lineRule="auto"/>
        <w:tabs>
          <w:tab w:leader="none" w:pos="1031"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62" w:lineRule="exact"/>
        <w:rPr>
          <w:rFonts w:ascii="Arial" w:cs="Arial" w:eastAsia="Arial" w:hAnsi="Arial"/>
          <w:sz w:val="18"/>
          <w:szCs w:val="18"/>
          <w:color w:val="auto"/>
        </w:rPr>
      </w:pPr>
    </w:p>
    <w:p>
      <w:pPr>
        <w:ind w:left="1040" w:hanging="396"/>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w:t>
      </w:r>
    </w:p>
    <w:p>
      <w:pPr>
        <w:spacing w:after="0" w:line="225" w:lineRule="exact"/>
        <w:rPr>
          <w:sz w:val="20"/>
          <w:szCs w:val="20"/>
          <w:color w:val="auto"/>
        </w:rPr>
      </w:pPr>
    </w:p>
    <w:p>
      <w:pPr>
        <w:jc w:val="both"/>
        <w:ind w:left="200" w:right="200"/>
        <w:spacing w:after="0" w:line="264" w:lineRule="auto"/>
        <w:rPr>
          <w:sz w:val="20"/>
          <w:szCs w:val="20"/>
          <w:color w:val="auto"/>
        </w:rPr>
      </w:pPr>
      <w:r>
        <w:rPr>
          <w:rFonts w:ascii="Arial" w:cs="Arial" w:eastAsia="Arial" w:hAnsi="Arial"/>
          <w:sz w:val="18"/>
          <w:szCs w:val="18"/>
          <w:color w:val="auto"/>
        </w:rPr>
        <w:t>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4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w:t>
      </w:r>
    </w:p>
    <w:p>
      <w:pPr>
        <w:spacing w:after="0" w:line="225"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case of any judicial proceeding relative to the Company, any Subsidiary Guarantor or any other obligor upon the Securities, or the property or creditors of the Company, any Subsidiary Guarantor or any other obligor upon the Securities,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6.7.</w:t>
      </w:r>
    </w:p>
    <w:p>
      <w:pPr>
        <w:spacing w:after="0" w:line="166"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No provision of this Indenture shall be deemed to authorize the Trustee to authorize or consent to or accept or adopt on behalf of any Holder any plan of reorganization, arrangement, adjustment or composition affecting the Securities or any Subsidiary Guarantee or the rights of any Holder thereof or to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w:t>
      </w:r>
    </w:p>
    <w:p>
      <w:pPr>
        <w:spacing w:after="0" w:line="154"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u w:val="single" w:color="auto"/>
          <w:color w:val="auto"/>
        </w:rPr>
        <w:t>Trustee May Enforce Claims Without Possession of Securities</w:t>
      </w:r>
      <w:r>
        <w:rPr>
          <w:rFonts w:ascii="Arial" w:cs="Arial" w:eastAsia="Arial" w:hAnsi="Arial"/>
          <w:sz w:val="16"/>
          <w:szCs w:val="16"/>
          <w:color w:val="auto"/>
        </w:rPr>
        <w:t>.</w:t>
      </w:r>
    </w:p>
    <w:p>
      <w:pPr>
        <w:spacing w:after="0" w:line="22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All rights of action and claims under this Indenture or the Securities or any Subsidiary Guarantee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240" w:top="459" w:right="5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6"/>
          <w:szCs w:val="16"/>
          <w:u w:val="single" w:color="auto"/>
          <w:color w:val="auto"/>
        </w:rPr>
        <w:t>Application of Money Collected</w:t>
      </w:r>
      <w:r>
        <w:rPr>
          <w:rFonts w:ascii="Arial" w:cs="Arial" w:eastAsia="Arial" w:hAnsi="Arial"/>
          <w:sz w:val="16"/>
          <w:szCs w:val="16"/>
          <w:color w:val="auto"/>
        </w:rPr>
        <w:t>.</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FIRST: To the payment of all amounts due the Trustee under Section 6.7;</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THIRD: The balance, if any, to the Company or to such other Person as a court of competent jurisdiction shall direct.</w:t>
      </w:r>
    </w:p>
    <w:p>
      <w:pPr>
        <w:spacing w:after="0" w:line="225"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5.7</w:t>
      </w:r>
      <w:r>
        <w:rPr>
          <w:sz w:val="20"/>
          <w:szCs w:val="20"/>
          <w:color w:val="auto"/>
        </w:rPr>
        <w:tab/>
      </w:r>
      <w:r>
        <w:rPr>
          <w:rFonts w:ascii="Arial" w:cs="Arial" w:eastAsia="Arial" w:hAnsi="Arial"/>
          <w:sz w:val="16"/>
          <w:szCs w:val="16"/>
          <w:u w:val="single" w:color="auto"/>
          <w:color w:val="auto"/>
        </w:rPr>
        <w:t>Limitation on Suits</w:t>
      </w:r>
      <w:r>
        <w:rPr>
          <w:rFonts w:ascii="Arial" w:cs="Arial" w:eastAsia="Arial" w:hAnsi="Arial"/>
          <w:sz w:val="16"/>
          <w:szCs w:val="16"/>
          <w:color w:val="auto"/>
        </w:rPr>
        <w:t>.</w:t>
      </w:r>
    </w:p>
    <w:p>
      <w:pPr>
        <w:spacing w:after="0" w:line="225"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62" w:lineRule="exact"/>
        <w:rPr>
          <w:sz w:val="20"/>
          <w:szCs w:val="20"/>
          <w:color w:val="auto"/>
        </w:rPr>
      </w:pPr>
    </w:p>
    <w:p>
      <w:pPr>
        <w:ind w:left="1040" w:hanging="396"/>
        <w:spacing w:after="0"/>
        <w:tabs>
          <w:tab w:leader="none" w:pos="10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140" w:lineRule="exact"/>
        <w:rPr>
          <w:rFonts w:ascii="Arial" w:cs="Arial" w:eastAsia="Arial" w:hAnsi="Arial"/>
          <w:sz w:val="16"/>
          <w:szCs w:val="16"/>
          <w:color w:val="auto"/>
        </w:rPr>
      </w:pPr>
    </w:p>
    <w:p>
      <w:pPr>
        <w:ind w:left="200" w:right="480" w:firstLine="444"/>
        <w:spacing w:after="0" w:line="277" w:lineRule="auto"/>
        <w:tabs>
          <w:tab w:leader="none" w:pos="10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left="200" w:right="80" w:firstLine="444"/>
        <w:spacing w:after="0" w:line="277" w:lineRule="auto"/>
        <w:tabs>
          <w:tab w:leader="none" w:pos="10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security or indemnity against the costs, expenses and liabilities to be incurred in compliance with such request;</w:t>
      </w:r>
    </w:p>
    <w:p>
      <w:pPr>
        <w:spacing w:after="0" w:line="62" w:lineRule="exact"/>
        <w:rPr>
          <w:rFonts w:ascii="Arial" w:cs="Arial" w:eastAsia="Arial" w:hAnsi="Arial"/>
          <w:sz w:val="18"/>
          <w:szCs w:val="18"/>
          <w:color w:val="auto"/>
        </w:rPr>
      </w:pPr>
    </w:p>
    <w:p>
      <w:pPr>
        <w:ind w:left="1040" w:hanging="396"/>
        <w:spacing w:after="0"/>
        <w:tabs>
          <w:tab w:leader="none" w:pos="10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security or indemnity has failed to institute any such proceeding;</w:t>
      </w:r>
    </w:p>
    <w:p>
      <w:pPr>
        <w:spacing w:after="0" w:line="140" w:lineRule="exact"/>
        <w:rPr>
          <w:rFonts w:ascii="Arial" w:cs="Arial" w:eastAsia="Arial" w:hAnsi="Arial"/>
          <w:sz w:val="16"/>
          <w:szCs w:val="16"/>
          <w:color w:val="auto"/>
        </w:rPr>
      </w:pPr>
    </w:p>
    <w:p>
      <w:pPr>
        <w:ind w:left="200" w:right="180" w:firstLine="444"/>
        <w:spacing w:after="0" w:line="277" w:lineRule="auto"/>
        <w:tabs>
          <w:tab w:leader="none" w:pos="10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 and</w:t>
      </w:r>
    </w:p>
    <w:p>
      <w:pPr>
        <w:spacing w:after="0" w:line="62" w:lineRule="exact"/>
        <w:rPr>
          <w:rFonts w:ascii="Arial" w:cs="Arial" w:eastAsia="Arial" w:hAnsi="Arial"/>
          <w:sz w:val="18"/>
          <w:szCs w:val="18"/>
          <w:color w:val="auto"/>
        </w:rPr>
      </w:pPr>
    </w:p>
    <w:p>
      <w:pPr>
        <w:ind w:left="200" w:right="480" w:firstLine="444"/>
        <w:spacing w:after="0" w:line="277" w:lineRule="auto"/>
        <w:tabs>
          <w:tab w:leader="none" w:pos="1031"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90 days following such written notice to remedy or receive a waiver for any failure to comply with Company obligations under the Indenture, the Company has not attempted to remedy any such failure as soon as reasonably practicable;</w:t>
      </w:r>
    </w:p>
    <w:p>
      <w:pPr>
        <w:spacing w:after="0" w:line="17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6"/>
          <w:szCs w:val="16"/>
          <w:u w:val="single" w:color="auto"/>
          <w:color w:val="auto"/>
        </w:rPr>
        <w:t>Unconditional Right of Holders to Receive Principal, Premium and Interest</w:t>
      </w:r>
      <w:r>
        <w:rPr>
          <w:rFonts w:ascii="Arial" w:cs="Arial" w:eastAsia="Arial" w:hAnsi="Arial"/>
          <w:sz w:val="16"/>
          <w:szCs w:val="16"/>
          <w:color w:val="auto"/>
        </w:rPr>
        <w:t>.</w:t>
      </w:r>
    </w:p>
    <w:p>
      <w:pPr>
        <w:spacing w:after="0" w:line="225"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Notwithstanding any other provision in this Indenture, the Holder of any Security shall have the right, which is absolute and unconditional, to receive payment of the principal of and any premium and (subject to Section 3.7) interest on such Security on the respective Stated Maturities expressed in such Security (or, in the case of redemption or offer by the Company to purchase the Securities pursuant to the terms of this Indenture, on the Redemption Date or purchase date, as applicable) and, if applicable, to convert such Security in accordance with its terms, and to institute suit for the enforcement of any such right, and such rights shall not be impaired without the consent of such Holder.</w:t>
      </w:r>
    </w:p>
    <w:p>
      <w:pPr>
        <w:spacing w:after="0" w:line="173"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5.9</w:t>
      </w:r>
      <w:r>
        <w:rPr>
          <w:sz w:val="20"/>
          <w:szCs w:val="20"/>
          <w:color w:val="auto"/>
        </w:rPr>
        <w:tab/>
      </w:r>
      <w:r>
        <w:rPr>
          <w:rFonts w:ascii="Arial" w:cs="Arial" w:eastAsia="Arial" w:hAnsi="Arial"/>
          <w:sz w:val="16"/>
          <w:szCs w:val="16"/>
          <w:u w:val="single" w:color="auto"/>
          <w:color w:val="auto"/>
        </w:rPr>
        <w:t>Restoration of Rights and Remedies</w:t>
      </w:r>
      <w:r>
        <w:rPr>
          <w:rFonts w:ascii="Arial" w:cs="Arial" w:eastAsia="Arial" w:hAnsi="Arial"/>
          <w:sz w:val="16"/>
          <w:szCs w:val="16"/>
          <w:color w:val="auto"/>
        </w:rPr>
        <w:t>.</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Subsidiary Guarantors,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8"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w:t>
      </w:r>
    </w:p>
    <w:p>
      <w:pPr>
        <w:spacing w:after="0" w:line="225"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Except as otherwise provided with respect to the replacement or payment of mutilated, destroyed, lost or stolen Securities in the last paragraph of Section 3.6,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3"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u w:val="single" w:color="auto"/>
          <w:color w:val="auto"/>
        </w:rPr>
        <w:t>Delay or Omission Not Waiver</w:t>
      </w:r>
      <w:r>
        <w:rPr>
          <w:rFonts w:ascii="Arial" w:cs="Arial" w:eastAsia="Arial" w:hAnsi="Arial"/>
          <w:sz w:val="16"/>
          <w:szCs w:val="16"/>
          <w:color w:val="auto"/>
        </w:rPr>
        <w:t>.</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u w:val="single" w:color="auto"/>
          <w:color w:val="auto"/>
        </w:rPr>
        <w:t>Control by Holders</w:t>
      </w:r>
      <w:r>
        <w:rPr>
          <w:rFonts w:ascii="Arial" w:cs="Arial" w:eastAsia="Arial" w:hAnsi="Arial"/>
          <w:sz w:val="16"/>
          <w:szCs w:val="16"/>
          <w:color w:val="auto"/>
        </w:rPr>
        <w:t>.</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73" w:lineRule="exact"/>
        <w:rPr>
          <w:sz w:val="20"/>
          <w:szCs w:val="20"/>
          <w:color w:val="auto"/>
        </w:rPr>
      </w:pPr>
    </w:p>
    <w:p>
      <w:pPr>
        <w:ind w:left="5620" w:right="4060" w:hanging="4976"/>
        <w:spacing w:after="0" w:line="449" w:lineRule="auto"/>
        <w:tabs>
          <w:tab w:leader="none" w:pos="1031"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 and 36</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980" w:firstLine="4"/>
        <w:spacing w:after="0" w:line="501" w:lineRule="auto"/>
        <w:tabs>
          <w:tab w:leader="none" w:pos="103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the Trustee may take any other action deemed proper by the Trustee which is not inconsistent with such direction. Section 5.13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w:t>
      </w:r>
    </w:p>
    <w:p>
      <w:pPr>
        <w:ind w:left="200" w:right="360" w:firstLine="441"/>
        <w:spacing w:after="0" w:line="308" w:lineRule="auto"/>
        <w:rPr>
          <w:sz w:val="20"/>
          <w:szCs w:val="20"/>
          <w:color w:val="auto"/>
        </w:rPr>
      </w:pPr>
      <w:r>
        <w:rPr>
          <w:rFonts w:ascii="Arial" w:cs="Arial" w:eastAsia="Arial" w:hAnsi="Arial"/>
          <w:sz w:val="17"/>
          <w:szCs w:val="17"/>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w:t>
      </w:r>
    </w:p>
    <w:p>
      <w:pPr>
        <w:spacing w:after="0" w:line="38" w:lineRule="exact"/>
        <w:rPr>
          <w:sz w:val="20"/>
          <w:szCs w:val="20"/>
          <w:color w:val="auto"/>
        </w:rPr>
      </w:pPr>
    </w:p>
    <w:p>
      <w:pPr>
        <w:ind w:left="200" w:firstLine="444"/>
        <w:spacing w:after="0" w:line="308" w:lineRule="auto"/>
        <w:tabs>
          <w:tab w:leader="none" w:pos="1031"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the payment of the principal of or any premium or interest on any Security of such series (including any Security which is required to have been purchased by the Company pursuant to an offer to purchase by the Company made pursuant to the terms of this Indenture), or</w:t>
      </w:r>
    </w:p>
    <w:p>
      <w:pPr>
        <w:spacing w:after="0" w:line="38" w:lineRule="exact"/>
        <w:rPr>
          <w:rFonts w:ascii="Arial" w:cs="Arial" w:eastAsia="Arial" w:hAnsi="Arial"/>
          <w:sz w:val="17"/>
          <w:szCs w:val="17"/>
          <w:color w:val="auto"/>
        </w:rPr>
      </w:pPr>
    </w:p>
    <w:p>
      <w:pPr>
        <w:ind w:left="200" w:right="60" w:firstLine="444"/>
        <w:spacing w:after="0" w:line="277" w:lineRule="auto"/>
        <w:tabs>
          <w:tab w:leader="none" w:pos="1031"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9 cannot be modified or amended without the consent of the Holder of each Outstanding Security of such series.</w:t>
      </w:r>
    </w:p>
    <w:p>
      <w:pPr>
        <w:spacing w:after="0" w:line="170"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7"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6"/>
          <w:szCs w:val="16"/>
          <w:u w:val="single" w:color="auto"/>
          <w:color w:val="auto"/>
        </w:rPr>
        <w:t>Undertaking for Costs</w:t>
      </w:r>
      <w:r>
        <w:rPr>
          <w:rFonts w:ascii="Arial" w:cs="Arial" w:eastAsia="Arial" w:hAnsi="Arial"/>
          <w:sz w:val="16"/>
          <w:szCs w:val="16"/>
          <w:color w:val="auto"/>
        </w:rPr>
        <w:t>.</w:t>
      </w:r>
    </w:p>
    <w:p>
      <w:pPr>
        <w:spacing w:after="0" w:line="225"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however, that neither this Section nor the Trust Indenture Act shall be deemed to authorize any court to require such an undertaking or to make such an assessment in any suit instituted by the Company or any Subsidiary Guarantor.</w:t>
      </w:r>
    </w:p>
    <w:p>
      <w:pPr>
        <w:spacing w:after="0" w:line="188"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u w:val="single" w:color="auto"/>
          <w:color w:val="auto"/>
        </w:rPr>
        <w:t>Waiver of Usury, Stay or Extension Laws</w:t>
      </w:r>
      <w:r>
        <w:rPr>
          <w:rFonts w:ascii="Arial" w:cs="Arial" w:eastAsia="Arial" w:hAnsi="Arial"/>
          <w:sz w:val="16"/>
          <w:szCs w:val="16"/>
          <w:color w:val="auto"/>
        </w:rPr>
        <w:t>.</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Each of the Company and the Subsidiary Guarantors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each of the Company and the Subsidiary Guarantors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TRUSTEE</w:t>
      </w:r>
    </w:p>
    <w:p>
      <w:pPr>
        <w:spacing w:after="0" w:line="121"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Certain Duties and Responsibilities</w:t>
      </w:r>
      <w:r>
        <w:rPr>
          <w:rFonts w:ascii="Arial" w:cs="Arial" w:eastAsia="Arial" w:hAnsi="Arial"/>
          <w:sz w:val="16"/>
          <w:szCs w:val="16"/>
          <w:color w:val="auto"/>
        </w:rPr>
        <w:t>.</w:t>
      </w:r>
    </w:p>
    <w:p>
      <w:pPr>
        <w:spacing w:after="0" w:line="22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duties and responsibilities of the Trustee shall be as expressly set forth in this Indenture and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93"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Notice of Defaults</w:t>
      </w:r>
      <w:r>
        <w:rPr>
          <w:rFonts w:ascii="Arial" w:cs="Arial" w:eastAsia="Arial" w:hAnsi="Arial"/>
          <w:sz w:val="16"/>
          <w:szCs w:val="16"/>
          <w:color w:val="auto"/>
        </w:rPr>
        <w:t>.</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a default occurs hereunder with respect to Securities of any series, the Trustee shall give the Holders of Securities of such series notice of such default as and to the extent provided by the Trust Indenture Act; provided, however, that in the case of any default of the character specified in Section 5.1(5)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w:t>
      </w:r>
    </w:p>
    <w:p>
      <w:pPr>
        <w:spacing w:after="0" w:line="188"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Certain Rights of Trustee</w:t>
      </w:r>
      <w:r>
        <w:rPr>
          <w:rFonts w:ascii="Arial" w:cs="Arial" w:eastAsia="Arial" w:hAnsi="Arial"/>
          <w:sz w:val="16"/>
          <w:szCs w:val="16"/>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Subject to the provisions of Section 6.1:</w:t>
      </w:r>
    </w:p>
    <w:p>
      <w:pPr>
        <w:spacing w:after="0" w:line="117" w:lineRule="exact"/>
        <w:rPr>
          <w:sz w:val="20"/>
          <w:szCs w:val="20"/>
          <w:color w:val="auto"/>
        </w:rPr>
      </w:pPr>
    </w:p>
    <w:p>
      <w:pPr>
        <w:ind w:left="200" w:right="100" w:firstLine="444"/>
        <w:spacing w:after="0" w:line="264" w:lineRule="auto"/>
        <w:tabs>
          <w:tab w:leader="none" w:pos="103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73" w:lineRule="exact"/>
        <w:rPr>
          <w:rFonts w:ascii="Arial" w:cs="Arial" w:eastAsia="Arial" w:hAnsi="Arial"/>
          <w:sz w:val="18"/>
          <w:szCs w:val="18"/>
          <w:color w:val="auto"/>
        </w:rPr>
      </w:pPr>
    </w:p>
    <w:p>
      <w:pPr>
        <w:ind w:left="200" w:right="260" w:firstLine="444"/>
        <w:spacing w:after="0" w:line="277" w:lineRule="auto"/>
        <w:tabs>
          <w:tab w:leader="none" w:pos="1031"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62" w:lineRule="exact"/>
        <w:rPr>
          <w:rFonts w:ascii="Arial" w:cs="Arial" w:eastAsia="Arial" w:hAnsi="Arial"/>
          <w:sz w:val="18"/>
          <w:szCs w:val="18"/>
          <w:color w:val="auto"/>
        </w:rPr>
      </w:pPr>
    </w:p>
    <w:p>
      <w:pPr>
        <w:ind w:left="200" w:right="200" w:firstLine="444"/>
        <w:spacing w:after="0" w:line="264" w:lineRule="auto"/>
        <w:tabs>
          <w:tab w:leader="none" w:pos="1031"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73" w:lineRule="exact"/>
        <w:rPr>
          <w:rFonts w:ascii="Arial" w:cs="Arial" w:eastAsia="Arial" w:hAnsi="Arial"/>
          <w:sz w:val="18"/>
          <w:szCs w:val="18"/>
          <w:color w:val="auto"/>
        </w:rPr>
      </w:pPr>
    </w:p>
    <w:p>
      <w:pPr>
        <w:ind w:left="200" w:right="820" w:firstLine="444"/>
        <w:spacing w:after="0" w:line="342" w:lineRule="auto"/>
        <w:tabs>
          <w:tab w:leader="none" w:pos="1031"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4"/>
        <w:spacing w:after="0" w:line="264" w:lineRule="auto"/>
        <w:tabs>
          <w:tab w:leader="none" w:pos="103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73" w:lineRule="exact"/>
        <w:rPr>
          <w:rFonts w:ascii="Arial" w:cs="Arial" w:eastAsia="Arial" w:hAnsi="Arial"/>
          <w:sz w:val="18"/>
          <w:szCs w:val="18"/>
          <w:color w:val="auto"/>
        </w:rPr>
      </w:pPr>
    </w:p>
    <w:p>
      <w:pPr>
        <w:ind w:left="200" w:right="40" w:firstLine="444"/>
        <w:spacing w:after="0" w:line="257" w:lineRule="auto"/>
        <w:tabs>
          <w:tab w:leader="none" w:pos="103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80" w:lineRule="exact"/>
        <w:rPr>
          <w:rFonts w:ascii="Arial" w:cs="Arial" w:eastAsia="Arial" w:hAnsi="Arial"/>
          <w:sz w:val="18"/>
          <w:szCs w:val="18"/>
          <w:color w:val="auto"/>
        </w:rPr>
      </w:pPr>
    </w:p>
    <w:p>
      <w:pPr>
        <w:ind w:left="200" w:right="300" w:firstLine="444"/>
        <w:spacing w:after="0" w:line="264" w:lineRule="auto"/>
        <w:tabs>
          <w:tab w:leader="none" w:pos="103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1"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u w:val="single" w:color="auto"/>
          <w:color w:val="auto"/>
        </w:rPr>
        <w:t>Not Responsible for Recitals or Issuance of Securities</w:t>
      </w:r>
      <w:r>
        <w:rPr>
          <w:rFonts w:ascii="Arial" w:cs="Arial" w:eastAsia="Arial" w:hAnsi="Arial"/>
          <w:sz w:val="16"/>
          <w:szCs w:val="16"/>
          <w:color w:val="auto"/>
        </w:rPr>
        <w:t>.</w:t>
      </w:r>
    </w:p>
    <w:p>
      <w:pPr>
        <w:spacing w:after="0" w:line="225"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recitals contained herein and in the Securities and the notations of Subsidiary Guarantees, except the Trustee’s certificates of authentication, shall be taken as the statements of the Company or the Subsidiary Guarantors, as the case may be, and neither the Trustee nor any Authenticating Agent assumes any responsibility for their correctness. The Trustee makes no representations as to the validity or sufficiency of this Indenture or of the Securities or the Subsidiary Guarantees. Neither the Trustee nor any Authenticating Agent shall be accountable for the use or application by the Company of Securities or the proceeds thereof.</w:t>
      </w:r>
    </w:p>
    <w:p>
      <w:pPr>
        <w:spacing w:after="0" w:line="188"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6"/>
          <w:szCs w:val="16"/>
          <w:u w:val="single" w:color="auto"/>
          <w:color w:val="auto"/>
        </w:rPr>
        <w:t>May Hold Securities</w:t>
      </w:r>
      <w:r>
        <w:rPr>
          <w:rFonts w:ascii="Arial" w:cs="Arial" w:eastAsia="Arial" w:hAnsi="Arial"/>
          <w:sz w:val="16"/>
          <w:szCs w:val="16"/>
          <w:color w:val="auto"/>
        </w:rPr>
        <w:t>.</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Trustee, any Authenticating Agent, any Paying Agent, any Security Registrar or any other agent of the Company or any Subsidiary Guarantor, in its individual or any other capacity, may become the owner or pledgee of Securities and, subject to Sections 6.8 and 6.13, may otherwise deal with the Company and any Subsidiary Guarantor with the same rights it would have if it were not Trustee, Authenticating Agent, Paying Agent, Security Registrar or such other agent.</w:t>
      </w:r>
    </w:p>
    <w:p>
      <w:pPr>
        <w:spacing w:after="0" w:line="187"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Money Held in Trust</w:t>
      </w:r>
      <w:r>
        <w:rPr>
          <w:rFonts w:ascii="Arial" w:cs="Arial" w:eastAsia="Arial" w:hAnsi="Arial"/>
          <w:sz w:val="16"/>
          <w:szCs w:val="16"/>
          <w:color w:val="auto"/>
        </w:rPr>
        <w:t>.</w:t>
      </w:r>
    </w:p>
    <w:p>
      <w:pPr>
        <w:spacing w:after="0" w:line="225"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 or any Subsidiary Guarantor, as the case may be.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5"/>
          <w:szCs w:val="15"/>
          <w:u w:val="single" w:color="auto"/>
          <w:color w:val="auto"/>
        </w:rPr>
        <w:t>Compensation and Reimbursement</w:t>
      </w:r>
      <w:r>
        <w:rPr>
          <w:rFonts w:ascii="Arial" w:cs="Arial" w:eastAsia="Arial" w:hAnsi="Arial"/>
          <w:sz w:val="15"/>
          <w:szCs w:val="15"/>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and each Subsidiary Guarantor jointly and severally agree</w:t>
      </w:r>
    </w:p>
    <w:p>
      <w:pPr>
        <w:spacing w:after="0" w:line="117" w:lineRule="exact"/>
        <w:rPr>
          <w:sz w:val="20"/>
          <w:szCs w:val="20"/>
          <w:color w:val="auto"/>
        </w:rPr>
      </w:pPr>
    </w:p>
    <w:p>
      <w:pPr>
        <w:ind w:left="200" w:right="140" w:firstLine="444"/>
        <w:spacing w:after="0" w:line="277" w:lineRule="auto"/>
        <w:tabs>
          <w:tab w:leader="none" w:pos="10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62" w:lineRule="exact"/>
        <w:rPr>
          <w:rFonts w:ascii="Arial" w:cs="Arial" w:eastAsia="Arial" w:hAnsi="Arial"/>
          <w:sz w:val="18"/>
          <w:szCs w:val="18"/>
          <w:color w:val="auto"/>
        </w:rPr>
      </w:pPr>
    </w:p>
    <w:p>
      <w:pPr>
        <w:ind w:left="200" w:right="160" w:firstLine="444"/>
        <w:spacing w:after="0" w:line="259" w:lineRule="auto"/>
        <w:tabs>
          <w:tab w:leader="none" w:pos="1031"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78" w:lineRule="exact"/>
        <w:rPr>
          <w:rFonts w:ascii="Arial" w:cs="Arial" w:eastAsia="Arial" w:hAnsi="Arial"/>
          <w:sz w:val="18"/>
          <w:szCs w:val="18"/>
          <w:color w:val="auto"/>
        </w:rPr>
      </w:pPr>
    </w:p>
    <w:p>
      <w:pPr>
        <w:ind w:left="200" w:right="100" w:firstLine="444"/>
        <w:spacing w:after="0" w:line="286" w:lineRule="auto"/>
        <w:tabs>
          <w:tab w:leader="none" w:pos="1031" w:val="left"/>
        </w:tabs>
        <w:numPr>
          <w:ilvl w:val="0"/>
          <w:numId w:val="71"/>
        </w:numPr>
        <w:rPr>
          <w:rFonts w:ascii="Arial" w:cs="Arial" w:eastAsia="Arial" w:hAnsi="Arial"/>
          <w:sz w:val="17"/>
          <w:szCs w:val="17"/>
          <w:color w:val="auto"/>
        </w:rPr>
      </w:pPr>
      <w:r>
        <w:rPr>
          <w:rFonts w:ascii="Arial" w:cs="Arial" w:eastAsia="Arial" w:hAnsi="Arial"/>
          <w:sz w:val="17"/>
          <w:szCs w:val="17"/>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66"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6"/>
          <w:szCs w:val="16"/>
          <w:u w:val="single" w:color="auto"/>
          <w:color w:val="auto"/>
        </w:rPr>
        <w:t>Conflicting Interests</w:t>
      </w:r>
      <w:r>
        <w:rPr>
          <w:rFonts w:ascii="Arial" w:cs="Arial" w:eastAsia="Arial" w:hAnsi="Arial"/>
          <w:sz w:val="16"/>
          <w:szCs w:val="16"/>
          <w:color w:val="auto"/>
        </w:rPr>
        <w:t>.</w:t>
      </w:r>
    </w:p>
    <w:p>
      <w:pPr>
        <w:spacing w:after="0" w:line="225"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such Act, the Trustee shall not be deemed to have a conflicting interest by virtue of being a trustee under this Indenture with respect to Securities of more than one series.</w:t>
      </w:r>
    </w:p>
    <w:p>
      <w:pPr>
        <w:spacing w:after="0" w:line="187"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6"/>
          <w:szCs w:val="16"/>
          <w:u w:val="single" w:color="auto"/>
          <w:color w:val="auto"/>
        </w:rPr>
        <w:t>Corporate Trustee Required; Eligibility</w:t>
      </w:r>
      <w:r>
        <w:rPr>
          <w:rFonts w:ascii="Arial" w:cs="Arial" w:eastAsia="Arial" w:hAnsi="Arial"/>
          <w:sz w:val="16"/>
          <w:szCs w:val="16"/>
          <w:color w:val="auto"/>
        </w:rPr>
        <w:t>.</w:t>
      </w:r>
    </w:p>
    <w:p>
      <w:pPr>
        <w:spacing w:after="0" w:line="225"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178"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Resignation and Removal; Appointment of Successor</w:t>
      </w:r>
      <w:r>
        <w:rPr>
          <w:rFonts w:ascii="Arial" w:cs="Arial" w:eastAsia="Arial" w:hAnsi="Arial"/>
          <w:sz w:val="16"/>
          <w:szCs w:val="16"/>
          <w:color w:val="auto"/>
        </w:rPr>
        <w:t>.</w:t>
      </w:r>
    </w:p>
    <w:p>
      <w:pPr>
        <w:spacing w:after="0" w:line="225"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at any time:</w:t>
      </w:r>
    </w:p>
    <w:p>
      <w:pPr>
        <w:spacing w:after="0" w:line="117" w:lineRule="exact"/>
        <w:rPr>
          <w:sz w:val="20"/>
          <w:szCs w:val="20"/>
          <w:color w:val="auto"/>
        </w:rPr>
      </w:pPr>
    </w:p>
    <w:p>
      <w:pPr>
        <w:ind w:left="200" w:right="240" w:firstLine="444"/>
        <w:spacing w:after="0" w:line="277" w:lineRule="auto"/>
        <w:tabs>
          <w:tab w:leader="none" w:pos="103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Trustee shall fail to comply with Section 6.8 after written request therefor by the Company or by any Holder who has been a bona fide Holder of a Security for at least six months, or</w:t>
      </w:r>
    </w:p>
    <w:p>
      <w:pPr>
        <w:spacing w:after="0" w:line="62" w:lineRule="exact"/>
        <w:rPr>
          <w:rFonts w:ascii="Arial" w:cs="Arial" w:eastAsia="Arial" w:hAnsi="Arial"/>
          <w:sz w:val="18"/>
          <w:szCs w:val="18"/>
          <w:color w:val="auto"/>
        </w:rPr>
      </w:pPr>
    </w:p>
    <w:p>
      <w:pPr>
        <w:ind w:left="1040" w:hanging="396"/>
        <w:spacing w:after="0"/>
        <w:tabs>
          <w:tab w:leader="none" w:pos="10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Trustee shall cease to be eligible under Section 6.9 and shall fail to resign after written request therefor by the Company or by any such</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Holder, or</w:t>
      </w:r>
    </w:p>
    <w:p>
      <w:pPr>
        <w:spacing w:after="0" w:line="102" w:lineRule="exact"/>
        <w:rPr>
          <w:rFonts w:ascii="Arial" w:cs="Arial" w:eastAsia="Arial" w:hAnsi="Arial"/>
          <w:sz w:val="16"/>
          <w:szCs w:val="16"/>
          <w:color w:val="auto"/>
        </w:rPr>
      </w:pPr>
    </w:p>
    <w:p>
      <w:pPr>
        <w:ind w:left="200" w:right="40" w:firstLine="444"/>
        <w:spacing w:after="0" w:line="264" w:lineRule="auto"/>
        <w:tabs>
          <w:tab w:leader="none" w:pos="103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47"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1.6. Each notice shall include the name of the successor Trustee with respect to the Securities of such series and the address of its Corporate Trust Office.</w:t>
      </w:r>
    </w:p>
    <w:p>
      <w:pPr>
        <w:spacing w:after="0" w:line="187"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Acceptance of Appointment by Successor</w:t>
      </w:r>
      <w:r>
        <w:rPr>
          <w:rFonts w:ascii="Arial" w:cs="Arial" w:eastAsia="Arial" w:hAnsi="Arial"/>
          <w:sz w:val="16"/>
          <w:szCs w:val="16"/>
          <w:color w:val="auto"/>
        </w:rPr>
        <w:t>.</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case of the appointment hereunder of a successor Trustee with respect to all Securities, every such successor Trustee so appointed shall execute, acknowledge and deliver to the Company, the Subsidiary Guarantors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9"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In case of the appointment hereunder of a successor Trustee with respect to the Securities of one or more (but not all) series, the Company, the Subsidiary Guarantors,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78"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Upon request of any such successor Trustee, the Company and the Subsidiary Guarantors shall execute any and all instruments for more fully and certainly vesting in and confirming to such successor Trustee all such rights, powers and trusts referred to in the first or second preceding paragraph, as the case may be.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Merger, Conversion, Consolidation or Succession to Business</w:t>
      </w:r>
      <w:r>
        <w:rPr>
          <w:rFonts w:ascii="Arial" w:cs="Arial" w:eastAsia="Arial" w:hAnsi="Arial"/>
          <w:sz w:val="16"/>
          <w:szCs w:val="16"/>
          <w:color w:val="auto"/>
        </w:rPr>
        <w:t>.</w:t>
      </w:r>
    </w:p>
    <w:p>
      <w:pPr>
        <w:spacing w:after="0" w:line="225"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Any Person into which the Trustee may be merged or converted or with which it may be consolidated, or any Person resulting from any merger, conversion or consolidation to which the Trustee shall be a party, or any Person succeeding to all or substantially all the corporate trust business of the Trustee, shall be the successor of the Trustee hereunder, provided such Person shall be otherwise qualified and eligible under this Article, without the execution or filing of any paper or any further act on the part of any of the parties hereto. As soon as practicable, the successor Trustee shall mail a notice of its succession to the Company and the Holders of the Securities then Outstanding.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67"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Preferential Collection of Claims Against Company and Subsidiary Guarantors</w:t>
      </w:r>
      <w:r>
        <w:rPr>
          <w:rFonts w:ascii="Arial" w:cs="Arial" w:eastAsia="Arial" w:hAnsi="Arial"/>
          <w:sz w:val="16"/>
          <w:szCs w:val="16"/>
          <w:color w:val="auto"/>
        </w:rPr>
        <w:t>.</w:t>
      </w:r>
    </w:p>
    <w:p>
      <w:pPr>
        <w:spacing w:after="0" w:line="225"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If and when the Trustee shall be or become a creditor of the Company, any Subsidiary Guarantor or any other obligor upon the Securities, the Trustee shall be subject to the provisions of the Trust Indenture Act regarding the collection of claims against the Company, such Subsidiary Guarantor or any such other obligor.</w:t>
      </w:r>
    </w:p>
    <w:p>
      <w:pPr>
        <w:spacing w:after="0" w:line="181"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Appointment of Authenticating Agent</w:t>
      </w:r>
      <w:r>
        <w:rPr>
          <w:rFonts w:ascii="Arial" w:cs="Arial" w:eastAsia="Arial" w:hAnsi="Arial"/>
          <w:sz w:val="16"/>
          <w:szCs w:val="16"/>
          <w:color w:val="auto"/>
        </w:rPr>
        <w:t>.</w:t>
      </w:r>
    </w:p>
    <w:p>
      <w:pPr>
        <w:spacing w:after="0" w:line="225"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conversion or partial redemption thereof or pursuant to Section 3.6,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Person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80"/>
          </w:cols>
          <w:pgMar w:left="24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60"/>
        <w:spacing w:after="0" w:line="264" w:lineRule="auto"/>
        <w:rPr>
          <w:sz w:val="20"/>
          <w:szCs w:val="20"/>
          <w:color w:val="auto"/>
        </w:rPr>
      </w:pPr>
      <w:r>
        <w:rPr>
          <w:rFonts w:ascii="Arial" w:cs="Arial" w:eastAsia="Arial" w:hAnsi="Arial"/>
          <w:sz w:val="18"/>
          <w:szCs w:val="18"/>
          <w:color w:val="auto"/>
        </w:rPr>
        <w:t>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Any Person into which an Authenticating Agent may be merged or converted or with which it may be consolidated, or any Person resulting from any merger, conversion or consolidation to</w:t>
      </w:r>
    </w:p>
    <w:p>
      <w:pPr>
        <w:spacing w:after="0" w:line="17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which such Authenticating Agent shall be a party, or any Person succeeding to the corporate agency or corporate trust business of an Authenticating Agent, shall continue to be an Authenticating Agent, provided such Person shall be otherwise eligible under this Section, without the execution or filing of any paper or any further act on the part of the Trustee or the Authenticating Agent.</w:t>
      </w:r>
    </w:p>
    <w:p>
      <w:pPr>
        <w:spacing w:after="0" w:line="18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79"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Trustee agrees to pay to each Authenticating Agent from time to time reasonable compensation for its services under this Section, and the Trustee shall be entitled to be reimbursed for such payments, subject to the provisions of Section 6.7.</w:t>
      </w:r>
    </w:p>
    <w:p>
      <w:pPr>
        <w:spacing w:after="0" w:line="170"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If an appointment with respect to one or more series is made pursuant to this Section, the Securities of such series may have endorsed thereon, in addition to the Trustee’s certificate of authentication, an alternative certificate of authentication in the following form:</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[TRUSTEE’S NAME],</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As Authenticating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-130810</wp:posOffset>
            </wp:positionV>
            <wp:extent cx="26155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-130810</wp:posOffset>
            </wp:positionV>
            <wp:extent cx="26155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9"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Company to Furnish Trustee Names and Addresses of Holders</w:t>
      </w:r>
      <w:r>
        <w:rPr>
          <w:rFonts w:ascii="Arial" w:cs="Arial" w:eastAsia="Arial" w:hAnsi="Arial"/>
          <w:sz w:val="16"/>
          <w:szCs w:val="16"/>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will furnish or cause to be furnished to the Trustee with respect to the Securities of each series:</w:t>
      </w:r>
    </w:p>
    <w:p>
      <w:pPr>
        <w:spacing w:after="0" w:line="117" w:lineRule="exact"/>
        <w:rPr>
          <w:sz w:val="20"/>
          <w:szCs w:val="20"/>
          <w:color w:val="auto"/>
        </w:rPr>
      </w:pPr>
    </w:p>
    <w:p>
      <w:pPr>
        <w:ind w:left="200" w:firstLine="444"/>
        <w:spacing w:after="0" w:line="277" w:lineRule="auto"/>
        <w:tabs>
          <w:tab w:leader="none" w:pos="1031"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 more than 10 days after each record date with respect to the payment of interest, if any, a list, in such form as the Trustee may reasonably require, of the names and addresses of the Holders of Securities of such series as of such record date, and</w:t>
      </w:r>
    </w:p>
    <w:p>
      <w:pPr>
        <w:spacing w:after="0" w:line="62" w:lineRule="exact"/>
        <w:rPr>
          <w:rFonts w:ascii="Arial" w:cs="Arial" w:eastAsia="Arial" w:hAnsi="Arial"/>
          <w:sz w:val="18"/>
          <w:szCs w:val="18"/>
          <w:color w:val="auto"/>
        </w:rPr>
      </w:pPr>
    </w:p>
    <w:p>
      <w:pPr>
        <w:ind w:left="200" w:right="460" w:firstLine="444"/>
        <w:spacing w:after="0" w:line="277" w:lineRule="auto"/>
        <w:tabs>
          <w:tab w:leader="none" w:pos="1031"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excluding from any such list names and addresses received by the Trustee in its capacity as Security Registrar.</w:t>
      </w:r>
    </w:p>
    <w:p>
      <w:pPr>
        <w:spacing w:after="0" w:line="225"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Preservation of Information; Communications to Holders</w:t>
      </w:r>
      <w:r>
        <w:rPr>
          <w:rFonts w:ascii="Arial" w:cs="Arial" w:eastAsia="Arial" w:hAnsi="Arial"/>
          <w:sz w:val="16"/>
          <w:szCs w:val="16"/>
          <w:color w:val="auto"/>
        </w:rPr>
        <w:t>.</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Trustee shall preserve, in as current a form as is reasonably practicable, the names and addresses of Holders contained in the most recent list furnished to the Trustee as provided in Section 7.1 and the names and addresses of Holders received by the Trustee in its capacity as Security Registrar. The Trustee may destroy any list furnished to it as provided in Section 7.1 upon receipt of a new list so furnished. The rights of Holders to communicate with other Holders with respect to their rights under this Indenture or under the Securities, and the corresponding rights and privileges of the Trustee, shall be as provided by the Trust Indenture Act.</w:t>
      </w:r>
    </w:p>
    <w:p>
      <w:pPr>
        <w:spacing w:after="0" w:line="188"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Every Holder of Securities, by receiving and holding the same, agrees with the Company and the Trustee that neither the Company, the Subsidiary Guarantors nor the Trustee nor any agent of any of them shall be held accountable by reason of any disclosure of information as to names and addresses of Holders made pursuant to the Trust Indenture Act.</w:t>
      </w:r>
    </w:p>
    <w:p>
      <w:pPr>
        <w:spacing w:after="0" w:line="181"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5"/>
          <w:szCs w:val="15"/>
          <w:u w:val="single" w:color="auto"/>
          <w:color w:val="auto"/>
        </w:rPr>
        <w:t>Reports by Trustee</w:t>
      </w:r>
      <w:r>
        <w:rPr>
          <w:rFonts w:ascii="Arial" w:cs="Arial" w:eastAsia="Arial" w:hAnsi="Arial"/>
          <w:sz w:val="15"/>
          <w:szCs w:val="15"/>
          <w:color w:val="auto"/>
        </w:rPr>
        <w:t>.</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170"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80"/>
          </w:cols>
          <w:pgMar w:left="24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Reports by Company and Subsidiary Guarantors</w:t>
      </w:r>
      <w:r>
        <w:rPr>
          <w:rFonts w:ascii="Arial" w:cs="Arial" w:eastAsia="Arial" w:hAnsi="Arial"/>
          <w:sz w:val="16"/>
          <w:szCs w:val="16"/>
          <w:color w:val="auto"/>
        </w:rPr>
        <w:t>.</w:t>
      </w:r>
    </w:p>
    <w:p>
      <w:pPr>
        <w:spacing w:after="0" w:line="225"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Company and each of the Subsidiary Guarantors shall file with the Trustee and the Commission,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Exchange Act shall be filed with the Trustee within 15 days after the same is filed with the Commission.</w:t>
      </w: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29"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Company May Consolidate, Etc., Only on Certain Terms</w:t>
      </w:r>
      <w:r>
        <w:rPr>
          <w:rFonts w:ascii="Arial" w:cs="Arial" w:eastAsia="Arial" w:hAnsi="Arial"/>
          <w:sz w:val="16"/>
          <w:szCs w:val="16"/>
          <w:color w:val="auto"/>
        </w:rPr>
        <w:t>.</w:t>
      </w:r>
    </w:p>
    <w:p>
      <w:pPr>
        <w:spacing w:after="0" w:line="225"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Company shall not, in a single transaction or a series of related transactions, consolidate with or merge into any other Person or permit any other Person to consolidate with or merge into the Company or, directly or indirectly, transfer, convey, sell, lease or otherwise dispose of all or substantially all of its assets, unless:</w:t>
      </w:r>
    </w:p>
    <w:p>
      <w:pPr>
        <w:spacing w:after="0" w:line="73" w:lineRule="exact"/>
        <w:rPr>
          <w:sz w:val="20"/>
          <w:szCs w:val="20"/>
          <w:color w:val="auto"/>
        </w:rPr>
      </w:pPr>
    </w:p>
    <w:p>
      <w:pPr>
        <w:ind w:left="200" w:firstLine="444"/>
        <w:spacing w:after="0" w:line="273" w:lineRule="auto"/>
        <w:tabs>
          <w:tab w:leader="none" w:pos="1031"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 a transaction in which the Company does not survive or in which the Company transfers, conveys, sells, leases or otherwise disposes of all or substantially all of its assets, the successor entity (for purposes of this Article 8, a “Successor Company”) shall be a corporation, partnership, trust or other entity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w:t>
      </w:r>
    </w:p>
    <w:p>
      <w:pPr>
        <w:spacing w:after="0" w:line="70" w:lineRule="exact"/>
        <w:rPr>
          <w:rFonts w:ascii="Arial" w:cs="Arial" w:eastAsia="Arial" w:hAnsi="Arial"/>
          <w:sz w:val="17"/>
          <w:szCs w:val="17"/>
          <w:color w:val="auto"/>
        </w:rPr>
      </w:pPr>
    </w:p>
    <w:p>
      <w:pPr>
        <w:ind w:left="1040" w:hanging="396"/>
        <w:spacing w:after="0"/>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shall have happened and be continuing;</w:t>
      </w:r>
    </w:p>
    <w:p>
      <w:pPr>
        <w:spacing w:after="0" w:line="117" w:lineRule="exact"/>
        <w:rPr>
          <w:rFonts w:ascii="Arial" w:cs="Arial" w:eastAsia="Arial" w:hAnsi="Arial"/>
          <w:sz w:val="18"/>
          <w:szCs w:val="18"/>
          <w:color w:val="auto"/>
        </w:rPr>
      </w:pPr>
    </w:p>
    <w:p>
      <w:pPr>
        <w:ind w:left="200" w:right="40" w:firstLine="444"/>
        <w:spacing w:after="0" w:line="259" w:lineRule="auto"/>
        <w:tabs>
          <w:tab w:leader="none" w:pos="1031"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as a result of any such consolidation or merger or such transfer, conveyance, sale, lease or other disposition, properties or assets of the Company would become subject to a mortgage, pledge, lien, security interest or other encumbrance which would not be permitted by this Indenture, the Company or the Successor Company, as the case may be, shall take such steps as shall be necessary effectively to secure the Securities equally and ratably with (or prior to) all indebtedness secured thereby;</w:t>
      </w:r>
    </w:p>
    <w:p>
      <w:pPr>
        <w:spacing w:after="0" w:line="78" w:lineRule="exact"/>
        <w:rPr>
          <w:rFonts w:ascii="Arial" w:cs="Arial" w:eastAsia="Arial" w:hAnsi="Arial"/>
          <w:sz w:val="18"/>
          <w:szCs w:val="18"/>
          <w:color w:val="auto"/>
        </w:rPr>
      </w:pPr>
    </w:p>
    <w:p>
      <w:pPr>
        <w:ind w:left="1040" w:hanging="396"/>
        <w:spacing w:after="0"/>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other conditions provided pursuant to Section 3.1 with respect to the Securities of a series are satisfied; and</w:t>
      </w:r>
    </w:p>
    <w:p>
      <w:pPr>
        <w:spacing w:after="0" w:line="117" w:lineRule="exact"/>
        <w:rPr>
          <w:rFonts w:ascii="Arial" w:cs="Arial" w:eastAsia="Arial" w:hAnsi="Arial"/>
          <w:sz w:val="18"/>
          <w:szCs w:val="18"/>
          <w:color w:val="auto"/>
        </w:rPr>
      </w:pPr>
    </w:p>
    <w:p>
      <w:pPr>
        <w:ind w:left="200" w:right="60" w:firstLine="444"/>
        <w:spacing w:after="0" w:line="312" w:lineRule="auto"/>
        <w:tabs>
          <w:tab w:leader="none" w:pos="1031"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such consolidation, merger, transfer, conveyance, sale, lease or other disposition and, if a supplemental indenture is required in connection with such transaction, such supplemental indenture comply with this Article and that all conditions precedent herein provided for relating to such transaction have been complied with.</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Subsidiary Guarantors May Consolidate, Etc., Only on Certain Terms</w:t>
      </w:r>
      <w:r>
        <w:rPr>
          <w:rFonts w:ascii="Arial" w:cs="Arial" w:eastAsia="Arial" w:hAnsi="Arial"/>
          <w:sz w:val="16"/>
          <w:szCs w:val="16"/>
          <w:color w:val="auto"/>
        </w:rPr>
        <w:t>.</w:t>
      </w:r>
    </w:p>
    <w:p>
      <w:pPr>
        <w:spacing w:after="0" w:line="225"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Except in a transaction resulting in the release of a Subsidiary Guarantor in accordance with the terms of this Indenture, each Subsidiary Guarantor shall not, and the Company shall not permit any Subsidiary Guarantor to, in a single or a series of related transactions, consolidate or merge with or into any Person (other than the Company or another Subsidiary Guarantor) or permit any Person (other than another Subsidiary Guarantor) to consolidate or merge with or into such Subsidiary Guarantor or, directly or indirectly, transfer, convey, sell, lease or otherwise dispose of all or substantially all of its assets unless, in each case:</w:t>
      </w:r>
    </w:p>
    <w:p>
      <w:pPr>
        <w:spacing w:after="0" w:line="80" w:lineRule="exact"/>
        <w:rPr>
          <w:sz w:val="20"/>
          <w:szCs w:val="20"/>
          <w:color w:val="auto"/>
        </w:rPr>
      </w:pPr>
    </w:p>
    <w:p>
      <w:pPr>
        <w:ind w:left="200" w:right="80" w:firstLine="444"/>
        <w:spacing w:after="0" w:line="293" w:lineRule="auto"/>
        <w:tabs>
          <w:tab w:leader="none" w:pos="1031"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a transaction in which such Subsidiary Guarantor does not survive or in which all or substantially all of the assets of such Subsidiary Guarantor are transferred, conveyed, sold, leased or otherwise disposed of, the successor entity (the “Successor Subsidiary Guarantor”) shall be a corporation, partnership, trust or other entity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all obligations of such Subsidiary Guarantor under its Subsidiary Guarantee and this Indenture and the performance of every covenant of this Indenture on the part of such Subsidiary Guarantor to be performed or observed; and</w:t>
      </w:r>
    </w:p>
    <w:p>
      <w:pPr>
        <w:spacing w:after="0" w:line="56" w:lineRule="exact"/>
        <w:rPr>
          <w:rFonts w:ascii="Arial" w:cs="Arial" w:eastAsia="Arial" w:hAnsi="Arial"/>
          <w:sz w:val="16"/>
          <w:szCs w:val="16"/>
          <w:color w:val="auto"/>
        </w:rPr>
      </w:pPr>
    </w:p>
    <w:p>
      <w:pPr>
        <w:ind w:left="200" w:right="20" w:firstLine="444"/>
        <w:spacing w:after="0" w:line="312" w:lineRule="auto"/>
        <w:tabs>
          <w:tab w:leader="none" w:pos="1031"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such consolidation, merger, transfer, conveyance, sale, lease or other disposition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47"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5"/>
          <w:szCs w:val="15"/>
          <w:u w:val="single" w:color="auto"/>
          <w:color w:val="auto"/>
        </w:rPr>
        <w:t>Successor Substituted</w:t>
      </w:r>
      <w:r>
        <w:rPr>
          <w:rFonts w:ascii="Arial" w:cs="Arial" w:eastAsia="Arial" w:hAnsi="Arial"/>
          <w:sz w:val="15"/>
          <w:szCs w:val="15"/>
          <w:color w:val="auto"/>
        </w:rPr>
        <w:t>.</w:t>
      </w:r>
    </w:p>
    <w:p>
      <w:pPr>
        <w:spacing w:after="0" w:line="225" w:lineRule="exact"/>
        <w:rPr>
          <w:sz w:val="20"/>
          <w:szCs w:val="20"/>
          <w:color w:val="auto"/>
        </w:rPr>
      </w:pPr>
    </w:p>
    <w:p>
      <w:pPr>
        <w:ind w:left="200" w:firstLine="444"/>
        <w:spacing w:after="0" w:line="257" w:lineRule="auto"/>
        <w:tabs>
          <w:tab w:leader="none" w:pos="1031" w:val="left"/>
        </w:tabs>
        <w:numPr>
          <w:ilvl w:val="0"/>
          <w:numId w:val="76"/>
        </w:numPr>
        <w:rPr>
          <w:rFonts w:ascii="Arial" w:cs="Arial" w:eastAsia="Arial" w:hAnsi="Arial"/>
          <w:sz w:val="18"/>
          <w:szCs w:val="18"/>
          <w:color w:val="auto"/>
        </w:rPr>
      </w:pPr>
      <w:r>
        <w:rPr>
          <w:rFonts w:ascii="Arial" w:cs="Arial" w:eastAsia="Arial" w:hAnsi="Arial"/>
          <w:sz w:val="18"/>
          <w:szCs w:val="18"/>
          <w:color w:val="auto"/>
        </w:rPr>
        <w:t>Upon any consolidation of the Company with, or merger of the Company into, any other Person or any transfer, conveyance, sale, lease or other disposition of all or substantially all of the assets of the Company in accordance with Section 8.1, the Successor Company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80" w:lineRule="exact"/>
        <w:rPr>
          <w:rFonts w:ascii="Arial" w:cs="Arial" w:eastAsia="Arial" w:hAnsi="Arial"/>
          <w:sz w:val="18"/>
          <w:szCs w:val="18"/>
          <w:color w:val="auto"/>
        </w:rPr>
      </w:pPr>
    </w:p>
    <w:p>
      <w:pPr>
        <w:ind w:left="200" w:right="100" w:firstLine="444"/>
        <w:spacing w:after="0" w:line="297" w:lineRule="auto"/>
        <w:tabs>
          <w:tab w:leader="none" w:pos="1031" w:val="left"/>
        </w:tabs>
        <w:numPr>
          <w:ilvl w:val="0"/>
          <w:numId w:val="76"/>
        </w:numPr>
        <w:rPr>
          <w:rFonts w:ascii="Arial" w:cs="Arial" w:eastAsia="Arial" w:hAnsi="Arial"/>
          <w:sz w:val="16"/>
          <w:szCs w:val="16"/>
          <w:color w:val="auto"/>
        </w:rPr>
      </w:pPr>
      <w:r>
        <w:rPr>
          <w:rFonts w:ascii="Arial" w:cs="Arial" w:eastAsia="Arial" w:hAnsi="Arial"/>
          <w:sz w:val="16"/>
          <w:szCs w:val="16"/>
          <w:color w:val="auto"/>
        </w:rPr>
        <w:t>Upon any consolidation of a Subsidiary Guarantor with, or merger of such Subsidiary Guarantor into, any other Person or any transfer, conveyance, sale, lease or other disposition of all or substantially all of the assets of such Subsidiary Guarantor in accordance with Section 8.2, the Successor Subsidiary Guarantor shall succeed to, and be substituted for, and may exercise every right and power of, such Subsidiary Guarantor under this Indenture with the same effect as if such successor Person had been named as a Subsidiary Guarantor herein, and thereafter, except in the case of a lease, the predecessor Person shall be relieved of all obligations and covenants under this Indenture and its Subsidiary Guarantee.</w:t>
      </w: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60"/>
          </w:cols>
          <w:pgMar w:left="240" w:top="459"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SUPPLEMENTAL INDENTURES</w:t>
      </w:r>
    </w:p>
    <w:p>
      <w:pPr>
        <w:spacing w:after="0" w:line="229"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Supplemental Indentures Without Consent of Holders</w:t>
      </w:r>
      <w:r>
        <w:rPr>
          <w:rFonts w:ascii="Arial" w:cs="Arial" w:eastAsia="Arial" w:hAnsi="Arial"/>
          <w:sz w:val="16"/>
          <w:szCs w:val="16"/>
          <w:color w:val="auto"/>
        </w:rPr>
        <w:t>.</w:t>
      </w:r>
    </w:p>
    <w:p>
      <w:pPr>
        <w:spacing w:after="0" w:line="225"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Without the consent of any Holders, the Company, when authorized by a Board Resolution, the Subsidiary Guarantors, when authorized by their respective Board Resolutions, and the Trustee, at any time and from time to time, may enter into one or more indentures supplemental hereto, in form satisfactory to the Trustee, for any of the following purposes:</w:t>
      </w:r>
    </w:p>
    <w:p>
      <w:pPr>
        <w:spacing w:after="0" w:line="73" w:lineRule="exact"/>
        <w:rPr>
          <w:sz w:val="20"/>
          <w:szCs w:val="20"/>
          <w:color w:val="auto"/>
        </w:rPr>
      </w:pPr>
    </w:p>
    <w:p>
      <w:pPr>
        <w:ind w:left="200" w:right="100" w:firstLine="444"/>
        <w:spacing w:after="0" w:line="342" w:lineRule="auto"/>
        <w:tabs>
          <w:tab w:leader="none" w:pos="1031" w:val="left"/>
        </w:tabs>
        <w:numPr>
          <w:ilvl w:val="0"/>
          <w:numId w:val="77"/>
        </w:numPr>
        <w:rPr>
          <w:rFonts w:ascii="Arial" w:cs="Arial" w:eastAsia="Arial" w:hAnsi="Arial"/>
          <w:sz w:val="16"/>
          <w:szCs w:val="16"/>
          <w:color w:val="auto"/>
        </w:rPr>
      </w:pPr>
      <w:r>
        <w:rPr>
          <w:rFonts w:ascii="Arial" w:cs="Arial" w:eastAsia="Arial" w:hAnsi="Arial"/>
          <w:sz w:val="16"/>
          <w:szCs w:val="16"/>
          <w:color w:val="auto"/>
        </w:rPr>
        <w:t>to evidence the succession of another Person to the Company or any Subsidiary Guarantor and the assumption by any such successor of the covenants of the Company or any Subsidiary Guarantor herein and in the Securities or Subsidiary Guarantees, as the case may be; or</w:t>
      </w:r>
    </w:p>
    <w:p>
      <w:pPr>
        <w:spacing w:after="0" w:line="15" w:lineRule="exact"/>
        <w:rPr>
          <w:rFonts w:ascii="Arial" w:cs="Arial" w:eastAsia="Arial" w:hAnsi="Arial"/>
          <w:sz w:val="16"/>
          <w:szCs w:val="16"/>
          <w:color w:val="auto"/>
        </w:rPr>
      </w:pPr>
    </w:p>
    <w:p>
      <w:pPr>
        <w:ind w:left="200" w:firstLine="444"/>
        <w:spacing w:after="0" w:line="286" w:lineRule="auto"/>
        <w:tabs>
          <w:tab w:leader="none" w:pos="1031" w:val="left"/>
        </w:tabs>
        <w:numPr>
          <w:ilvl w:val="0"/>
          <w:numId w:val="77"/>
        </w:numPr>
        <w:rPr>
          <w:rFonts w:ascii="Arial" w:cs="Arial" w:eastAsia="Arial" w:hAnsi="Arial"/>
          <w:sz w:val="17"/>
          <w:szCs w:val="17"/>
          <w:color w:val="auto"/>
        </w:rPr>
      </w:pPr>
      <w:r>
        <w:rPr>
          <w:rFonts w:ascii="Arial" w:cs="Arial" w:eastAsia="Arial" w:hAnsi="Arial"/>
          <w:sz w:val="17"/>
          <w:szCs w:val="17"/>
          <w:color w:val="auto"/>
        </w:rPr>
        <w:t>to add to the covenants of the Company or the Subsidiary Guarantors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 the Subsidiary Guarantors; or</w:t>
      </w:r>
    </w:p>
    <w:p>
      <w:pPr>
        <w:spacing w:after="0" w:line="57" w:lineRule="exact"/>
        <w:rPr>
          <w:rFonts w:ascii="Arial" w:cs="Arial" w:eastAsia="Arial" w:hAnsi="Arial"/>
          <w:sz w:val="17"/>
          <w:szCs w:val="17"/>
          <w:color w:val="auto"/>
        </w:rPr>
      </w:pPr>
    </w:p>
    <w:p>
      <w:pPr>
        <w:ind w:left="200" w:right="40" w:firstLine="444"/>
        <w:spacing w:after="0" w:line="264" w:lineRule="auto"/>
        <w:tabs>
          <w:tab w:leader="none" w:pos="103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73" w:lineRule="exact"/>
        <w:rPr>
          <w:rFonts w:ascii="Arial" w:cs="Arial" w:eastAsia="Arial" w:hAnsi="Arial"/>
          <w:sz w:val="18"/>
          <w:szCs w:val="18"/>
          <w:color w:val="auto"/>
        </w:rPr>
      </w:pPr>
    </w:p>
    <w:p>
      <w:pPr>
        <w:ind w:left="200" w:right="360" w:firstLine="444"/>
        <w:spacing w:after="0" w:line="264" w:lineRule="auto"/>
        <w:tabs>
          <w:tab w:leader="none" w:pos="103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73" w:lineRule="exact"/>
        <w:rPr>
          <w:rFonts w:ascii="Arial" w:cs="Arial" w:eastAsia="Arial" w:hAnsi="Arial"/>
          <w:sz w:val="18"/>
          <w:szCs w:val="18"/>
          <w:color w:val="auto"/>
        </w:rPr>
      </w:pPr>
    </w:p>
    <w:p>
      <w:pPr>
        <w:ind w:left="200" w:firstLine="444"/>
        <w:spacing w:after="0" w:line="259" w:lineRule="auto"/>
        <w:tabs>
          <w:tab w:leader="none" w:pos="103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78" w:lineRule="exact"/>
        <w:rPr>
          <w:rFonts w:ascii="Arial" w:cs="Arial" w:eastAsia="Arial" w:hAnsi="Arial"/>
          <w:sz w:val="18"/>
          <w:szCs w:val="18"/>
          <w:color w:val="auto"/>
        </w:rPr>
      </w:pPr>
    </w:p>
    <w:p>
      <w:pPr>
        <w:ind w:left="1040" w:hanging="396"/>
        <w:spacing w:after="0"/>
        <w:tabs>
          <w:tab w:leader="none" w:pos="10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secure the Securities; or</w:t>
      </w:r>
    </w:p>
    <w:p>
      <w:pPr>
        <w:spacing w:after="0" w:line="117" w:lineRule="exact"/>
        <w:rPr>
          <w:rFonts w:ascii="Arial" w:cs="Arial" w:eastAsia="Arial" w:hAnsi="Arial"/>
          <w:sz w:val="18"/>
          <w:szCs w:val="18"/>
          <w:color w:val="auto"/>
        </w:rPr>
      </w:pPr>
    </w:p>
    <w:p>
      <w:pPr>
        <w:ind w:left="1040" w:hanging="396"/>
        <w:spacing w:after="0"/>
        <w:tabs>
          <w:tab w:leader="none" w:pos="10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2.1 and 3.1; or</w:t>
      </w:r>
    </w:p>
    <w:p>
      <w:pPr>
        <w:spacing w:after="0" w:line="117" w:lineRule="exact"/>
        <w:rPr>
          <w:rFonts w:ascii="Arial" w:cs="Arial" w:eastAsia="Arial" w:hAnsi="Arial"/>
          <w:sz w:val="18"/>
          <w:szCs w:val="18"/>
          <w:color w:val="auto"/>
        </w:rPr>
      </w:pPr>
    </w:p>
    <w:p>
      <w:pPr>
        <w:ind w:left="200" w:right="260" w:firstLine="444"/>
        <w:spacing w:after="0" w:line="264" w:lineRule="auto"/>
        <w:tabs>
          <w:tab w:leader="none" w:pos="103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24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to cure any ambiguity, to correct or supplement any provision herein which may be defective or inconsistent with any other provision herein;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or</w:t>
      </w:r>
    </w:p>
    <w:p>
      <w:pPr>
        <w:spacing w:after="0" w:line="103" w:lineRule="exact"/>
        <w:rPr>
          <w:sz w:val="20"/>
          <w:szCs w:val="20"/>
          <w:color w:val="auto"/>
        </w:rPr>
      </w:pPr>
    </w:p>
    <w:p>
      <w:pPr>
        <w:ind w:left="200" w:right="320" w:firstLine="444"/>
        <w:spacing w:after="0" w:line="277" w:lineRule="auto"/>
        <w:tabs>
          <w:tab w:leader="none" w:pos="11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make any other provisions with respect to matters or questions arising under this Indenture, provided that such action pursuant to this clause (10) shall not adversely affect the interests of the Holders of Securities of any series in any material respect; or</w:t>
      </w:r>
    </w:p>
    <w:p>
      <w:pPr>
        <w:spacing w:after="0" w:line="62" w:lineRule="exact"/>
        <w:rPr>
          <w:rFonts w:ascii="Arial" w:cs="Arial" w:eastAsia="Arial" w:hAnsi="Arial"/>
          <w:sz w:val="18"/>
          <w:szCs w:val="18"/>
          <w:color w:val="auto"/>
        </w:rPr>
      </w:pPr>
    </w:p>
    <w:p>
      <w:pPr>
        <w:ind w:left="1120" w:hanging="476"/>
        <w:spacing w:after="0"/>
        <w:tabs>
          <w:tab w:leader="none" w:pos="11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add new Subsidiary Guarantors; or</w:t>
      </w:r>
    </w:p>
    <w:p>
      <w:pPr>
        <w:spacing w:after="0" w:line="117" w:lineRule="exact"/>
        <w:rPr>
          <w:rFonts w:ascii="Arial" w:cs="Arial" w:eastAsia="Arial" w:hAnsi="Arial"/>
          <w:sz w:val="18"/>
          <w:szCs w:val="18"/>
          <w:color w:val="auto"/>
        </w:rPr>
      </w:pPr>
    </w:p>
    <w:p>
      <w:pPr>
        <w:ind w:left="200" w:right="640" w:firstLine="444"/>
        <w:spacing w:after="0" w:line="277" w:lineRule="auto"/>
        <w:tabs>
          <w:tab w:leader="none" w:pos="11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reflect the addition or release of any Guarantor from its Guarantee of the Securities of such series, in the manner provided in this Indenture; or</w:t>
      </w:r>
    </w:p>
    <w:p>
      <w:pPr>
        <w:spacing w:after="0" w:line="62" w:lineRule="exact"/>
        <w:rPr>
          <w:rFonts w:ascii="Arial" w:cs="Arial" w:eastAsia="Arial" w:hAnsi="Arial"/>
          <w:sz w:val="18"/>
          <w:szCs w:val="18"/>
          <w:color w:val="auto"/>
        </w:rPr>
      </w:pPr>
    </w:p>
    <w:p>
      <w:pPr>
        <w:ind w:left="200" w:right="660" w:firstLine="444"/>
        <w:spacing w:after="0" w:line="277" w:lineRule="auto"/>
        <w:tabs>
          <w:tab w:leader="none" w:pos="11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comply with any requirement of the Commission in order to effect or maintain the qualification of this Indenture under the Trust Indenture Act; or</w:t>
      </w:r>
    </w:p>
    <w:p>
      <w:pPr>
        <w:spacing w:after="0" w:line="62" w:lineRule="exact"/>
        <w:rPr>
          <w:rFonts w:ascii="Arial" w:cs="Arial" w:eastAsia="Arial" w:hAnsi="Arial"/>
          <w:sz w:val="18"/>
          <w:szCs w:val="18"/>
          <w:color w:val="auto"/>
        </w:rPr>
      </w:pPr>
    </w:p>
    <w:p>
      <w:pPr>
        <w:ind w:left="1120" w:hanging="476"/>
        <w:spacing w:after="0"/>
        <w:tabs>
          <w:tab w:leader="none" w:pos="11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provide for uncertificated Securities of such series in addition to certificated Securities of such series; or</w:t>
      </w:r>
    </w:p>
    <w:p>
      <w:pPr>
        <w:spacing w:after="0" w:line="117" w:lineRule="exact"/>
        <w:rPr>
          <w:rFonts w:ascii="Arial" w:cs="Arial" w:eastAsia="Arial" w:hAnsi="Arial"/>
          <w:sz w:val="18"/>
          <w:szCs w:val="18"/>
          <w:color w:val="auto"/>
        </w:rPr>
      </w:pPr>
    </w:p>
    <w:p>
      <w:pPr>
        <w:ind w:left="200" w:right="200" w:firstLine="444"/>
        <w:spacing w:after="0" w:line="259" w:lineRule="auto"/>
        <w:tabs>
          <w:tab w:leader="none" w:pos="11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mortgage, pledge, hypothecate or grant a security interest in favor of the Trustee for the benefit of the Holders of the Securities of such series as security for the payment and performance of the Company’s and any Guarantor’s obligations under this Indenture, in any property or assets, including any of which are required to be mortgaged, pledged or hypothecated, or in which a security interest is required to be granted to or for the benefit of the Trustee pursuant to this Indenture or otherwise; or</w:t>
      </w:r>
    </w:p>
    <w:p>
      <w:pPr>
        <w:spacing w:after="0" w:line="78" w:lineRule="exact"/>
        <w:rPr>
          <w:rFonts w:ascii="Arial" w:cs="Arial" w:eastAsia="Arial" w:hAnsi="Arial"/>
          <w:sz w:val="18"/>
          <w:szCs w:val="18"/>
          <w:color w:val="auto"/>
        </w:rPr>
      </w:pPr>
    </w:p>
    <w:p>
      <w:pPr>
        <w:ind w:left="1120" w:hanging="476"/>
        <w:spacing w:after="0"/>
        <w:tabs>
          <w:tab w:leader="none" w:pos="11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comply with the rules of any applicable Depositary; or</w:t>
      </w:r>
    </w:p>
    <w:p>
      <w:pPr>
        <w:spacing w:after="0" w:line="117" w:lineRule="exact"/>
        <w:rPr>
          <w:rFonts w:ascii="Arial" w:cs="Arial" w:eastAsia="Arial" w:hAnsi="Arial"/>
          <w:sz w:val="18"/>
          <w:szCs w:val="18"/>
          <w:color w:val="auto"/>
        </w:rPr>
      </w:pPr>
    </w:p>
    <w:p>
      <w:pPr>
        <w:ind w:left="200" w:firstLine="444"/>
        <w:spacing w:after="0" w:line="312" w:lineRule="auto"/>
        <w:tabs>
          <w:tab w:leader="none" w:pos="1121" w:val="left"/>
        </w:tabs>
        <w:numPr>
          <w:ilvl w:val="0"/>
          <w:numId w:val="78"/>
        </w:numPr>
        <w:rPr>
          <w:rFonts w:ascii="Arial" w:cs="Arial" w:eastAsia="Arial" w:hAnsi="Arial"/>
          <w:sz w:val="16"/>
          <w:szCs w:val="16"/>
          <w:color w:val="auto"/>
        </w:rPr>
      </w:pPr>
      <w:r>
        <w:rPr>
          <w:rFonts w:ascii="Arial" w:cs="Arial" w:eastAsia="Arial" w:hAnsi="Arial"/>
          <w:sz w:val="16"/>
          <w:szCs w:val="16"/>
          <w:color w:val="auto"/>
        </w:rPr>
        <w:t>to conform the text of this Indenture, the Securities of such series or the Guarantees to any provision of the “Description of Securities” section in any prospectus supplement with respect to the Securities to the extent that such provision of the “Description of Securities” was intended to be a verbatim recitation of a provision of this Indenture, the Securities of such series or the Guarantees as evidenced in an Officers’ Certificate; or</w:t>
      </w:r>
    </w:p>
    <w:p>
      <w:pPr>
        <w:spacing w:after="0" w:line="38" w:lineRule="exact"/>
        <w:rPr>
          <w:rFonts w:ascii="Arial" w:cs="Arial" w:eastAsia="Arial" w:hAnsi="Arial"/>
          <w:sz w:val="16"/>
          <w:szCs w:val="16"/>
          <w:color w:val="auto"/>
        </w:rPr>
      </w:pPr>
    </w:p>
    <w:p>
      <w:pPr>
        <w:ind w:left="200" w:right="440" w:firstLine="444"/>
        <w:spacing w:after="0" w:line="277" w:lineRule="auto"/>
        <w:tabs>
          <w:tab w:leader="none" w:pos="11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benefit to the Holders of the Securities of such series or that does not adversely affect the rights of any Holder in any material respect.</w:t>
      </w:r>
    </w:p>
    <w:p>
      <w:pPr>
        <w:spacing w:after="0" w:line="170"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Supplemental Indentures With Consent of Holders</w:t>
      </w:r>
      <w:r>
        <w:rPr>
          <w:rFonts w:ascii="Arial" w:cs="Arial" w:eastAsia="Arial" w:hAnsi="Arial"/>
          <w:sz w:val="16"/>
          <w:szCs w:val="16"/>
          <w:color w:val="auto"/>
        </w:rPr>
        <w:t>.</w:t>
      </w:r>
    </w:p>
    <w:p>
      <w:pPr>
        <w:spacing w:after="0" w:line="225"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With the consent of the Holders of not less than a majority in principal amount of the Outstanding Securities of each series affected by such supplemental indenture, by Act of said Holders delivered to the Company, the Subsidiary Guarantors and the Trustee, the Company, when authorized by a Board Resolution, the Subsidiary Guarantors, when authorized by their respective Board Resolutions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shall, without the consent of the Holder of each Outstanding Security affected thereby:</w:t>
      </w:r>
    </w:p>
    <w:p>
      <w:pPr>
        <w:spacing w:after="0" w:line="70" w:lineRule="exact"/>
        <w:rPr>
          <w:sz w:val="20"/>
          <w:szCs w:val="20"/>
          <w:color w:val="auto"/>
        </w:rPr>
      </w:pPr>
    </w:p>
    <w:p>
      <w:pPr>
        <w:ind w:left="200" w:right="140" w:firstLine="444"/>
        <w:spacing w:after="0" w:line="277" w:lineRule="auto"/>
        <w:tabs>
          <w:tab w:leader="none" w:pos="1031"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reduce the percentage of principal amount of Securities of such series whose Holders must consent to an amendment, supplement or waiver of any provision of this Indenture or the Securities of such series; 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hanging="396"/>
        <w:spacing w:after="0"/>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reduce the rate or change the time for payment of interest, including default interest, if any, on the Securities of such series; or</w:t>
      </w:r>
    </w:p>
    <w:p>
      <w:pPr>
        <w:spacing w:after="0" w:line="117" w:lineRule="exact"/>
        <w:rPr>
          <w:rFonts w:ascii="Arial" w:cs="Arial" w:eastAsia="Arial" w:hAnsi="Arial"/>
          <w:sz w:val="18"/>
          <w:szCs w:val="18"/>
          <w:color w:val="auto"/>
        </w:rPr>
      </w:pPr>
    </w:p>
    <w:p>
      <w:pPr>
        <w:ind w:left="1040" w:hanging="396"/>
        <w:spacing w:after="0"/>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reduce the principal amount of any Security of such series or change the Maturity Date of the Securities of such series; or</w:t>
      </w:r>
    </w:p>
    <w:p>
      <w:pPr>
        <w:spacing w:after="0" w:line="117" w:lineRule="exact"/>
        <w:rPr>
          <w:rFonts w:ascii="Arial" w:cs="Arial" w:eastAsia="Arial" w:hAnsi="Arial"/>
          <w:sz w:val="18"/>
          <w:szCs w:val="18"/>
          <w:color w:val="auto"/>
        </w:rPr>
      </w:pPr>
    </w:p>
    <w:p>
      <w:pPr>
        <w:ind w:left="1040" w:hanging="396"/>
        <w:spacing w:after="0"/>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reduce the amount payable upon redemption of any Security of such series; or</w:t>
      </w:r>
    </w:p>
    <w:p>
      <w:pPr>
        <w:spacing w:after="0" w:line="117" w:lineRule="exact"/>
        <w:rPr>
          <w:rFonts w:ascii="Arial" w:cs="Arial" w:eastAsia="Arial" w:hAnsi="Arial"/>
          <w:sz w:val="18"/>
          <w:szCs w:val="18"/>
          <w:color w:val="auto"/>
        </w:rPr>
      </w:pPr>
    </w:p>
    <w:p>
      <w:pPr>
        <w:ind w:left="200" w:right="420" w:firstLine="444"/>
        <w:spacing w:after="0" w:line="277" w:lineRule="auto"/>
        <w:tabs>
          <w:tab w:leader="none" w:pos="1031" w:val="left"/>
        </w:tabs>
        <w:numPr>
          <w:ilvl w:val="0"/>
          <w:numId w:val="80"/>
        </w:numPr>
        <w:rPr>
          <w:rFonts w:ascii="Arial" w:cs="Arial" w:eastAsia="Arial" w:hAnsi="Arial"/>
          <w:sz w:val="18"/>
          <w:szCs w:val="18"/>
          <w:color w:val="auto"/>
        </w:rPr>
      </w:pPr>
      <w:r>
        <w:rPr>
          <w:rFonts w:ascii="Arial" w:cs="Arial" w:eastAsia="Arial" w:hAnsi="Arial"/>
          <w:sz w:val="18"/>
          <w:szCs w:val="18"/>
          <w:color w:val="auto"/>
        </w:rPr>
        <w:t>waive any Event of Default in the payment of principal of, any premium or interest on, the Securities of such series (except a default in payment that has become due solely because of an acceleration that has been rescinded); or</w:t>
      </w:r>
    </w:p>
    <w:p>
      <w:pPr>
        <w:spacing w:after="0" w:line="62" w:lineRule="exact"/>
        <w:rPr>
          <w:rFonts w:ascii="Arial" w:cs="Arial" w:eastAsia="Arial" w:hAnsi="Arial"/>
          <w:sz w:val="18"/>
          <w:szCs w:val="18"/>
          <w:color w:val="auto"/>
        </w:rPr>
      </w:pPr>
    </w:p>
    <w:p>
      <w:pPr>
        <w:ind w:left="1040" w:hanging="396"/>
        <w:spacing w:after="0"/>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make any Security of such series payable in money other than that stated in such Security; or</w:t>
      </w:r>
    </w:p>
    <w:p>
      <w:pPr>
        <w:spacing w:after="0" w:line="117" w:lineRule="exact"/>
        <w:rPr>
          <w:rFonts w:ascii="Arial" w:cs="Arial" w:eastAsia="Arial" w:hAnsi="Arial"/>
          <w:sz w:val="18"/>
          <w:szCs w:val="18"/>
          <w:color w:val="auto"/>
        </w:rPr>
      </w:pPr>
    </w:p>
    <w:p>
      <w:pPr>
        <w:ind w:left="200" w:right="60" w:firstLine="444"/>
        <w:spacing w:after="0" w:line="277" w:lineRule="auto"/>
        <w:tabs>
          <w:tab w:leader="none" w:pos="1031" w:val="left"/>
        </w:tabs>
        <w:numPr>
          <w:ilvl w:val="0"/>
          <w:numId w:val="80"/>
        </w:numPr>
        <w:rPr>
          <w:rFonts w:ascii="Arial" w:cs="Arial" w:eastAsia="Arial" w:hAnsi="Arial"/>
          <w:sz w:val="18"/>
          <w:szCs w:val="18"/>
          <w:color w:val="auto"/>
        </w:rPr>
      </w:pPr>
      <w:r>
        <w:rPr>
          <w:rFonts w:ascii="Arial" w:cs="Arial" w:eastAsia="Arial" w:hAnsi="Arial"/>
          <w:sz w:val="18"/>
          <w:szCs w:val="18"/>
          <w:color w:val="auto"/>
        </w:rPr>
        <w:t>impair the right of Holders of Securities of such series to receive payment of the principal of and interest on Securities on the respective due dates therefor and to institute suit for the enforcement of any such payment; or</w:t>
      </w:r>
    </w:p>
    <w:p>
      <w:pPr>
        <w:spacing w:after="0" w:line="62" w:lineRule="exact"/>
        <w:rPr>
          <w:rFonts w:ascii="Arial" w:cs="Arial" w:eastAsia="Arial" w:hAnsi="Arial"/>
          <w:sz w:val="18"/>
          <w:szCs w:val="18"/>
          <w:color w:val="auto"/>
        </w:rPr>
      </w:pPr>
    </w:p>
    <w:p>
      <w:pPr>
        <w:ind w:left="200" w:right="20" w:firstLine="444"/>
        <w:spacing w:after="0" w:line="277" w:lineRule="auto"/>
        <w:tabs>
          <w:tab w:leader="none" w:pos="1031"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Securities of such series necessary to waive compliance with certain provisions of this Indenture.</w:t>
      </w:r>
    </w:p>
    <w:p>
      <w:pPr>
        <w:spacing w:after="0" w:line="170"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4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170" w:lineRule="exact"/>
        <w:rPr>
          <w:sz w:val="20"/>
          <w:szCs w:val="20"/>
          <w:color w:val="auto"/>
        </w:rPr>
      </w:pPr>
    </w:p>
    <w:p>
      <w:pPr>
        <w:ind w:left="200" w:right="520" w:firstLine="441"/>
        <w:spacing w:after="0" w:line="279" w:lineRule="auto"/>
        <w:rPr>
          <w:sz w:val="20"/>
          <w:szCs w:val="20"/>
          <w:color w:val="auto"/>
        </w:rPr>
      </w:pPr>
      <w:r>
        <w:rPr>
          <w:rFonts w:ascii="Arial" w:cs="Arial" w:eastAsia="Arial" w:hAnsi="Arial"/>
          <w:sz w:val="17"/>
          <w:szCs w:val="17"/>
          <w:color w:val="auto"/>
        </w:rPr>
        <w:t>After a supplemental indenture under this Section 9.2 requiring the consent of the Holders of any series of Debt Securities is approved, the Company shall mail to Holders of that series of Debt Securities a notice briefly describing any amendment or supplement hereto effected by such supplemental indenture. The failure to give such notice to any such Holders, or any defect therein, shall not impair or affect the validity of any amendment or supplement hereto effected by such supplemental indenture with respect to other Holders.</w:t>
      </w:r>
    </w:p>
    <w:p>
      <w:pPr>
        <w:spacing w:after="0" w:line="171"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u w:val="single" w:color="auto"/>
          <w:color w:val="auto"/>
        </w:rPr>
        <w:t>Execution of Supplemental Indentures</w:t>
      </w:r>
      <w:r>
        <w:rPr>
          <w:rFonts w:ascii="Arial" w:cs="Arial" w:eastAsia="Arial" w:hAnsi="Arial"/>
          <w:sz w:val="16"/>
          <w:szCs w:val="16"/>
          <w:color w:val="auto"/>
        </w:rPr>
        <w:t>.</w:t>
      </w:r>
    </w:p>
    <w:p>
      <w:pPr>
        <w:spacing w:after="0" w:line="225"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In executing, or accepting the additional trusts created by, any supplemental indenture permitted by this Article or the modifications thereby of the trusts created by this Indenture, the Trustee shall be entitled to receive, and (subject to Section 6.1) shall be fully protected in relying</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24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1"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6"/>
          <w:szCs w:val="16"/>
          <w:u w:val="single" w:color="auto"/>
          <w:color w:val="auto"/>
        </w:rPr>
        <w:t>Effect of Supplemental Indentures</w:t>
      </w:r>
      <w:r>
        <w:rPr>
          <w:rFonts w:ascii="Arial" w:cs="Arial" w:eastAsia="Arial" w:hAnsi="Arial"/>
          <w:sz w:val="16"/>
          <w:szCs w:val="16"/>
          <w:color w:val="auto"/>
        </w:rPr>
        <w:t>.</w:t>
      </w:r>
    </w:p>
    <w:p>
      <w:pPr>
        <w:spacing w:after="0" w:line="225"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81"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Conformity with Trust Indenture Act</w:t>
      </w:r>
      <w:r>
        <w:rPr>
          <w:rFonts w:ascii="Arial" w:cs="Arial" w:eastAsia="Arial" w:hAnsi="Arial"/>
          <w:sz w:val="16"/>
          <w:szCs w:val="16"/>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Every supplemental indenture executed pursuant to this Article shall conform to the requirements of the Trust Indenture Act.</w:t>
      </w:r>
    </w:p>
    <w:p>
      <w:pPr>
        <w:spacing w:after="0" w:line="225" w:lineRule="exact"/>
        <w:rPr>
          <w:sz w:val="20"/>
          <w:szCs w:val="20"/>
          <w:color w:val="auto"/>
        </w:rPr>
      </w:pPr>
    </w:p>
    <w:p>
      <w:pPr>
        <w:ind w:left="640"/>
        <w:spacing w:after="0"/>
        <w:tabs>
          <w:tab w:leader="none" w:pos="162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6"/>
          <w:szCs w:val="16"/>
          <w:u w:val="single" w:color="auto"/>
          <w:color w:val="auto"/>
        </w:rPr>
        <w:t>Reference in Securities to Supplemental Indentures</w:t>
      </w:r>
      <w:r>
        <w:rPr>
          <w:rFonts w:ascii="Arial" w:cs="Arial" w:eastAsia="Arial" w:hAnsi="Arial"/>
          <w:sz w:val="16"/>
          <w:szCs w:val="16"/>
          <w:color w:val="auto"/>
        </w:rPr>
        <w:t>.</w:t>
      </w:r>
    </w:p>
    <w:p>
      <w:pPr>
        <w:spacing w:after="0" w:line="225"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if applicable the notations of Subsidiary Guarantees may be endorsed thereon and such new Securities may be authenticated and delivered by the Trustee in exchange for Outstanding Securities of such series.</w:t>
      </w:r>
    </w:p>
    <w:p>
      <w:pPr>
        <w:spacing w:after="0" w:line="37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Payment of Principal, Premium and Interest</w:t>
      </w:r>
      <w:r>
        <w:rPr>
          <w:rFonts w:ascii="Arial" w:cs="Arial" w:eastAsia="Arial" w:hAnsi="Arial"/>
          <w:sz w:val="16"/>
          <w:szCs w:val="16"/>
          <w:color w:val="auto"/>
        </w:rPr>
        <w:t>.</w:t>
      </w:r>
    </w:p>
    <w:p>
      <w:pPr>
        <w:spacing w:after="0" w:line="225"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 Principal, premium, if any, and interest shall be considered paid on the date due if the Paying Agent, if other than the Company or a Subsidiary thereof, holds as of 11:00 A.M., New York City time, on the due date money deposited with it in immediately available funds and designated for and sufficient to pay all principal, premium, if any, and interest then due.</w:t>
      </w:r>
    </w:p>
    <w:p>
      <w:pPr>
        <w:spacing w:after="0" w:line="188"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w:t>
      </w:r>
    </w:p>
    <w:p>
      <w:pPr>
        <w:spacing w:after="0" w:line="225"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Company will maintain in each Place of Payment for any series of Securities an office or agency where Securities of that series may be presented or surrendered for payment or, if applicable, for conversion, where Securities of that series may be surrendered for registration of transfer or exchange and where notices and demands to or upon the Company or any Subsidiary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Guarantor in respect of the Securities of that series or any Subsidiary Guarantee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each of the Company and Subsidiary Guarantors hereby appoints the Trustee as its agent to receive all such presentations, surrenders, notices and demands.</w:t>
      </w:r>
    </w:p>
    <w:p>
      <w:pPr>
        <w:spacing w:after="0" w:line="173"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88"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Money for Securities Payments to Be Held in Trust</w:t>
      </w:r>
      <w:r>
        <w:rPr>
          <w:rFonts w:ascii="Arial" w:cs="Arial" w:eastAsia="Arial" w:hAnsi="Arial"/>
          <w:sz w:val="16"/>
          <w:szCs w:val="16"/>
          <w:color w:val="auto"/>
        </w:rPr>
        <w:t>.</w:t>
      </w:r>
    </w:p>
    <w:p>
      <w:pPr>
        <w:spacing w:after="0" w:line="22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If the Company or any Subsidiary Guarantor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71" w:lineRule="exact"/>
        <w:rPr>
          <w:sz w:val="20"/>
          <w:szCs w:val="20"/>
          <w:color w:val="auto"/>
        </w:rPr>
      </w:pPr>
    </w:p>
    <w:p>
      <w:pPr>
        <w:jc w:val="both"/>
        <w:ind w:left="200" w:right="240" w:firstLine="441"/>
        <w:spacing w:after="0" w:line="259" w:lineRule="auto"/>
        <w:rPr>
          <w:sz w:val="20"/>
          <w:szCs w:val="20"/>
          <w:color w:val="auto"/>
        </w:rPr>
      </w:pPr>
      <w:r>
        <w:rPr>
          <w:rFonts w:ascii="Arial" w:cs="Arial" w:eastAsia="Arial" w:hAnsi="Arial"/>
          <w:sz w:val="18"/>
          <w:szCs w:val="18"/>
          <w:color w:val="auto"/>
        </w:rPr>
        <w:t>Whenever the Company shall have one or more Paying Agents for any series of Securities, it will, prior to 11:00 A.M., New York City time, on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8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the Subsidiary Guarantors, if applicable,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93"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89" w:lineRule="auto"/>
        <w:rPr>
          <w:sz w:val="20"/>
          <w:szCs w:val="20"/>
          <w:color w:val="auto"/>
        </w:rPr>
      </w:pPr>
      <w:r>
        <w:rPr>
          <w:rFonts w:ascii="Arial" w:cs="Arial" w:eastAsia="Arial" w:hAnsi="Arial"/>
          <w:sz w:val="16"/>
          <w:szCs w:val="16"/>
          <w:color w:val="auto"/>
        </w:rPr>
        <w:t>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New York, notice that such money remains unclaimed and that, after a date specified therein, which shall not be less than 30 days from the date of such publication, any unclaimed balance of such money then remaining will be repaid to the Company.</w:t>
      </w:r>
    </w:p>
    <w:p>
      <w:pPr>
        <w:spacing w:after="0" w:line="167"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Statement by Officers as to Default</w:t>
      </w:r>
      <w:r>
        <w:rPr>
          <w:rFonts w:ascii="Arial" w:cs="Arial" w:eastAsia="Arial" w:hAnsi="Arial"/>
          <w:sz w:val="16"/>
          <w:szCs w:val="16"/>
          <w:color w:val="auto"/>
        </w:rPr>
        <w:t>.</w:t>
      </w:r>
    </w:p>
    <w:p>
      <w:pPr>
        <w:spacing w:after="0" w:line="117" w:lineRule="exact"/>
        <w:rPr>
          <w:sz w:val="20"/>
          <w:szCs w:val="20"/>
          <w:color w:val="auto"/>
        </w:rPr>
      </w:pPr>
    </w:p>
    <w:p>
      <w:pPr>
        <w:ind w:left="200" w:right="100" w:firstLine="444"/>
        <w:spacing w:after="0" w:line="276" w:lineRule="auto"/>
        <w:tabs>
          <w:tab w:leader="none" w:pos="1027"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Company and the Subsidiary Guarantors will deliver to the Trustee, within 90 days after the end of each fiscal year of the Company ending after the date hereof, an Officers’ Certificate, stating whether or not to the best knowledge of the signers thereof the Company or any Subsidiary Guarantor, as the case may be, is in default in the performance and observance of any of the terms, provisions and conditions of this Indenture (without regard to any period of grace or requirement of notice provided hereunder) and, if the Company or any Subsidiary Guarantor shall be in default, specifying all such defaults and the nature and status thereof of which they may have knowledge.</w:t>
      </w:r>
    </w:p>
    <w:p>
      <w:pPr>
        <w:spacing w:after="0" w:line="64" w:lineRule="exact"/>
        <w:rPr>
          <w:rFonts w:ascii="Arial" w:cs="Arial" w:eastAsia="Arial" w:hAnsi="Arial"/>
          <w:sz w:val="17"/>
          <w:szCs w:val="17"/>
          <w:color w:val="auto"/>
        </w:rPr>
      </w:pPr>
    </w:p>
    <w:p>
      <w:pPr>
        <w:ind w:left="200" w:right="40" w:firstLine="444"/>
        <w:spacing w:after="0" w:line="259" w:lineRule="auto"/>
        <w:tabs>
          <w:tab w:leader="none" w:pos="102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shall, so long as any series of Securities is Outstanding, deliver to the Trustee, as soon as possible and in any event within five days after the Company becomes aware of the occurrence of an Event of Default or an event which, with notice or the lapse of time or both, would constitute an Event of Default, an Officers’ Certificate setting forth the details of such Event of Default or default, and the action which the Company proposes to take with respect thereto.</w:t>
      </w:r>
    </w:p>
    <w:p>
      <w:pPr>
        <w:spacing w:after="0" w:line="187"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Existence</w:t>
      </w:r>
      <w:r>
        <w:rPr>
          <w:rFonts w:ascii="Arial" w:cs="Arial" w:eastAsia="Arial" w:hAnsi="Arial"/>
          <w:sz w:val="16"/>
          <w:szCs w:val="16"/>
          <w:color w:val="auto"/>
        </w:rPr>
        <w:t>.</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Subject to Article 8, the Company will do or cause to be done all things necessary to preserve and keep in full force and effect the existence, rights (charter and statutory) and franchises of the Company; provided, however, that the Company shall not be required to preserve any such right or franchise if it shall determine that the preservation thereof is no longer desirable in the conduct of the business of the Company and that the loss thereof is not disadvantageous in any material respect to the Holders.</w:t>
      </w:r>
    </w:p>
    <w:p>
      <w:pPr>
        <w:spacing w:after="0" w:line="187"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w:t>
      </w:r>
    </w:p>
    <w:p>
      <w:pPr>
        <w:spacing w:after="0" w:line="225"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 Company will cause all properties used or useful in the conduct of its business or the business of any Subsidiary to be maintained and kept in good condition, repair and working order (reasonable wear and tear excepted) and supplied with all necessary equipment and will cause to</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or the business of any Subsidiary and not disadvantageous in any material respect to the Holders.</w:t>
      </w:r>
    </w:p>
    <w:p>
      <w:pPr>
        <w:spacing w:after="0" w:line="188"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Payment of Taxes and Other Claims</w:t>
      </w:r>
      <w:r>
        <w:rPr>
          <w:rFonts w:ascii="Arial" w:cs="Arial" w:eastAsia="Arial" w:hAnsi="Arial"/>
          <w:sz w:val="16"/>
          <w:szCs w:val="16"/>
          <w:color w:val="auto"/>
        </w:rPr>
        <w:t>.</w:t>
      </w:r>
    </w:p>
    <w:p>
      <w:pPr>
        <w:spacing w:after="0" w:line="225"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Company will pay or discharge or cause to be paid or discharged, before the same shall become delinquent, (1) all taxes, assessments and governmental charges levied or imposed upon the Company or any Subsidiary or upon the income, profits or property of the Company or any Subsidiary, and (2) 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w:t>
      </w:r>
    </w:p>
    <w:p>
      <w:pPr>
        <w:spacing w:after="0" w:line="173"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Company shall, and shall cause its Subsidiaries to, keep at all times all of their properties which are of an insurable nature insured against loss or damage with insurers believed by the Company to be responsible to the extent that property of similar character is usually so insured by corporations similarly situated and owning like properties in accordance with good business practice.</w:t>
      </w:r>
    </w:p>
    <w:p>
      <w:pPr>
        <w:spacing w:after="0" w:line="181"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6"/>
          <w:szCs w:val="16"/>
          <w:u w:val="single" w:color="auto"/>
          <w:color w:val="auto"/>
        </w:rPr>
        <w:t>Waiver of Certain Covenants</w:t>
      </w:r>
      <w:r>
        <w:rPr>
          <w:rFonts w:ascii="Arial" w:cs="Arial" w:eastAsia="Arial" w:hAnsi="Arial"/>
          <w:sz w:val="16"/>
          <w:szCs w:val="16"/>
          <w:color w:val="auto"/>
        </w:rPr>
        <w:t>.</w:t>
      </w:r>
    </w:p>
    <w:p>
      <w:pPr>
        <w:spacing w:after="0" w:line="225"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Except as otherwise specified as contemplated by Section 3.1 for Securities of such series, the Company and the Subsidiary Guarantors may, with respect to the Securities of any series, omit in any particular instance to comply with any term, provision or condition set forth in any of Sections 10.5 through 10.8 or in any covenant provided pursuant to Section 3.1(21), 9.1(2) or 9.1(7) for the benefit of the Holders of such series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REDEMPTION OF SECURITIES</w:t>
      </w:r>
    </w:p>
    <w:p>
      <w:pPr>
        <w:spacing w:after="0" w:line="229"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w:t>
      </w:r>
    </w:p>
    <w:p>
      <w:pPr>
        <w:spacing w:after="0" w:line="22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Securities of any series which are redeemable before their Stated Maturity shall be redeemable in accordance with their terms and (except as otherwise specified as contemplated by Section 3.1 for such Securities) in accordance with this Article.</w:t>
      </w:r>
    </w:p>
    <w:p>
      <w:pPr>
        <w:spacing w:after="0" w:line="170"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Election to Redeem; Notice to Trustee</w:t>
      </w:r>
      <w:r>
        <w:rPr>
          <w:rFonts w:ascii="Arial" w:cs="Arial" w:eastAsia="Arial" w:hAnsi="Arial"/>
          <w:sz w:val="16"/>
          <w:szCs w:val="16"/>
          <w:color w:val="auto"/>
        </w:rPr>
        <w:t>.</w:t>
      </w:r>
    </w:p>
    <w:p>
      <w:pPr>
        <w:spacing w:after="0" w:line="225"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The election of the Company to redeem any Securities shall be evidenced by a Board Resolution or in another manner specified as contemplated by Section 3.1 for such Securities. In case of any redemption at the election of the Company of less than all the Securities of any series (including any such redemption affecting only a single Security), the Company shall, at least five Business Days prior to giving notice of such redemption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78"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Selection by Trustee of Securities to Be Redeemed</w:t>
      </w:r>
      <w:r>
        <w:rPr>
          <w:rFonts w:ascii="Arial" w:cs="Arial" w:eastAsia="Arial" w:hAnsi="Arial"/>
          <w:sz w:val="16"/>
          <w:szCs w:val="16"/>
          <w:color w:val="auto"/>
        </w:rPr>
        <w:t>.</w:t>
      </w:r>
    </w:p>
    <w:p>
      <w:pPr>
        <w:spacing w:after="0" w:line="22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If less than all the Securities of any series are to be redeemed (unless all the Securities of such series and of a specified tenor are to be redeemed or unless such redemption affects only a single Security), the particular Securities to be redeemed shall be selected by the Trustee, from the Outstanding Securities of such series not previously called for redemption, (i) in compliance with the requirements of the principal national securities exchange on which such Securities are listed, if such Securities are listed on any national securities exchange, and (ii) if such Securities are not so listed, on a pro rata basis, by lot or by such other method as the Trustee shall deem fair and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by the Trustee, from the Outstanding Securities of such series and specified tenor not previously called for redemption in accordance with the preceding sentence.</w:t>
      </w:r>
    </w:p>
    <w:p>
      <w:pPr>
        <w:spacing w:after="0" w:line="178"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firstLine="441"/>
        <w:spacing w:after="0" w:line="312" w:lineRule="auto"/>
        <w:rPr>
          <w:sz w:val="20"/>
          <w:szCs w:val="20"/>
          <w:color w:val="auto"/>
        </w:rPr>
      </w:pPr>
      <w:r>
        <w:rPr>
          <w:rFonts w:ascii="Arial" w:cs="Arial" w:eastAsia="Arial" w:hAnsi="Arial"/>
          <w:sz w:val="16"/>
          <w:szCs w:val="16"/>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4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 If any Security selected for partial redemption is surrendered for conversion after such selection, the converted portion of such Security shall be deemed (so far as may be) to be the portion selected for redemption. Upon any redemption of less than all the Securities of a series, for purposes of selection for redemption the Company and the Trustee may treat as Outstanding Securities surrendered for conversion during the period of 15 days next preceding the mailing of a notice of redemption, and need not treat as Outstanding any Security authenticated and delivered during such period in exchange for the unconverted portion of any Security converted in part during such period.</w:t>
      </w:r>
    </w:p>
    <w:p>
      <w:pPr>
        <w:spacing w:after="0" w:line="178"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11.4</w:t>
      </w:r>
      <w:r>
        <w:rPr>
          <w:sz w:val="20"/>
          <w:szCs w:val="20"/>
          <w:color w:val="auto"/>
        </w:rPr>
        <w:tab/>
      </w:r>
      <w:r>
        <w:rPr>
          <w:rFonts w:ascii="Arial" w:cs="Arial" w:eastAsia="Arial" w:hAnsi="Arial"/>
          <w:sz w:val="16"/>
          <w:szCs w:val="16"/>
          <w:u w:val="single" w:color="auto"/>
          <w:color w:val="auto"/>
        </w:rPr>
        <w:t>Notice of Redemption</w:t>
      </w:r>
      <w:r>
        <w:rPr>
          <w:rFonts w:ascii="Arial" w:cs="Arial" w:eastAsia="Arial" w:hAnsi="Arial"/>
          <w:sz w:val="16"/>
          <w:szCs w:val="16"/>
          <w:color w:val="auto"/>
        </w:rPr>
        <w:t>.</w:t>
      </w:r>
    </w:p>
    <w:p>
      <w:pPr>
        <w:spacing w:after="0" w:line="225" w:lineRule="exact"/>
        <w:rPr>
          <w:sz w:val="20"/>
          <w:szCs w:val="20"/>
          <w:color w:val="auto"/>
        </w:rPr>
      </w:pPr>
    </w:p>
    <w:p>
      <w:pPr>
        <w:jc w:val="both"/>
        <w:ind w:left="200" w:right="180" w:firstLine="441"/>
        <w:spacing w:after="0" w:line="312" w:lineRule="auto"/>
        <w:rPr>
          <w:sz w:val="20"/>
          <w:szCs w:val="20"/>
          <w:color w:val="auto"/>
        </w:rPr>
      </w:pPr>
      <w:r>
        <w:rPr>
          <w:rFonts w:ascii="Arial" w:cs="Arial" w:eastAsia="Arial" w:hAnsi="Arial"/>
          <w:sz w:val="16"/>
          <w:szCs w:val="16"/>
          <w:color w:val="auto"/>
        </w:rPr>
        <w:t>Notice of redemption shall be given by first-class mail, postage prepaid, mailed not less than 30 nor more than 60 days prior to the Redemption Date, to each Holder of Securities to be redeemed, at his address appearing in the Security Register; provided, however, notice of redemption may be given more than 60 days prior to the Redemption Date if the notice is issued in connection with a satisfaction and discharge pursuant to Article 4.</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notices of redemption shall state:</w:t>
      </w:r>
    </w:p>
    <w:p>
      <w:pPr>
        <w:spacing w:after="0" w:line="117" w:lineRule="exact"/>
        <w:rPr>
          <w:sz w:val="20"/>
          <w:szCs w:val="20"/>
          <w:color w:val="auto"/>
        </w:rPr>
      </w:pPr>
    </w:p>
    <w:p>
      <w:pPr>
        <w:ind w:left="1040" w:hanging="396"/>
        <w:spacing w:after="0"/>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040" w:hanging="396"/>
        <w:spacing w:after="0"/>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Redemption Price, if then determinable and otherwise the method of its determination,</w:t>
      </w:r>
    </w:p>
    <w:p>
      <w:pPr>
        <w:spacing w:after="0" w:line="117" w:lineRule="exact"/>
        <w:rPr>
          <w:rFonts w:ascii="Arial" w:cs="Arial" w:eastAsia="Arial" w:hAnsi="Arial"/>
          <w:sz w:val="18"/>
          <w:szCs w:val="18"/>
          <w:color w:val="auto"/>
        </w:rPr>
      </w:pPr>
    </w:p>
    <w:p>
      <w:pPr>
        <w:ind w:left="200" w:right="80" w:firstLine="444"/>
        <w:spacing w:after="0" w:line="312" w:lineRule="auto"/>
        <w:tabs>
          <w:tab w:leader="none" w:pos="1031"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38" w:lineRule="exact"/>
        <w:rPr>
          <w:rFonts w:ascii="Arial" w:cs="Arial" w:eastAsia="Arial" w:hAnsi="Arial"/>
          <w:sz w:val="16"/>
          <w:szCs w:val="16"/>
          <w:color w:val="auto"/>
        </w:rPr>
      </w:pPr>
    </w:p>
    <w:p>
      <w:pPr>
        <w:ind w:left="200" w:firstLine="444"/>
        <w:spacing w:after="0" w:line="277" w:lineRule="auto"/>
        <w:tabs>
          <w:tab w:leader="none" w:pos="103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62" w:lineRule="exact"/>
        <w:rPr>
          <w:rFonts w:ascii="Arial" w:cs="Arial" w:eastAsia="Arial" w:hAnsi="Arial"/>
          <w:sz w:val="18"/>
          <w:szCs w:val="18"/>
          <w:color w:val="auto"/>
        </w:rPr>
      </w:pPr>
    </w:p>
    <w:p>
      <w:pPr>
        <w:ind w:left="1040" w:hanging="396"/>
        <w:spacing w:after="0"/>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place or places where each such Security is to be surrendered for payment of the Redemption Price,</w:t>
      </w:r>
    </w:p>
    <w:p>
      <w:pPr>
        <w:spacing w:after="0" w:line="117" w:lineRule="exact"/>
        <w:rPr>
          <w:rFonts w:ascii="Arial" w:cs="Arial" w:eastAsia="Arial" w:hAnsi="Arial"/>
          <w:sz w:val="18"/>
          <w:szCs w:val="18"/>
          <w:color w:val="auto"/>
        </w:rPr>
      </w:pPr>
    </w:p>
    <w:p>
      <w:pPr>
        <w:ind w:left="1040" w:hanging="396"/>
        <w:spacing w:after="0"/>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117" w:lineRule="exact"/>
        <w:rPr>
          <w:rFonts w:ascii="Arial" w:cs="Arial" w:eastAsia="Arial" w:hAnsi="Arial"/>
          <w:sz w:val="18"/>
          <w:szCs w:val="18"/>
          <w:color w:val="auto"/>
        </w:rPr>
      </w:pPr>
    </w:p>
    <w:p>
      <w:pPr>
        <w:ind w:left="1040" w:hanging="396"/>
        <w:spacing w:after="0"/>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the conversion price then in effect and the date on which the right to convert such Securities will expire.</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240" w:top="459" w:right="5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 and shall be irrevocable. If any Security called for redemption is converted pursuant hereto, any money deposited with the Trustee or any Paying Agent or so segregated and held in trust for the redemption of such Security shall be paid to the Company upon delivery of a Company Request to the Trustee or such Paying Agent, or, if then held by the Company, shall be discharged from such trust.</w:t>
      </w:r>
    </w:p>
    <w:p>
      <w:pPr>
        <w:spacing w:after="0" w:line="188"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11.5</w:t>
      </w:r>
      <w:r>
        <w:rPr>
          <w:sz w:val="20"/>
          <w:szCs w:val="20"/>
          <w:color w:val="auto"/>
        </w:rPr>
        <w:tab/>
      </w:r>
      <w:r>
        <w:rPr>
          <w:rFonts w:ascii="Arial" w:cs="Arial" w:eastAsia="Arial" w:hAnsi="Arial"/>
          <w:sz w:val="16"/>
          <w:szCs w:val="16"/>
          <w:u w:val="single" w:color="auto"/>
          <w:color w:val="auto"/>
        </w:rPr>
        <w:t>Deposit of Redemption Price</w:t>
      </w:r>
      <w:r>
        <w:rPr>
          <w:rFonts w:ascii="Arial" w:cs="Arial" w:eastAsia="Arial" w:hAnsi="Arial"/>
          <w:sz w:val="16"/>
          <w:szCs w:val="16"/>
          <w:color w:val="auto"/>
        </w:rPr>
        <w:t>.</w:t>
      </w:r>
    </w:p>
    <w:p>
      <w:pPr>
        <w:spacing w:after="0" w:line="225"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Prior to 11:00 A.M., New York City time, on any Redemption Date, the Company shall deposit with the Trustee or with a Paying Agent (or, if the Company is acting as its own Paying Agent, segregate and hold in trust as provided in Section 10.3) an amount of money sufficient to pay the Redemption Price of, and (except if the Redemption Date shall be an Interest Payment Date) accrued interest on, all the Securities which are to be redeemed on that date.</w:t>
      </w:r>
    </w:p>
    <w:p>
      <w:pPr>
        <w:spacing w:after="0" w:line="187"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11.6</w:t>
      </w:r>
      <w:r>
        <w:rPr>
          <w:sz w:val="20"/>
          <w:szCs w:val="20"/>
          <w:color w:val="auto"/>
        </w:rPr>
        <w:tab/>
      </w:r>
      <w:r>
        <w:rPr>
          <w:rFonts w:ascii="Arial" w:cs="Arial" w:eastAsia="Arial" w:hAnsi="Arial"/>
          <w:sz w:val="16"/>
          <w:szCs w:val="16"/>
          <w:u w:val="single" w:color="auto"/>
          <w:color w:val="auto"/>
        </w:rPr>
        <w:t>Securities Payable on Redemption Date</w:t>
      </w:r>
      <w:r>
        <w:rPr>
          <w:rFonts w:ascii="Arial" w:cs="Arial" w:eastAsia="Arial" w:hAnsi="Arial"/>
          <w:sz w:val="16"/>
          <w:szCs w:val="16"/>
          <w:color w:val="auto"/>
        </w:rPr>
        <w:t>.</w:t>
      </w:r>
    </w:p>
    <w:p>
      <w:pPr>
        <w:spacing w:after="0" w:line="225"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unless otherwise specified as contemplated by Section 3.1,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3.7.</w:t>
      </w:r>
    </w:p>
    <w:p>
      <w:pPr>
        <w:spacing w:after="0" w:line="17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70"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11.7</w:t>
      </w:r>
      <w:r>
        <w:rPr>
          <w:sz w:val="20"/>
          <w:szCs w:val="20"/>
          <w:color w:val="auto"/>
        </w:rPr>
        <w:tab/>
      </w:r>
      <w:r>
        <w:rPr>
          <w:rFonts w:ascii="Arial" w:cs="Arial" w:eastAsia="Arial" w:hAnsi="Arial"/>
          <w:sz w:val="15"/>
          <w:szCs w:val="15"/>
          <w:u w:val="single" w:color="auto"/>
          <w:color w:val="auto"/>
        </w:rPr>
        <w:t>Securities Redeemed in Part</w:t>
      </w:r>
      <w:r>
        <w:rPr>
          <w:rFonts w:ascii="Arial" w:cs="Arial" w:eastAsia="Arial" w:hAnsi="Arial"/>
          <w:sz w:val="15"/>
          <w:szCs w:val="15"/>
          <w:color w:val="auto"/>
        </w:rPr>
        <w:t>.</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if applicable, the Subsidiary Guarantors shall execute the notations of Subsidiary Guarantees endorsed thereon,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[INTENTIONALLY OMITTED]</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SUBSIDIARY GUARANTEES</w:t>
      </w:r>
    </w:p>
    <w:p>
      <w:pPr>
        <w:spacing w:after="0" w:line="229"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13.1</w:t>
      </w:r>
      <w:r>
        <w:rPr>
          <w:sz w:val="20"/>
          <w:szCs w:val="20"/>
          <w:color w:val="auto"/>
        </w:rPr>
        <w:tab/>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w:t>
      </w:r>
    </w:p>
    <w:p>
      <w:pPr>
        <w:spacing w:after="0" w:line="22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Unless the Company elects to issue any series of Securities without the benefit of the Subsidiary Guarantees, which election shall be evidenced in or pursuant to the Board Resolution or supplemental indenture establishing such series of Securities pursuant to Section 3.1, the provisions of this Article shall be applicable to each series of Securities except as otherwise specified in or pursuant to the Board Resolution or supplemental indenture establishing such series pursuant to Section 3.1.</w:t>
      </w:r>
    </w:p>
    <w:p>
      <w:pPr>
        <w:spacing w:after="0" w:line="187"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13.2</w:t>
      </w:r>
      <w:r>
        <w:rPr>
          <w:sz w:val="20"/>
          <w:szCs w:val="20"/>
          <w:color w:val="auto"/>
        </w:rPr>
        <w:tab/>
      </w:r>
      <w:r>
        <w:rPr>
          <w:rFonts w:ascii="Arial" w:cs="Arial" w:eastAsia="Arial" w:hAnsi="Arial"/>
          <w:sz w:val="16"/>
          <w:szCs w:val="16"/>
          <w:u w:val="single" w:color="auto"/>
          <w:color w:val="auto"/>
        </w:rPr>
        <w:t>Subsidiary Guarantees</w:t>
      </w:r>
      <w:r>
        <w:rPr>
          <w:rFonts w:ascii="Arial" w:cs="Arial" w:eastAsia="Arial" w:hAnsi="Arial"/>
          <w:sz w:val="16"/>
          <w:szCs w:val="16"/>
          <w:color w:val="auto"/>
        </w:rPr>
        <w:t>.</w:t>
      </w:r>
    </w:p>
    <w:p>
      <w:pPr>
        <w:spacing w:after="0" w:line="225"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Subject to Section 13.1, each Subsidiary Guarantor hereby, jointly and severally, fully and unconditionally guarantees to each Holder of a Security authenticated and delivered by the Trustee, the due and punctual payment of the principal of (and premium, if any) and interest on such Security when and as the same shall become due and payable, whether at the Stated Maturity, by acceleration, call for redemption, offer to purchase or otherwise, in accordance with the terms of such Security and of this Indenture, and each Subsidiary Guarantor similarly guarantees to the Trustee the payment of all amounts owing to the Trustee in accordance with the terms of this Indenture. In case of the failure of the Company punctually to make any such payment, each Subsidiary Guarantor hereby, jointly and severally, agrees to cause such payment to be made punctually when and as the same shall become due and payable, whether at the Stated Maturity or by acceleration, call for redemption, offer to purchase or otherwise, and as if such payment were made by the Company.</w:t>
      </w:r>
    </w:p>
    <w:p>
      <w:pPr>
        <w:spacing w:after="0" w:line="17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Each of the Subsidiary Guarantors hereby jointly and severally agrees that its obligations hereunder shall be absolute, unconditional, irrespective of, and shall be unaffected by, the validity, regularity or enforceability of such Security or this Indenture, the absence of any action to enforce the same or any release, amendment, waiver or indulgence granted to the Company or any other guarantor or any consent to departure from any requirement of any other guarantee of all or any of the Securities of such series or any other circumstances which might otherwise constitute a legal or equitable discharge or defense of a surety or guarantor; provided, however, that, notwithstanding the foregoing, no such release, amendment, waiver or indulgence shall, without the consent of such Subsidiary Guarantor, increase the principal amount of such Security, or increase the interest rate thereon, or alter the Stated Maturity thereof. Each of the Subsidiary Guarantors hereby waives the benefits of diligence, presentment, demand for payment, any requirement that the Trustee or any of the Holders protect, secure, perfect or insure any security interest in or other lien on any property subject thereto or exhaust any right or take any action against the Company or any other Person or any collateral, filing of claims with a court in the event of insolvency or bankruptcy of the Company, any right to require a proceeding first against the</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auto"/>
        </w:rPr>
        <w:t>Company, protest or notice with respect to such Security or the indebtedness evidenced thereby and all demands whatsoever, and covenants that this Subsidiary Guarantee will not be discharged in respect of such Security except by complete performance of the obligations contained in such Security and in such Subsidiary Guarantee. Each Subsidiary Guarantor agrees that if, after the occurrence and during the continuance of an Event of Default, the Trustee or any of the Holders are prevented by applicable law from exercising their respective rights to accelerate the maturity of the Securities of a series, to collect interest on the Securities of a series, or to enforce or exercise any other right or remedy with respect to the Securities of a series, such Subsidiary Guarantor agrees to pay to the Trustee for the account of the Holders, upon demand therefor, the amount that would otherwise have been due and payable had such rights and remedies been permitted to be exercised by the Trustee or any of the Holders.</w:t>
      </w:r>
    </w:p>
    <w:p>
      <w:pPr>
        <w:spacing w:after="0" w:line="167"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Each Subsidiary Guarantor shall be subrogated to all rights of the Holders of the Securities upon which its Subsidiary Guarantee is endorsed against the Company in respect of any amounts paid by such Subsidiary Guarantor on account of such Security pursuant to the provisions of its Subsidiary Guarantee or this Indenture; provided, however, that no Subsidiary Guarantor shall be entitled to enforce or to receive any payments arising out of, or based upon, such right of subrogation until the principal of (and premium, if any) and interest on all Securities of the relevant series issued hereunder shall have been paid in full.</w:t>
      </w:r>
    </w:p>
    <w:p>
      <w:pPr>
        <w:spacing w:after="0" w:line="188"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Each Subsidiary Guarantor that makes or is required to make any payment in respect of its Subsidiary Guarantee shall be entitled to seek contribution from the other Subsidiary Guarantors to the extent permitted by applicable law; provided, however, that no Subsidiary Guarantor shall be entitled to enforce or receive any payments arising out of, or based upon, such right of contribution until the principal of (and premium, if any) and interest on all Securities of the relevant series issued hereunder shall have been paid in full.</w:t>
      </w:r>
    </w:p>
    <w:p>
      <w:pPr>
        <w:spacing w:after="0" w:line="18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Each Subsidiary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part of the Company’s assets, and shall, to the fullest extent permitted by law, continue to be effective or be reinstated, as the case may be, if at any time payment and performance of the Securities of a series, is, pursuant to applicable law, rescinded or reduced in amount, or must otherwise be restored or returned by any Holder of the Securities, whether as a “voidable preference,” “fraudulent transfer,” or otherwise, all as though such payment or performance had not been made. In the event that any payment, or any part thereof, is rescinded, reduced, restored or returned, the Securities shall, to the fullest extent permitted by law, be reinstated and deemed reduced only by such amount paid and not so rescinded, reduced, restored or returned.</w:t>
      </w:r>
    </w:p>
    <w:p>
      <w:pPr>
        <w:spacing w:after="0" w:line="192"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13.3</w:t>
      </w:r>
      <w:r>
        <w:rPr>
          <w:sz w:val="20"/>
          <w:szCs w:val="20"/>
          <w:color w:val="auto"/>
        </w:rPr>
        <w:tab/>
      </w:r>
      <w:r>
        <w:rPr>
          <w:rFonts w:ascii="Arial" w:cs="Arial" w:eastAsia="Arial" w:hAnsi="Arial"/>
          <w:sz w:val="16"/>
          <w:szCs w:val="16"/>
          <w:u w:val="single" w:color="auto"/>
          <w:color w:val="auto"/>
        </w:rPr>
        <w:t>Execution and Delivery of Notations of Subsidiary Guarantees</w:t>
      </w:r>
      <w:r>
        <w:rPr>
          <w:rFonts w:ascii="Arial" w:cs="Arial" w:eastAsia="Arial" w:hAnsi="Arial"/>
          <w:sz w:val="16"/>
          <w:szCs w:val="16"/>
          <w:color w:val="auto"/>
        </w:rPr>
        <w:t>.</w:t>
      </w:r>
    </w:p>
    <w:p>
      <w:pPr>
        <w:spacing w:after="0" w:line="225"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To further evidence the Subsidiary Guarantee set forth in Section 13.2, each of the Subsidiary Guarantors hereby agrees that a notation relating to such Subsidiary Guarantee, substantially in the form set forth in Section 2.4, shall be endorsed on each Security entitled to the benefits of the Subsidiary Guarantee authenticated and delivered by the Trustee and executed by either manual or facsimile signature of an officer of such Subsidiary Guarantor, or in the case of a</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Subsidiary Guarantor that is a limited partnership, an officer of the general partner of each Subsidiary Guarantor. Each of the Subsidiary Guarantors hereby agrees that the Subsidiary Guarantee set forth in Section 13.2 shall remain in full force and effect notwithstanding any failure to endorse on each Security a notation relating to the Subsidiary Guarantee. If any officer of the Subsidiary Guarantor, or in the case of a Subsidiary Guarantor that is a limited partnership, any officer of the general partner of the Subsidiary Guarantor, whose signature is on this Indenture or a Security no longer holds that office at the time the Trustee authenticates such Security or at any time thereafter, the Subsidiary Guarantee of such Security shall be valid nevertheless. The delivery of any Security by the Trustee, after the authentication thereof hereunder, shall constitute due delivery of the Subsidiary Guarantee set forth in this Indenture on behalf of the Subsidiary Guarantors.</w:t>
      </w:r>
    </w:p>
    <w:p>
      <w:pPr>
        <w:spacing w:after="0" w:line="178"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13.4</w:t>
      </w:r>
      <w:r>
        <w:rPr>
          <w:sz w:val="20"/>
          <w:szCs w:val="20"/>
          <w:color w:val="auto"/>
        </w:rPr>
        <w:tab/>
      </w:r>
      <w:r>
        <w:rPr>
          <w:rFonts w:ascii="Arial" w:cs="Arial" w:eastAsia="Arial" w:hAnsi="Arial"/>
          <w:sz w:val="16"/>
          <w:szCs w:val="16"/>
          <w:u w:val="single" w:color="auto"/>
          <w:color w:val="auto"/>
        </w:rPr>
        <w:t>Release of Subsidiary Guarantors</w:t>
      </w:r>
      <w:r>
        <w:rPr>
          <w:rFonts w:ascii="Arial" w:cs="Arial" w:eastAsia="Arial" w:hAnsi="Arial"/>
          <w:sz w:val="16"/>
          <w:szCs w:val="16"/>
          <w:color w:val="auto"/>
        </w:rPr>
        <w:t>.</w:t>
      </w:r>
    </w:p>
    <w:p>
      <w:pPr>
        <w:spacing w:after="0" w:line="225"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color w:val="auto"/>
        </w:rPr>
        <w:t>Unless otherwise specified pursuant to Section 3.1 with respect to a series of Securities, each Subsidiary Guarantee will remain in effect with respect to the respective Subsidiary Guarantor until the entire principal of, premium, if any, and interest on the Securities to which such Subsidiary Guarantee relates shall have been paid in full or otherwise satisfied and discharged in accordance with the provisions of such Securities and this Indenture and all amounts owing to the Trustee hereunder have been paid; provided, however, that if (i) such Subsidiary Guarantor ceases to be a Subsidiary in compliance with the applicable provisions of this Indenture, (ii) either Defeasance or Covenant Defeasance occurs with respect to such Securities pursuant to Article 15 or (iii) all or substantially all of the assets of such Subsidiary Guarantor or all of the Capital Stock of such Subsidiary Guarantor is sold (including by sale, merger, consolidation or otherwise) by the Company or any Subsidiary in a transaction complying with the requirements of this Indenture, then, in each case of (i), (ii) or (iii), upon delivery by the Company of an Officers’ Certificate and an Opinion of Counsel stating that all conditions precedent herein provided for relating to the release of such Subsidiary Guarantor from its obligations under its Subsidiary Guarantee and this Article 13 have been complied with, such Subsidiary Guarantor shall be released and discharged of its obligations under its Subsidiary Guarantee and under this Article 13 without any action on the part of the Trustee or any Holder, and the Trustee shall execute any documents reasonably required in order to acknowledge the release of such Subsidiary Guarantor from its obligations under its Subsidiary Guarantee endorsed on the Securities of such series and under this Article 13.</w:t>
      </w:r>
    </w:p>
    <w:p>
      <w:pPr>
        <w:spacing w:after="0" w:line="188"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13.5</w:t>
      </w:r>
      <w:r>
        <w:rPr>
          <w:sz w:val="20"/>
          <w:szCs w:val="20"/>
          <w:color w:val="auto"/>
        </w:rPr>
        <w:tab/>
      </w:r>
      <w:r>
        <w:rPr>
          <w:rFonts w:ascii="Arial" w:cs="Arial" w:eastAsia="Arial" w:hAnsi="Arial"/>
          <w:sz w:val="16"/>
          <w:szCs w:val="16"/>
          <w:u w:val="single" w:color="auto"/>
          <w:color w:val="auto"/>
        </w:rPr>
        <w:t>Additional Subsidiary Guarantors</w:t>
      </w:r>
      <w:r>
        <w:rPr>
          <w:rFonts w:ascii="Arial" w:cs="Arial" w:eastAsia="Arial" w:hAnsi="Arial"/>
          <w:sz w:val="16"/>
          <w:szCs w:val="16"/>
          <w:color w:val="auto"/>
        </w:rPr>
        <w:t>.</w:t>
      </w:r>
    </w:p>
    <w:p>
      <w:pPr>
        <w:spacing w:after="0" w:line="22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Unless otherwise specified pursuant to Section 3.1 with respect to a series of Securities, the Company will cause any domestic Wholly Owned Subsidiary of the Company that becomes a Subsidiary after the date the Securities of a series are first issued hereunder to become a Subsidiary Guarantor as soon as practicable after such Subsidiary becomes a Subsidiary. The Company shall cause any such Wholly Owned Subsidiary to become a Subsidiary Guarantor with respect to the Securities by executing and delivering to the Trustee (a) a supplemental indenture, in form and substance satisfactory to the Trustee, which subjects such Person to the provisions (including the representations and warranties) of this Indenture as a Subsidiary Guarantor and (b) an Opinion of Counsel to the effect that such supplemental indenture has been duly authorized and executed by such Person and such supplemental indenture and such Person’s obligations under its Subsidiary Guarantee and this Indenture constitute the legal, valid, binding and enforceable obligations of such Person (subject to such customary exceptions concerning creditors’ rights and equitable principles as may be acceptable to the Trustee in its discretion).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13.6</w:t>
      </w:r>
      <w:r>
        <w:rPr>
          <w:sz w:val="20"/>
          <w:szCs w:val="20"/>
          <w:color w:val="auto"/>
        </w:rPr>
        <w:tab/>
      </w:r>
      <w:r>
        <w:rPr>
          <w:rFonts w:ascii="Arial" w:cs="Arial" w:eastAsia="Arial" w:hAnsi="Arial"/>
          <w:sz w:val="17"/>
          <w:szCs w:val="17"/>
          <w:u w:val="single" w:color="auto"/>
          <w:color w:val="auto"/>
        </w:rPr>
        <w:t>Limitation on Liability</w:t>
      </w:r>
      <w:r>
        <w:rPr>
          <w:rFonts w:ascii="Arial" w:cs="Arial" w:eastAsia="Arial" w:hAnsi="Arial"/>
          <w:sz w:val="17"/>
          <w:szCs w:val="17"/>
          <w:color w:val="auto"/>
        </w:rPr>
        <w:t>.</w:t>
      </w:r>
    </w:p>
    <w:p>
      <w:pPr>
        <w:spacing w:after="0" w:line="225"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Any term or provision of this Indenture to the contrary notwithstanding, the maximum amount of the Subsidiary Guarantee of any Subsidiary Guarantor shall not exceed the maximum amount that can be hereby guaranteed by such Subsidiary Guarantor without rendering such Subsidiary Guarantee voidable under applicable law relating to fraudulent conveyance or fraudulent transfer or similar laws affecting the rights of creditors generally.</w:t>
      </w:r>
    </w:p>
    <w:p>
      <w:pPr>
        <w:spacing w:after="0" w:line="39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[INTENTIONALLY OMITTED]</w:t>
      </w: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ARTICLE 15</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DEFEASANCE AND COVENANT DEFEASANCE</w:t>
      </w:r>
    </w:p>
    <w:p>
      <w:pPr>
        <w:spacing w:after="0" w:line="229"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15.1</w:t>
      </w:r>
      <w:r>
        <w:rPr>
          <w:sz w:val="20"/>
          <w:szCs w:val="20"/>
          <w:color w:val="auto"/>
        </w:rPr>
        <w:tab/>
      </w:r>
      <w:r>
        <w:rPr>
          <w:rFonts w:ascii="Arial" w:cs="Arial" w:eastAsia="Arial" w:hAnsi="Arial"/>
          <w:sz w:val="16"/>
          <w:szCs w:val="16"/>
          <w:u w:val="single" w:color="auto"/>
          <w:color w:val="auto"/>
        </w:rPr>
        <w:t>Company’s Option to Effect Defeasance or Covenant Defeasance</w:t>
      </w:r>
      <w:r>
        <w:rPr>
          <w:rFonts w:ascii="Arial" w:cs="Arial" w:eastAsia="Arial" w:hAnsi="Arial"/>
          <w:sz w:val="16"/>
          <w:szCs w:val="16"/>
          <w:color w:val="auto"/>
        </w:rPr>
        <w:t>.</w:t>
      </w:r>
    </w:p>
    <w:p>
      <w:pPr>
        <w:spacing w:after="0" w:line="225"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Company may elect, at its option at any time, to have Section 15.2 or Section 15.3 applied to any Securities or any series of Securities, as the case may be, designated pursuant to Section 3.1 as being defeasible pursuant to such Section 15.2 or Section 15.3, in accordance with any applicable requirements provided pursuant to Section 3.1 and upon compliance with the conditions set forth below in this Article. Any such election shall be evidenced in or pursuant to a Board Resolution or in another manner specified as contemplated by Section 3.1 for such Securities.</w:t>
      </w:r>
    </w:p>
    <w:p>
      <w:pPr>
        <w:spacing w:after="0" w:line="154"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15.2</w:t>
      </w:r>
      <w:r>
        <w:rPr>
          <w:sz w:val="20"/>
          <w:szCs w:val="20"/>
          <w:color w:val="auto"/>
        </w:rPr>
        <w:tab/>
      </w:r>
      <w:r>
        <w:rPr>
          <w:rFonts w:ascii="Arial" w:cs="Arial" w:eastAsia="Arial" w:hAnsi="Arial"/>
          <w:sz w:val="15"/>
          <w:szCs w:val="15"/>
          <w:u w:val="single" w:color="auto"/>
          <w:color w:val="auto"/>
        </w:rPr>
        <w:t>Defeasance and Discharge</w:t>
      </w:r>
      <w:r>
        <w:rPr>
          <w:rFonts w:ascii="Arial" w:cs="Arial" w:eastAsia="Arial" w:hAnsi="Arial"/>
          <w:sz w:val="15"/>
          <w:szCs w:val="15"/>
          <w:color w:val="auto"/>
        </w:rPr>
        <w:t>.</w:t>
      </w:r>
    </w:p>
    <w:p>
      <w:pPr>
        <w:spacing w:after="0" w:line="225"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Upon the Company’s exercise of its option (if any) to have this Section applied to any Securities or any series of Securities, as the case may be, the Company shall be deemed to have been discharged from its obligations, and each Subsidiary Guarantor shall be deemed to have been discharged from its obligations with respect to its Subsidiary Guarantee of such Securities, as provided in this Section on and after the date the conditions set forth in Section 15.4 are satisfied (herein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Section 15.4 and as more fully set forth in such Section, payments in respect of the principal of and any premium and interest on such Securities when payments are due, or, if applicable, to convert such Securities in accordance with their terms, (2) the Company’s and each Subsidiary Guarantor’s obligations with respect to such Securities under Sections 3.4, 3.5, 3.6, 10.2 and 10.3, and, if applicable, their obligations with respect to the conversion of such Securities, (3) the rights, powers, trusts, duties and immunities of the Trustee hereunder and (4) this Article. Subject to compliance with this Article, the Company may exercise its option (if any) to have this Section applied to any Securities notwithstanding the prior exercise of its option (if any) to have Section 15.3 applied to such Securities.</w:t>
      </w:r>
    </w:p>
    <w:p>
      <w:pPr>
        <w:spacing w:after="0" w:line="10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240" w:top="459" w:right="5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15.3</w:t>
      </w:r>
      <w:r>
        <w:rPr>
          <w:sz w:val="20"/>
          <w:szCs w:val="20"/>
          <w:color w:val="auto"/>
        </w:rPr>
        <w:tab/>
      </w:r>
      <w:r>
        <w:rPr>
          <w:rFonts w:ascii="Arial" w:cs="Arial" w:eastAsia="Arial" w:hAnsi="Arial"/>
          <w:sz w:val="15"/>
          <w:szCs w:val="15"/>
          <w:u w:val="single" w:color="auto"/>
          <w:color w:val="auto"/>
        </w:rPr>
        <w:t>Covenant Defeasance</w:t>
      </w:r>
      <w:r>
        <w:rPr>
          <w:rFonts w:ascii="Arial" w:cs="Arial" w:eastAsia="Arial" w:hAnsi="Arial"/>
          <w:sz w:val="15"/>
          <w:szCs w:val="15"/>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Upon the Company’s exercise of its option (if any) to have this Section applied to any Securities or any series of Securities, as the case may be,</w:t>
      </w:r>
    </w:p>
    <w:p>
      <w:pPr>
        <w:spacing w:after="0" w:line="46" w:lineRule="exact"/>
        <w:rPr>
          <w:sz w:val="20"/>
          <w:szCs w:val="20"/>
          <w:color w:val="auto"/>
        </w:rPr>
      </w:pPr>
    </w:p>
    <w:p>
      <w:pPr>
        <w:ind w:left="200" w:right="40" w:firstLine="4"/>
        <w:spacing w:after="0" w:line="286" w:lineRule="auto"/>
        <w:tabs>
          <w:tab w:leader="none" w:pos="455"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Company shall be released from its obligations under Section 8.1(3), Sections 10.5 through 10.8, inclusive, and any covenants provided pursuant to Section 3.1(21), 9.1(2) or 9.1(7) for the benefit of the Holders of such Securities, and (2) the occurrence of any event specified in Section 5.1(5) (with respect to any of Section 8.1(3), Sections 10.6 through 10.8, inclusive, and any such covenants provided pursuant to Section 3.1(21), 9.1(2) or 9.1(7)), 5.1(6), 5.1(9) and 5.1(10) shall be deemed not to be or result in an Event of Default and (3) the provisions of Article 13 shall cease to be effective, in each case with respect to such Securities and Subsidiary Guarantees as provided in this Section on and after the date the conditions set forth in Section 15.4 are satisfied (herein called “Covenant Defeasance”). For this purpose, such Covenant Defeasance means that, with respect to such Securities, the Company and the Subsidiary Guarantors, as applicable, may omit to comply with and shall have no liability in respect of any term, condition or limitation set forth in any such specified Section (to the extent so specified in the case of Section 5.1(5)) or Article 13, whether directly or indirectly by reason of any reference elsewhere herein to any such Section or Article or by reason of any reference in any such Section or Article to any other provision herein or in any other document, but the remainder of this Indenture and such Securities shall be unaffected thereby.</w:t>
      </w:r>
    </w:p>
    <w:p>
      <w:pPr>
        <w:spacing w:after="0" w:line="170"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15.4</w:t>
      </w:r>
      <w:r>
        <w:rPr>
          <w:sz w:val="20"/>
          <w:szCs w:val="20"/>
          <w:color w:val="auto"/>
        </w:rPr>
        <w:tab/>
      </w:r>
      <w:r>
        <w:rPr>
          <w:rFonts w:ascii="Arial" w:cs="Arial" w:eastAsia="Arial" w:hAnsi="Arial"/>
          <w:sz w:val="16"/>
          <w:szCs w:val="16"/>
          <w:u w:val="single" w:color="auto"/>
          <w:color w:val="auto"/>
        </w:rPr>
        <w:t>Conditions to Defeasance or Covenant Defeasance</w:t>
      </w:r>
      <w:r>
        <w:rPr>
          <w:rFonts w:ascii="Arial" w:cs="Arial" w:eastAsia="Arial" w:hAnsi="Arial"/>
          <w:sz w:val="16"/>
          <w:szCs w:val="16"/>
          <w:color w:val="auto"/>
        </w:rPr>
        <w:t>.</w:t>
      </w:r>
    </w:p>
    <w:p>
      <w:pPr>
        <w:spacing w:after="0" w:line="22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following shall be the conditions to the application of Section 15.2 or Section 15.3 to any Securities or any series of Securities, as the case may be:</w:t>
      </w:r>
    </w:p>
    <w:p>
      <w:pPr>
        <w:spacing w:after="0" w:line="62" w:lineRule="exact"/>
        <w:rPr>
          <w:sz w:val="20"/>
          <w:szCs w:val="20"/>
          <w:color w:val="auto"/>
        </w:rPr>
      </w:pPr>
    </w:p>
    <w:p>
      <w:pPr>
        <w:ind w:left="200" w:firstLine="444"/>
        <w:spacing w:after="0" w:line="287" w:lineRule="auto"/>
        <w:tabs>
          <w:tab w:leader="none" w:pos="1027"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Company shall irrevocably have deposited or caused to be deposited with the Trustee (or another trustee which satisfies the requirements contemplated by Section 6.9 and agrees to comply with the provisions of this Article applicable to it) as trust funds in trust for the purpose of making the following payments, specifically pledged as security for, and dedicated solely to, the benefits of the Holders of such Securities, (A) money in an amount, or (B) U.S. Government Obligations which through the scheduled payment of principal and interest in respect thereof in accordance with their terms will provide, not later than one day before the due date of any payment, money in an amount, or (C) a combination thereof, 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57" w:lineRule="exact"/>
        <w:rPr>
          <w:sz w:val="20"/>
          <w:szCs w:val="20"/>
          <w:color w:val="auto"/>
        </w:rPr>
      </w:pPr>
    </w:p>
    <w:p>
      <w:pPr>
        <w:ind w:left="200" w:right="100" w:firstLine="444"/>
        <w:spacing w:after="0" w:line="288" w:lineRule="auto"/>
        <w:tabs>
          <w:tab w:leader="none" w:pos="1031" w:val="left"/>
        </w:tabs>
        <w:numPr>
          <w:ilvl w:val="1"/>
          <w:numId w:val="85"/>
        </w:numPr>
        <w:rPr>
          <w:rFonts w:ascii="Arial" w:cs="Arial" w:eastAsia="Arial" w:hAnsi="Arial"/>
          <w:sz w:val="16"/>
          <w:szCs w:val="16"/>
          <w:color w:val="auto"/>
        </w:rPr>
      </w:pPr>
      <w:r>
        <w:rPr>
          <w:rFonts w:ascii="Arial" w:cs="Arial" w:eastAsia="Arial" w:hAnsi="Arial"/>
          <w:sz w:val="16"/>
          <w:szCs w:val="16"/>
          <w:color w:val="auto"/>
        </w:rPr>
        <w:t>In the event of an election to have Section 15.2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w:t>
      </w:r>
    </w:p>
    <w:p>
      <w:pPr>
        <w:ind w:left="200" w:firstLine="4"/>
        <w:spacing w:after="0" w:line="302" w:lineRule="auto"/>
        <w:tabs>
          <w:tab w:leader="none" w:pos="485" w:val="left"/>
        </w:tabs>
        <w:numPr>
          <w:ilvl w:val="0"/>
          <w:numId w:val="86"/>
        </w:numPr>
        <w:rPr>
          <w:rFonts w:ascii="Arial" w:cs="Arial" w:eastAsia="Arial" w:hAnsi="Arial"/>
          <w:sz w:val="16"/>
          <w:szCs w:val="16"/>
          <w:color w:val="auto"/>
        </w:rPr>
      </w:pPr>
      <w:r>
        <w:rPr>
          <w:rFonts w:ascii="Arial" w:cs="Arial" w:eastAsia="Arial" w:hAnsi="Arial"/>
          <w:sz w:val="16"/>
          <w:szCs w:val="16"/>
          <w:color w:val="auto"/>
        </w:rPr>
        <w:t>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and Defeasance were not to occur.</w:t>
      </w:r>
    </w:p>
    <w:p>
      <w:pPr>
        <w:spacing w:after="0" w:line="47" w:lineRule="exact"/>
        <w:rPr>
          <w:rFonts w:ascii="Arial" w:cs="Arial" w:eastAsia="Arial" w:hAnsi="Arial"/>
          <w:sz w:val="16"/>
          <w:szCs w:val="16"/>
          <w:color w:val="auto"/>
        </w:rPr>
      </w:pPr>
    </w:p>
    <w:p>
      <w:pPr>
        <w:ind w:left="200" w:right="140" w:firstLine="444"/>
        <w:spacing w:after="0" w:line="302" w:lineRule="auto"/>
        <w:tabs>
          <w:tab w:leader="none" w:pos="1031" w:val="left"/>
        </w:tabs>
        <w:numPr>
          <w:ilvl w:val="1"/>
          <w:numId w:val="86"/>
        </w:numPr>
        <w:rPr>
          <w:rFonts w:ascii="Arial" w:cs="Arial" w:eastAsia="Arial" w:hAnsi="Arial"/>
          <w:sz w:val="16"/>
          <w:szCs w:val="16"/>
          <w:color w:val="auto"/>
        </w:rPr>
      </w:pPr>
      <w:r>
        <w:rPr>
          <w:rFonts w:ascii="Arial" w:cs="Arial" w:eastAsia="Arial" w:hAnsi="Arial"/>
          <w:sz w:val="16"/>
          <w:szCs w:val="16"/>
          <w:color w:val="auto"/>
        </w:rPr>
        <w:t>In the event of an election to have Section 15.3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46" w:lineRule="exact"/>
        <w:rPr>
          <w:rFonts w:ascii="Arial" w:cs="Arial" w:eastAsia="Arial" w:hAnsi="Arial"/>
          <w:sz w:val="16"/>
          <w:szCs w:val="16"/>
          <w:color w:val="auto"/>
        </w:rPr>
      </w:pPr>
    </w:p>
    <w:p>
      <w:pPr>
        <w:ind w:left="200" w:right="100" w:firstLine="444"/>
        <w:spacing w:after="0" w:line="277" w:lineRule="auto"/>
        <w:tabs>
          <w:tab w:leader="none" w:pos="1027"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62" w:lineRule="exact"/>
        <w:rPr>
          <w:rFonts w:ascii="Arial" w:cs="Arial" w:eastAsia="Arial" w:hAnsi="Arial"/>
          <w:sz w:val="18"/>
          <w:szCs w:val="18"/>
          <w:color w:val="auto"/>
        </w:rPr>
      </w:pPr>
    </w:p>
    <w:p>
      <w:pPr>
        <w:ind w:left="200" w:right="180" w:firstLine="444"/>
        <w:spacing w:after="0" w:line="279" w:lineRule="auto"/>
        <w:tabs>
          <w:tab w:leader="none" w:pos="1031" w:val="left"/>
        </w:tabs>
        <w:numPr>
          <w:ilvl w:val="1"/>
          <w:numId w:val="86"/>
        </w:numPr>
        <w:rPr>
          <w:rFonts w:ascii="Arial" w:cs="Arial" w:eastAsia="Arial" w:hAnsi="Arial"/>
          <w:sz w:val="17"/>
          <w:szCs w:val="17"/>
          <w:color w:val="auto"/>
        </w:rPr>
      </w:pPr>
      <w:r>
        <w:rPr>
          <w:rFonts w:ascii="Arial" w:cs="Arial" w:eastAsia="Arial" w:hAnsi="Arial"/>
          <w:sz w:val="17"/>
          <w:szCs w:val="17"/>
          <w:color w:val="auto"/>
        </w:rPr>
        <w:t>No event which is, or after notice or lapse of time or both would become, an Event of Default with respect to such Securities shall have occurred and be continuing at the time of such deposit or, with regard to any such event specified in Section 5.1(7), at any time on or prior to the 121st day after the date of such deposit (it being understood that this condition shall not be deemed satisfied until after such 121st day) (in each case, other than as a result of borrowing funds in connection with such defeasance or granting of liens in connection herewith).</w:t>
      </w:r>
    </w:p>
    <w:p>
      <w:pPr>
        <w:spacing w:after="0" w:line="63" w:lineRule="exact"/>
        <w:rPr>
          <w:rFonts w:ascii="Arial" w:cs="Arial" w:eastAsia="Arial" w:hAnsi="Arial"/>
          <w:sz w:val="17"/>
          <w:szCs w:val="17"/>
          <w:color w:val="auto"/>
        </w:rPr>
      </w:pPr>
    </w:p>
    <w:p>
      <w:pPr>
        <w:ind w:left="200" w:right="60" w:firstLine="444"/>
        <w:spacing w:after="0" w:line="277" w:lineRule="auto"/>
        <w:tabs>
          <w:tab w:leader="none" w:pos="1031" w:val="left"/>
        </w:tabs>
        <w:numPr>
          <w:ilvl w:val="1"/>
          <w:numId w:val="86"/>
        </w:numPr>
        <w:rPr>
          <w:rFonts w:ascii="Arial" w:cs="Arial" w:eastAsia="Arial" w:hAnsi="Arial"/>
          <w:sz w:val="18"/>
          <w:szCs w:val="18"/>
          <w:color w:val="auto"/>
        </w:rPr>
      </w:pPr>
      <w:r>
        <w:rPr>
          <w:rFonts w:ascii="Arial" w:cs="Arial" w:eastAsia="Arial" w:hAnsi="Arial"/>
          <w:sz w:val="18"/>
          <w:szCs w:val="18"/>
          <w:color w:val="auto"/>
        </w:rPr>
        <w:t>Such Defeasance or Covenant Defeasance shall not cause the Trustee to have a conflicting interest within the meaning of the Trust Indenture Act (assuming all Securities are in default within the meaning of such Act).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4"/>
        <w:spacing w:after="0" w:line="277" w:lineRule="auto"/>
        <w:tabs>
          <w:tab w:leader="none" w:pos="1031"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material breach or violation of, or constitute a default under, any other material agreement or material instrument to which the Company or any Subsidiary is a party or by which it is bound.</w:t>
      </w:r>
    </w:p>
    <w:p>
      <w:pPr>
        <w:spacing w:after="0" w:line="62" w:lineRule="exact"/>
        <w:rPr>
          <w:rFonts w:ascii="Arial" w:cs="Arial" w:eastAsia="Arial" w:hAnsi="Arial"/>
          <w:sz w:val="18"/>
          <w:szCs w:val="18"/>
          <w:color w:val="auto"/>
        </w:rPr>
      </w:pPr>
    </w:p>
    <w:p>
      <w:pPr>
        <w:ind w:left="200" w:right="680" w:firstLine="444"/>
        <w:spacing w:after="0" w:line="277" w:lineRule="auto"/>
        <w:tabs>
          <w:tab w:leader="none" w:pos="102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170"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15.5</w:t>
      </w:r>
      <w:r>
        <w:rPr>
          <w:sz w:val="20"/>
          <w:szCs w:val="20"/>
          <w:color w:val="auto"/>
        </w:rPr>
        <w:tab/>
      </w:r>
      <w:r>
        <w:rPr>
          <w:rFonts w:ascii="Arial" w:cs="Arial" w:eastAsia="Arial" w:hAnsi="Arial"/>
          <w:sz w:val="16"/>
          <w:szCs w:val="16"/>
          <w:u w:val="single" w:color="auto"/>
          <w:color w:val="auto"/>
        </w:rPr>
        <w:t>Deposited Money and U.S. Government Obligations to Be Held in Trust; Miscellaneous Provisions</w:t>
      </w:r>
      <w:r>
        <w:rPr>
          <w:rFonts w:ascii="Arial" w:cs="Arial" w:eastAsia="Arial" w:hAnsi="Arial"/>
          <w:sz w:val="16"/>
          <w:szCs w:val="16"/>
          <w:color w:val="auto"/>
        </w:rPr>
        <w:t>.</w:t>
      </w:r>
    </w:p>
    <w:p>
      <w:pPr>
        <w:spacing w:after="0" w:line="22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Subject to the provisions of the last paragraph of Section 10.3, all money and U.S. Government Obligations (including the proceeds thereof) deposited with the Trustee or other qualifying trustee (solely for purposes of this Section and Section 15.6, the Trustee and any such other trustee are referred to collectively as the “Trustee”) pursuant to Section 15.4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w:t>
      </w:r>
    </w:p>
    <w:p>
      <w:pPr>
        <w:spacing w:after="0" w:line="189"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U.S. Government Obligations deposited pursuant to Section 15.4 or the principal and interest received in respect thereof other than any such tax, fee or other charge which by law is for the account of the Holders of Outstanding Securities.</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Anything in this Article to the contrary notwithstanding, the Trustee shall deliver or pay to the Company from time to time upon Company Request any money or U.S. Government Obligations held by it as provided in Section 15.4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188"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15.6</w:t>
      </w:r>
      <w:r>
        <w:rPr>
          <w:sz w:val="20"/>
          <w:szCs w:val="20"/>
          <w:color w:val="auto"/>
        </w:rPr>
        <w:tab/>
      </w:r>
      <w:r>
        <w:rPr>
          <w:rFonts w:ascii="Arial" w:cs="Arial" w:eastAsia="Arial" w:hAnsi="Arial"/>
          <w:sz w:val="16"/>
          <w:szCs w:val="16"/>
          <w:u w:val="single" w:color="auto"/>
          <w:color w:val="auto"/>
        </w:rPr>
        <w:t>Reinstatement</w:t>
      </w:r>
      <w:r>
        <w:rPr>
          <w:rFonts w:ascii="Arial" w:cs="Arial" w:eastAsia="Arial" w:hAnsi="Arial"/>
          <w:sz w:val="16"/>
          <w:szCs w:val="16"/>
          <w:color w:val="auto"/>
        </w:rPr>
        <w:t>.</w:t>
      </w:r>
    </w:p>
    <w:p>
      <w:pPr>
        <w:spacing w:after="0" w:line="225"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15.2 or 15.3 shall be revived and reinstated as though no deposit had occurred pursuant to this Article with respect to such Securities, until such time as the Trustee or Paying Agent is permitted to apply all money held in trust pursuant to Section 15.5 with respect to such Securities in accordance with this Article; provided, however,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16</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SINKING FUNDS</w:t>
      </w:r>
    </w:p>
    <w:p>
      <w:pPr>
        <w:spacing w:after="0" w:line="229"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16.1</w:t>
      </w:r>
      <w:r>
        <w:rPr>
          <w:sz w:val="20"/>
          <w:szCs w:val="20"/>
          <w:color w:val="auto"/>
        </w:rPr>
        <w:tab/>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any series except as otherwise specified as contemplated by Section 3.1 for such Securities.</w:t>
      </w:r>
    </w:p>
    <w:p>
      <w:pPr>
        <w:spacing w:after="0" w:line="170" w:lineRule="exact"/>
        <w:rPr>
          <w:sz w:val="20"/>
          <w:szCs w:val="20"/>
          <w:color w:val="auto"/>
        </w:rPr>
      </w:pPr>
    </w:p>
    <w:p>
      <w:pPr>
        <w:jc w:val="both"/>
        <w:ind w:left="200" w:firstLine="441"/>
        <w:spacing w:after="0" w:line="302" w:lineRule="auto"/>
        <w:rPr>
          <w:sz w:val="20"/>
          <w:szCs w:val="20"/>
          <w:color w:val="auto"/>
        </w:rPr>
      </w:pPr>
      <w:r>
        <w:rPr>
          <w:rFonts w:ascii="Arial" w:cs="Arial" w:eastAsia="Arial" w:hAnsi="Arial"/>
          <w:sz w:val="16"/>
          <w:szCs w:val="16"/>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16.2. Each sinking fund payment shall be applied to the redemption of Securities as provided for by the terms of such Securities.</w:t>
      </w:r>
    </w:p>
    <w:p>
      <w:pPr>
        <w:spacing w:after="0" w:line="154"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16.2</w:t>
      </w:r>
      <w:r>
        <w:rPr>
          <w:sz w:val="20"/>
          <w:szCs w:val="20"/>
          <w:color w:val="auto"/>
        </w:rPr>
        <w:tab/>
      </w:r>
      <w:r>
        <w:rPr>
          <w:rFonts w:ascii="Arial" w:cs="Arial" w:eastAsia="Arial" w:hAnsi="Arial"/>
          <w:sz w:val="16"/>
          <w:szCs w:val="16"/>
          <w:u w:val="single" w:color="auto"/>
          <w:color w:val="auto"/>
        </w:rPr>
        <w:t>Satisfaction of Sinking Fund Payments with Securities</w:t>
      </w:r>
      <w:r>
        <w:rPr>
          <w:rFonts w:ascii="Arial" w:cs="Arial" w:eastAsia="Arial" w:hAnsi="Arial"/>
          <w:sz w:val="16"/>
          <w:szCs w:val="16"/>
          <w:color w:val="auto"/>
        </w:rPr>
        <w:t>.</w:t>
      </w:r>
    </w:p>
    <w:p>
      <w:pPr>
        <w:spacing w:after="0" w:line="225"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Company (1) may deliver Outstanding Securities of a series (other than any previously called for redemption) and (2) may apply as a credit Securities of a series which have been (x) converted or (y)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however,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67" w:lineRule="exact"/>
        <w:rPr>
          <w:sz w:val="20"/>
          <w:szCs w:val="20"/>
          <w:color w:val="auto"/>
        </w:rPr>
      </w:pPr>
    </w:p>
    <w:p>
      <w:pPr>
        <w:ind w:left="640"/>
        <w:spacing w:after="0"/>
        <w:tabs>
          <w:tab w:leader="none" w:pos="1700" w:val="left"/>
        </w:tabs>
        <w:rPr>
          <w:sz w:val="20"/>
          <w:szCs w:val="20"/>
          <w:color w:val="auto"/>
        </w:rPr>
      </w:pPr>
      <w:r>
        <w:rPr>
          <w:rFonts w:ascii="Arial" w:cs="Arial" w:eastAsia="Arial" w:hAnsi="Arial"/>
          <w:sz w:val="18"/>
          <w:szCs w:val="18"/>
          <w:color w:val="auto"/>
        </w:rPr>
        <w:t>Section 16.3</w:t>
      </w:r>
      <w:r>
        <w:rPr>
          <w:sz w:val="20"/>
          <w:szCs w:val="20"/>
          <w:color w:val="auto"/>
        </w:rPr>
        <w:tab/>
      </w:r>
      <w:r>
        <w:rPr>
          <w:rFonts w:ascii="Arial" w:cs="Arial" w:eastAsia="Arial" w:hAnsi="Arial"/>
          <w:sz w:val="16"/>
          <w:szCs w:val="16"/>
          <w:u w:val="single" w:color="auto"/>
          <w:color w:val="auto"/>
        </w:rPr>
        <w:t>Redemption of Securities for Sinking Fund</w:t>
      </w:r>
      <w:r>
        <w:rPr>
          <w:rFonts w:ascii="Arial" w:cs="Arial" w:eastAsia="Arial" w:hAnsi="Arial"/>
          <w:sz w:val="16"/>
          <w:szCs w:val="16"/>
          <w:color w:val="auto"/>
        </w:rPr>
        <w:t>.</w:t>
      </w:r>
    </w:p>
    <w:p>
      <w:pPr>
        <w:spacing w:after="0" w:line="225"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Not less than 35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16.2 and will also deliver to the Trustee any Securities to be so delivered. Not less than 32 days prior to each such sinking fund payment date, the Trustee shall select the Securities to be redeemed upon such sinking fund payment date in the manner specified in Section 11.3 and cause notice of the redemption thereof to be given in the name of and at the expense of the Company in the manner provided in Section 11.4. Such notice having been duly given, the redemption of such Securities shall be made upon the terms and in the manner stated in Sections 11.6 and 11.7. This instrument may be executed in any number of counterparts, each of which so executed shall be deemed to be an original, but all such counterparts shall together constitute but one and the same instrument.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80"/>
          </w:cols>
          <w:pgMar w:left="24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WITNESS WHEREOF, the parties hereto have caused this Indenture to be duly executed, all as of the day and year first above written.</w:t>
      </w:r>
    </w:p>
    <w:p>
      <w:pPr>
        <w:spacing w:after="0" w:line="271"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ISSUER:</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CALIFORNIA RESOURCES CORPORATION</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4612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22860</wp:posOffset>
            </wp:positionV>
            <wp:extent cx="24612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-121920</wp:posOffset>
            </wp:positionV>
            <wp:extent cx="24612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27"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SUBSIDIARY GUARANTORS:</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[INSERT SUBSIDIARY GUARANTORS]</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4612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22860</wp:posOffset>
            </wp:positionV>
            <wp:extent cx="24612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-121920</wp:posOffset>
            </wp:positionV>
            <wp:extent cx="24612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27"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TRUSTEE:</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[TRUSTEE’S NAME]</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4612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22860</wp:posOffset>
            </wp:positionV>
            <wp:extent cx="24612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-121920</wp:posOffset>
            </wp:positionV>
            <wp:extent cx="24612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3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[Signature Page to Senior Indenture]</w:t>
      </w:r>
    </w:p>
    <w:p>
      <w:pPr>
        <w:sectPr>
          <w:pgSz w:w="11900" w:h="16838" w:orient="portrait"/>
          <w:cols w:equalWidth="0" w:num="1">
            <w:col w:w="10600"/>
          </w:cols>
          <w:pgMar w:left="240" w:top="459" w:right="10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u w:val="single" w:color="auto"/>
          <w:color w:val="auto"/>
        </w:rPr>
        <w:t>SUBSIDIARY GUARANTORS</w:t>
      </w:r>
    </w:p>
    <w:p>
      <w:pPr>
        <w:spacing w:after="0" w:line="248" w:lineRule="exact"/>
        <w:rPr>
          <w:sz w:val="20"/>
          <w:szCs w:val="20"/>
          <w:color w:val="auto"/>
        </w:rPr>
      </w:pPr>
    </w:p>
    <w:p>
      <w:pPr>
        <w:jc w:val="both"/>
        <w:ind w:left="2580"/>
        <w:spacing w:after="0"/>
        <w:tabs>
          <w:tab w:leader="none" w:pos="7680" w:val="left"/>
        </w:tabs>
        <w:rPr>
          <w:sz w:val="20"/>
          <w:szCs w:val="20"/>
          <w:color w:val="auto"/>
        </w:rPr>
      </w:pPr>
      <w:r>
        <w:rPr>
          <w:rFonts w:ascii="Arial" w:cs="Arial" w:eastAsia="Arial" w:hAnsi="Arial"/>
          <w:sz w:val="14"/>
          <w:szCs w:val="14"/>
          <w:b w:val="1"/>
          <w:bCs w:val="1"/>
          <w:u w:val="single" w:color="auto"/>
          <w:color w:val="auto"/>
        </w:rPr>
        <w:t>SUBSIDIARY</w:t>
      </w:r>
      <w:r>
        <w:rPr>
          <w:sz w:val="20"/>
          <w:szCs w:val="20"/>
          <w:color w:val="auto"/>
        </w:rPr>
        <w:tab/>
      </w:r>
      <w:r>
        <w:rPr>
          <w:rFonts w:ascii="Arial" w:cs="Arial" w:eastAsia="Arial" w:hAnsi="Arial"/>
          <w:sz w:val="14"/>
          <w:szCs w:val="14"/>
          <w:b w:val="1"/>
          <w:bCs w:val="1"/>
          <w:u w:val="single" w:color="auto"/>
          <w:color w:val="auto"/>
        </w:rPr>
        <w:t>STATE OF ORGANIZATION</w:t>
      </w:r>
    </w:p>
    <w:p>
      <w:pPr>
        <w:spacing w:after="0" w:line="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[INSERT SUBSIDIARY GUARANTORS]</w:t>
      </w:r>
    </w:p>
    <w:p>
      <w:pPr>
        <w:spacing w:after="0" w:line="20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Schedule I</w:t>
      </w:r>
    </w:p>
    <w:p>
      <w:pPr>
        <w:sectPr>
          <w:pgSz w:w="11900" w:h="16838" w:orient="portrait"/>
          <w:cols w:equalWidth="0" w:num="1">
            <w:col w:w="10219"/>
          </w:cols>
          <w:pgMar w:left="240" w:top="459"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4.18</w:t>
      </w:r>
    </w:p>
    <w:p>
      <w:pPr>
        <w:spacing w:after="0" w:line="200" w:lineRule="exact"/>
        <w:rPr>
          <w:sz w:val="20"/>
          <w:szCs w:val="20"/>
          <w:color w:val="auto"/>
        </w:rPr>
      </w:pPr>
    </w:p>
    <w:p>
      <w:pPr>
        <w:spacing w:after="0" w:line="241"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CALIFORNIA RESOURCES CORPORATION,</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AS ISSUER</w:t>
      </w:r>
    </w:p>
    <w:p>
      <w:pPr>
        <w:spacing w:after="0" w:line="20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b w:val="1"/>
          <w:bCs w:val="1"/>
          <w:color w:val="auto"/>
        </w:rPr>
        <w:t>ANY SUBSIDIARY GUARANTORS PARTIES HERETO,</w:t>
      </w:r>
    </w:p>
    <w:p>
      <w:pPr>
        <w:spacing w:after="0" w:line="3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AS SUBSIDIARY GUARANTORS</w:t>
      </w:r>
    </w:p>
    <w:p>
      <w:pPr>
        <w:spacing w:after="0" w:line="20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[TRUSTEE’S NAME],</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228600</wp:posOffset>
            </wp:positionV>
            <wp:extent cx="14662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SUBORDINATED INDENTURE</w:t>
      </w:r>
    </w:p>
    <w:tbl>
      <w:tblPr>
        <w:tblLayout w:type="fixed"/>
        <w:tblInd w:w="3140" w:type="dxa"/>
        <w:tblCellMar>
          <w:top w:w="0" w:type="dxa"/>
          <w:left w:w="0" w:type="dxa"/>
          <w:bottom w:w="0" w:type="dxa"/>
          <w:right w:w="0" w:type="dxa"/>
        </w:tblCellMar>
      </w:tblPr>
      <w:tr>
        <w:trPr>
          <w:trHeight w:val="203"/>
        </w:trPr>
        <w:tc>
          <w:tcPr>
            <w:tcW w:w="1220" w:type="dxa"/>
            <w:vAlign w:val="bottom"/>
          </w:tcPr>
          <w:p>
            <w:pPr>
              <w:spacing w:after="0" w:line="203" w:lineRule="exact"/>
              <w:rPr>
                <w:sz w:val="20"/>
                <w:szCs w:val="20"/>
                <w:color w:val="auto"/>
              </w:rPr>
            </w:pPr>
            <w:r>
              <w:rPr>
                <w:rFonts w:ascii="Arial" w:cs="Arial" w:eastAsia="Arial" w:hAnsi="Arial"/>
                <w:sz w:val="18"/>
                <w:szCs w:val="18"/>
                <w:b w:val="1"/>
                <w:bCs w:val="1"/>
                <w:color w:val="auto"/>
                <w:w w:val="98"/>
              </w:rPr>
              <w:t>DATED AS OF</w:t>
            </w:r>
          </w:p>
        </w:tc>
        <w:tc>
          <w:tcPr>
            <w:tcW w:w="900" w:type="dxa"/>
            <w:vAlign w:val="bottom"/>
            <w:tcBorders>
              <w:bottom w:val="single" w:sz="8" w:color="auto"/>
            </w:tcBorders>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w w:val="86"/>
              </w:rPr>
              <w:t>, 20</w:t>
            </w:r>
          </w:p>
        </w:tc>
        <w:tc>
          <w:tcPr>
            <w:tcW w:w="360" w:type="dxa"/>
            <w:vAlign w:val="bottom"/>
            <w:tcBorders>
              <w:bottom w:val="single" w:sz="8" w:color="auto"/>
            </w:tcBorders>
          </w:tcPr>
          <w:p>
            <w:pPr>
              <w:spacing w:after="0"/>
              <w:rPr>
                <w:sz w:val="17"/>
                <w:szCs w:val="17"/>
                <w:color w:val="auto"/>
              </w:rPr>
            </w:pPr>
          </w:p>
        </w:tc>
      </w:tr>
    </w:tbl>
    <w:p>
      <w:pPr>
        <w:sectPr>
          <w:pgSz w:w="11900" w:h="16838" w:orient="portrait"/>
          <w:cols w:equalWidth="0" w:num="1">
            <w:col w:w="10020"/>
          </w:cols>
          <w:pgMar w:left="1440" w:top="121" w:right="439"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6620" w:type="dxa"/>
            <w:vAlign w:val="bottom"/>
            <w:tcBorders>
              <w:bottom w:val="single" w:sz="8" w:color="0000EE"/>
            </w:tcBorders>
            <w:gridSpan w:val="33"/>
          </w:tcPr>
          <w:p>
            <w:pPr>
              <w:spacing w:after="0"/>
              <w:rPr>
                <w:rFonts w:ascii="Arial" w:cs="Arial" w:eastAsia="Arial" w:hAnsi="Arial"/>
                <w:sz w:val="18"/>
                <w:szCs w:val="18"/>
                <w:color w:val="0000EE"/>
                <w:w w:val="97"/>
              </w:rPr>
            </w:pPr>
            <w:hyperlink w:anchor="page123">
              <w:r>
                <w:rPr>
                  <w:rFonts w:ascii="Arial" w:cs="Arial" w:eastAsia="Arial" w:hAnsi="Arial"/>
                  <w:sz w:val="18"/>
                  <w:szCs w:val="18"/>
                  <w:color w:val="0000EE"/>
                  <w:w w:val="97"/>
                </w:rPr>
                <w:t>ARTICLE I DEFINITIONS AND OTHER PROVISIONS OF GENERAL APPLICATION</w:t>
              </w:r>
            </w:hyperlink>
          </w:p>
        </w:tc>
        <w:tc>
          <w:tcPr>
            <w:tcW w:w="2020" w:type="dxa"/>
            <w:vAlign w:val="bottom"/>
          </w:tcPr>
          <w:p>
            <w:pPr>
              <w:spacing w:after="0"/>
              <w:rPr>
                <w:sz w:val="23"/>
                <w:szCs w:val="23"/>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360" w:type="dxa"/>
            <w:vAlign w:val="bottom"/>
          </w:tcPr>
          <w:p>
            <w:pPr>
              <w:spacing w:after="0"/>
              <w:rPr>
                <w:sz w:val="24"/>
                <w:szCs w:val="24"/>
                <w:color w:val="auto"/>
              </w:rPr>
            </w:pPr>
          </w:p>
        </w:tc>
        <w:tc>
          <w:tcPr>
            <w:tcW w:w="860" w:type="dxa"/>
            <w:vAlign w:val="bottom"/>
          </w:tcPr>
          <w:p>
            <w:pPr>
              <w:spacing w:after="0"/>
              <w:rPr>
                <w:rFonts w:ascii="Arial" w:cs="Arial" w:eastAsia="Arial" w:hAnsi="Arial"/>
                <w:sz w:val="18"/>
                <w:szCs w:val="18"/>
                <w:color w:val="0000EE"/>
                <w:w w:val="88"/>
              </w:rPr>
            </w:pPr>
            <w:hyperlink w:anchor="page123">
              <w:r>
                <w:rPr>
                  <w:rFonts w:ascii="Arial" w:cs="Arial" w:eastAsia="Arial" w:hAnsi="Arial"/>
                  <w:sz w:val="18"/>
                  <w:szCs w:val="18"/>
                  <w:color w:val="0000EE"/>
                  <w:w w:val="88"/>
                </w:rPr>
                <w:t>Section 1.1.</w:t>
              </w:r>
            </w:hyperlink>
          </w:p>
        </w:tc>
        <w:tc>
          <w:tcPr>
            <w:tcW w:w="80" w:type="dxa"/>
            <w:vAlign w:val="bottom"/>
          </w:tcPr>
          <w:p>
            <w:pPr>
              <w:spacing w:after="0"/>
              <w:rPr>
                <w:sz w:val="24"/>
                <w:szCs w:val="24"/>
                <w:color w:val="auto"/>
              </w:rPr>
            </w:pPr>
          </w:p>
        </w:tc>
        <w:tc>
          <w:tcPr>
            <w:tcW w:w="7340" w:type="dxa"/>
            <w:vAlign w:val="bottom"/>
            <w:gridSpan w:val="31"/>
          </w:tcPr>
          <w:p>
            <w:pPr>
              <w:ind w:left="560"/>
              <w:spacing w:after="0"/>
              <w:rPr>
                <w:rFonts w:ascii="Arial" w:cs="Arial" w:eastAsia="Arial" w:hAnsi="Arial"/>
                <w:sz w:val="18"/>
                <w:szCs w:val="18"/>
                <w:color w:val="0000EE"/>
              </w:rPr>
            </w:pPr>
            <w:hyperlink w:anchor="page123">
              <w:r>
                <w:rPr>
                  <w:rFonts w:ascii="Arial" w:cs="Arial" w:eastAsia="Arial" w:hAnsi="Arial"/>
                  <w:sz w:val="18"/>
                  <w:szCs w:val="18"/>
                  <w:color w:val="0000EE"/>
                </w:rPr>
                <w:t>Definitions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30">
              <w:r>
                <w:rPr>
                  <w:rFonts w:ascii="Arial" w:cs="Arial" w:eastAsia="Arial" w:hAnsi="Arial"/>
                  <w:sz w:val="18"/>
                  <w:szCs w:val="18"/>
                  <w:color w:val="0000EE"/>
                  <w:w w:val="88"/>
                </w:rPr>
                <w:t>Section 1.2.</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Compliance Certificates and Opinions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30">
              <w:r>
                <w:rPr>
                  <w:rFonts w:ascii="Arial" w:cs="Arial" w:eastAsia="Arial" w:hAnsi="Arial"/>
                  <w:sz w:val="18"/>
                  <w:szCs w:val="18"/>
                  <w:color w:val="0000EE"/>
                  <w:w w:val="88"/>
                </w:rPr>
                <w:t>Section 1.3.</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Form of Documents Delivered to Trustee</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31">
              <w:r>
                <w:rPr>
                  <w:rFonts w:ascii="Arial" w:cs="Arial" w:eastAsia="Arial" w:hAnsi="Arial"/>
                  <w:sz w:val="18"/>
                  <w:szCs w:val="18"/>
                  <w:color w:val="0000EE"/>
                  <w:w w:val="88"/>
                </w:rPr>
                <w:t>Section 1.4.</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Acts of Holders; Record Dates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33">
              <w:r>
                <w:rPr>
                  <w:rFonts w:ascii="Arial" w:cs="Arial" w:eastAsia="Arial" w:hAnsi="Arial"/>
                  <w:sz w:val="18"/>
                  <w:szCs w:val="18"/>
                  <w:color w:val="0000EE"/>
                  <w:w w:val="88"/>
                </w:rPr>
                <w:t>Section 1.5.</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Notices, Etc., to Trustee and Company</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33">
              <w:r>
                <w:rPr>
                  <w:rFonts w:ascii="Arial" w:cs="Arial" w:eastAsia="Arial" w:hAnsi="Arial"/>
                  <w:sz w:val="18"/>
                  <w:szCs w:val="18"/>
                  <w:color w:val="0000EE"/>
                  <w:w w:val="88"/>
                </w:rPr>
                <w:t>Section 1.6.</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Notice to Holders; Waiver</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33">
              <w:r>
                <w:rPr>
                  <w:rFonts w:ascii="Arial" w:cs="Arial" w:eastAsia="Arial" w:hAnsi="Arial"/>
                  <w:sz w:val="18"/>
                  <w:szCs w:val="18"/>
                  <w:color w:val="0000EE"/>
                  <w:w w:val="88"/>
                </w:rPr>
                <w:t>Section 1.7.</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Conflict with Trust Indenture Act</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34">
              <w:r>
                <w:rPr>
                  <w:rFonts w:ascii="Arial" w:cs="Arial" w:eastAsia="Arial" w:hAnsi="Arial"/>
                  <w:sz w:val="18"/>
                  <w:szCs w:val="18"/>
                  <w:color w:val="0000EE"/>
                  <w:w w:val="88"/>
                </w:rPr>
                <w:t>Section 1.8.</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Effect of Headings and Table of Contents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34">
              <w:r>
                <w:rPr>
                  <w:rFonts w:ascii="Arial" w:cs="Arial" w:eastAsia="Arial" w:hAnsi="Arial"/>
                  <w:sz w:val="18"/>
                  <w:szCs w:val="18"/>
                  <w:color w:val="0000EE"/>
                  <w:w w:val="88"/>
                </w:rPr>
                <w:t>Section 1.9.</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Successors and Assigns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7"/>
              </w:rPr>
            </w:pPr>
            <w:hyperlink w:anchor="page134">
              <w:r>
                <w:rPr>
                  <w:rFonts w:ascii="Arial" w:cs="Arial" w:eastAsia="Arial" w:hAnsi="Arial"/>
                  <w:sz w:val="18"/>
                  <w:szCs w:val="18"/>
                  <w:color w:val="0000EE"/>
                  <w:w w:val="87"/>
                </w:rPr>
                <w:t>Section 1.10.</w:t>
              </w:r>
            </w:hyperlink>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Separability Clause</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7"/>
              </w:rPr>
            </w:pPr>
            <w:hyperlink w:anchor="page134">
              <w:r>
                <w:rPr>
                  <w:rFonts w:ascii="Arial" w:cs="Arial" w:eastAsia="Arial" w:hAnsi="Arial"/>
                  <w:sz w:val="18"/>
                  <w:szCs w:val="18"/>
                  <w:color w:val="0000EE"/>
                  <w:w w:val="87"/>
                </w:rPr>
                <w:t>Section 1.11.</w:t>
              </w:r>
            </w:hyperlink>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Benefits of Indenture</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7"/>
              </w:rPr>
            </w:pPr>
            <w:hyperlink w:anchor="page134">
              <w:r>
                <w:rPr>
                  <w:rFonts w:ascii="Arial" w:cs="Arial" w:eastAsia="Arial" w:hAnsi="Arial"/>
                  <w:sz w:val="18"/>
                  <w:szCs w:val="18"/>
                  <w:color w:val="0000EE"/>
                  <w:w w:val="87"/>
                </w:rPr>
                <w:t>Section 1.12.</w:t>
              </w:r>
            </w:hyperlink>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Governing Law</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7"/>
              </w:rPr>
            </w:pPr>
            <w:hyperlink w:anchor="page134">
              <w:r>
                <w:rPr>
                  <w:rFonts w:ascii="Arial" w:cs="Arial" w:eastAsia="Arial" w:hAnsi="Arial"/>
                  <w:sz w:val="18"/>
                  <w:szCs w:val="18"/>
                  <w:color w:val="0000EE"/>
                  <w:w w:val="87"/>
                </w:rPr>
                <w:t>Section 1.13.</w:t>
              </w:r>
            </w:hyperlink>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Legal Holidays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7"/>
              </w:rPr>
            </w:pPr>
            <w:hyperlink w:anchor="page134">
              <w:r>
                <w:rPr>
                  <w:rFonts w:ascii="Arial" w:cs="Arial" w:eastAsia="Arial" w:hAnsi="Arial"/>
                  <w:sz w:val="18"/>
                  <w:szCs w:val="18"/>
                  <w:color w:val="0000EE"/>
                  <w:w w:val="87"/>
                </w:rPr>
                <w:t>Section 1.14.</w:t>
              </w:r>
            </w:hyperlink>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No Recourse Against Others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250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135">
              <w:r>
                <w:rPr>
                  <w:rFonts w:ascii="Arial" w:cs="Arial" w:eastAsia="Arial" w:hAnsi="Arial"/>
                  <w:sz w:val="18"/>
                  <w:szCs w:val="18"/>
                  <w:color w:val="0000EE"/>
                  <w:w w:val="96"/>
                </w:rPr>
                <w:t>ARTICLE II SECURITY FORMS</w:t>
              </w:r>
            </w:hyperlink>
          </w:p>
        </w:tc>
        <w:tc>
          <w:tcPr>
            <w:tcW w:w="6140" w:type="dxa"/>
            <w:vAlign w:val="bottom"/>
            <w:gridSpan w:val="28"/>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360" w:type="dxa"/>
            <w:vAlign w:val="bottom"/>
          </w:tcPr>
          <w:p>
            <w:pPr>
              <w:spacing w:after="0"/>
              <w:rPr>
                <w:sz w:val="24"/>
                <w:szCs w:val="24"/>
                <w:color w:val="auto"/>
              </w:rPr>
            </w:pPr>
          </w:p>
        </w:tc>
        <w:tc>
          <w:tcPr>
            <w:tcW w:w="860" w:type="dxa"/>
            <w:vAlign w:val="bottom"/>
          </w:tcPr>
          <w:p>
            <w:pPr>
              <w:spacing w:after="0"/>
              <w:rPr>
                <w:rFonts w:ascii="Arial" w:cs="Arial" w:eastAsia="Arial" w:hAnsi="Arial"/>
                <w:sz w:val="18"/>
                <w:szCs w:val="18"/>
                <w:color w:val="0000EE"/>
                <w:w w:val="88"/>
              </w:rPr>
            </w:pPr>
            <w:hyperlink w:anchor="page135">
              <w:r>
                <w:rPr>
                  <w:rFonts w:ascii="Arial" w:cs="Arial" w:eastAsia="Arial" w:hAnsi="Arial"/>
                  <w:sz w:val="18"/>
                  <w:szCs w:val="18"/>
                  <w:color w:val="0000EE"/>
                  <w:w w:val="88"/>
                </w:rPr>
                <w:t>Section 2.1.</w:t>
              </w:r>
            </w:hyperlink>
          </w:p>
        </w:tc>
        <w:tc>
          <w:tcPr>
            <w:tcW w:w="80" w:type="dxa"/>
            <w:vAlign w:val="bottom"/>
          </w:tcPr>
          <w:p>
            <w:pPr>
              <w:spacing w:after="0"/>
              <w:rPr>
                <w:sz w:val="24"/>
                <w:szCs w:val="24"/>
                <w:color w:val="auto"/>
              </w:rPr>
            </w:pPr>
          </w:p>
        </w:tc>
        <w:tc>
          <w:tcPr>
            <w:tcW w:w="7340" w:type="dxa"/>
            <w:vAlign w:val="bottom"/>
            <w:gridSpan w:val="31"/>
          </w:tcPr>
          <w:p>
            <w:pPr>
              <w:ind w:left="560"/>
              <w:spacing w:after="0"/>
              <w:rPr>
                <w:rFonts w:ascii="Arial" w:cs="Arial" w:eastAsia="Arial" w:hAnsi="Arial"/>
                <w:sz w:val="18"/>
                <w:szCs w:val="18"/>
                <w:color w:val="0000EE"/>
              </w:rPr>
            </w:pPr>
            <w:hyperlink w:anchor="page135">
              <w:r>
                <w:rPr>
                  <w:rFonts w:ascii="Arial" w:cs="Arial" w:eastAsia="Arial" w:hAnsi="Arial"/>
                  <w:sz w:val="18"/>
                  <w:szCs w:val="18"/>
                  <w:color w:val="0000EE"/>
                </w:rPr>
                <w:t>Forms Generally</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35">
              <w:r>
                <w:rPr>
                  <w:rFonts w:ascii="Arial" w:cs="Arial" w:eastAsia="Arial" w:hAnsi="Arial"/>
                  <w:sz w:val="18"/>
                  <w:szCs w:val="18"/>
                  <w:color w:val="0000EE"/>
                  <w:w w:val="88"/>
                </w:rPr>
                <w:t>Section 2.2.</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Form of Face of Security</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37">
              <w:r>
                <w:rPr>
                  <w:rFonts w:ascii="Arial" w:cs="Arial" w:eastAsia="Arial" w:hAnsi="Arial"/>
                  <w:sz w:val="18"/>
                  <w:szCs w:val="18"/>
                  <w:color w:val="0000EE"/>
                  <w:w w:val="88"/>
                </w:rPr>
                <w:t>Section 2.3.</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Form of Reverse of Security</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41">
              <w:r>
                <w:rPr>
                  <w:rFonts w:ascii="Arial" w:cs="Arial" w:eastAsia="Arial" w:hAnsi="Arial"/>
                  <w:sz w:val="18"/>
                  <w:szCs w:val="18"/>
                  <w:color w:val="0000EE"/>
                  <w:w w:val="88"/>
                </w:rPr>
                <w:t>Section 2.4.</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Form of Notation of Subsidiary Guarantee</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41">
              <w:r>
                <w:rPr>
                  <w:rFonts w:ascii="Arial" w:cs="Arial" w:eastAsia="Arial" w:hAnsi="Arial"/>
                  <w:sz w:val="18"/>
                  <w:szCs w:val="18"/>
                  <w:color w:val="0000EE"/>
                  <w:w w:val="88"/>
                </w:rPr>
                <w:t>Section 2.5.</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Form of Legend for Global Securities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42">
              <w:r>
                <w:rPr>
                  <w:rFonts w:ascii="Arial" w:cs="Arial" w:eastAsia="Arial" w:hAnsi="Arial"/>
                  <w:sz w:val="18"/>
                  <w:szCs w:val="18"/>
                  <w:color w:val="0000EE"/>
                  <w:w w:val="88"/>
                </w:rPr>
                <w:t>Section 2.6.</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Form of Trustee’s Certificate of Authentication</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42">
              <w:r>
                <w:rPr>
                  <w:rFonts w:ascii="Arial" w:cs="Arial" w:eastAsia="Arial" w:hAnsi="Arial"/>
                  <w:sz w:val="18"/>
                  <w:szCs w:val="18"/>
                  <w:color w:val="0000EE"/>
                  <w:w w:val="88"/>
                </w:rPr>
                <w:t>Section 2.7.</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Form of Conversion Notice</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244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143">
              <w:r>
                <w:rPr>
                  <w:rFonts w:ascii="Arial" w:cs="Arial" w:eastAsia="Arial" w:hAnsi="Arial"/>
                  <w:sz w:val="18"/>
                  <w:szCs w:val="18"/>
                  <w:color w:val="0000EE"/>
                  <w:w w:val="96"/>
                </w:rPr>
                <w:t>ARTICLE III THE SECURITIES</w:t>
              </w:r>
            </w:hyperlink>
          </w:p>
        </w:tc>
        <w:tc>
          <w:tcPr>
            <w:tcW w:w="6200" w:type="dxa"/>
            <w:vAlign w:val="bottom"/>
            <w:gridSpan w:val="29"/>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360" w:type="dxa"/>
            <w:vAlign w:val="bottom"/>
          </w:tcPr>
          <w:p>
            <w:pPr>
              <w:spacing w:after="0"/>
              <w:rPr>
                <w:sz w:val="24"/>
                <w:szCs w:val="24"/>
                <w:color w:val="auto"/>
              </w:rPr>
            </w:pPr>
          </w:p>
        </w:tc>
        <w:tc>
          <w:tcPr>
            <w:tcW w:w="860" w:type="dxa"/>
            <w:vAlign w:val="bottom"/>
          </w:tcPr>
          <w:p>
            <w:pPr>
              <w:spacing w:after="0"/>
              <w:rPr>
                <w:rFonts w:ascii="Arial" w:cs="Arial" w:eastAsia="Arial" w:hAnsi="Arial"/>
                <w:sz w:val="18"/>
                <w:szCs w:val="18"/>
                <w:color w:val="0000EE"/>
                <w:w w:val="88"/>
              </w:rPr>
            </w:pPr>
            <w:hyperlink w:anchor="page143">
              <w:r>
                <w:rPr>
                  <w:rFonts w:ascii="Arial" w:cs="Arial" w:eastAsia="Arial" w:hAnsi="Arial"/>
                  <w:sz w:val="18"/>
                  <w:szCs w:val="18"/>
                  <w:color w:val="0000EE"/>
                  <w:w w:val="88"/>
                </w:rPr>
                <w:t>Section 3.1.</w:t>
              </w:r>
            </w:hyperlink>
          </w:p>
        </w:tc>
        <w:tc>
          <w:tcPr>
            <w:tcW w:w="80" w:type="dxa"/>
            <w:vAlign w:val="bottom"/>
          </w:tcPr>
          <w:p>
            <w:pPr>
              <w:spacing w:after="0"/>
              <w:rPr>
                <w:sz w:val="24"/>
                <w:szCs w:val="24"/>
                <w:color w:val="auto"/>
              </w:rPr>
            </w:pPr>
          </w:p>
        </w:tc>
        <w:tc>
          <w:tcPr>
            <w:tcW w:w="7340" w:type="dxa"/>
            <w:vAlign w:val="bottom"/>
            <w:gridSpan w:val="31"/>
          </w:tcPr>
          <w:p>
            <w:pPr>
              <w:ind w:left="560"/>
              <w:spacing w:after="0"/>
              <w:rPr>
                <w:rFonts w:ascii="Arial" w:cs="Arial" w:eastAsia="Arial" w:hAnsi="Arial"/>
                <w:sz w:val="18"/>
                <w:szCs w:val="18"/>
                <w:color w:val="0000EE"/>
              </w:rPr>
            </w:pPr>
            <w:hyperlink w:anchor="page143">
              <w:r>
                <w:rPr>
                  <w:rFonts w:ascii="Arial" w:cs="Arial" w:eastAsia="Arial" w:hAnsi="Arial"/>
                  <w:sz w:val="18"/>
                  <w:szCs w:val="18"/>
                  <w:color w:val="0000EE"/>
                </w:rPr>
                <w:t>Amount Unlimited; Issuable in Series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45">
              <w:r>
                <w:rPr>
                  <w:rFonts w:ascii="Arial" w:cs="Arial" w:eastAsia="Arial" w:hAnsi="Arial"/>
                  <w:sz w:val="18"/>
                  <w:szCs w:val="18"/>
                  <w:color w:val="0000EE"/>
                  <w:w w:val="88"/>
                </w:rPr>
                <w:t>Section 3.2.</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Denominations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46">
              <w:r>
                <w:rPr>
                  <w:rFonts w:ascii="Arial" w:cs="Arial" w:eastAsia="Arial" w:hAnsi="Arial"/>
                  <w:sz w:val="18"/>
                  <w:szCs w:val="18"/>
                  <w:color w:val="0000EE"/>
                  <w:w w:val="88"/>
                </w:rPr>
                <w:t>Section 3.3.</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Execution, Authentication, Delivery and Dating</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tcBorders>
            <w:gridSpan w:val="5"/>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47">
              <w:r>
                <w:rPr>
                  <w:rFonts w:ascii="Arial" w:cs="Arial" w:eastAsia="Arial" w:hAnsi="Arial"/>
                  <w:sz w:val="18"/>
                  <w:szCs w:val="18"/>
                  <w:color w:val="0000EE"/>
                  <w:w w:val="88"/>
                </w:rPr>
                <w:t>Section 3.4.</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Temporary Securities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48">
              <w:r>
                <w:rPr>
                  <w:rFonts w:ascii="Arial" w:cs="Arial" w:eastAsia="Arial" w:hAnsi="Arial"/>
                  <w:sz w:val="18"/>
                  <w:szCs w:val="18"/>
                  <w:color w:val="0000EE"/>
                  <w:w w:val="88"/>
                </w:rPr>
                <w:t>Section 3.5.</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Registration, Registration of Transfer and Exchange</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820" w:type="dxa"/>
            <w:vAlign w:val="bottom"/>
            <w:gridSpan w:val="7"/>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tcBorders>
            <w:gridSpan w:val="5"/>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49">
              <w:r>
                <w:rPr>
                  <w:rFonts w:ascii="Arial" w:cs="Arial" w:eastAsia="Arial" w:hAnsi="Arial"/>
                  <w:sz w:val="18"/>
                  <w:szCs w:val="18"/>
                  <w:color w:val="0000EE"/>
                  <w:w w:val="88"/>
                </w:rPr>
                <w:t>Section 3.6.</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Mutilated, Destroyed, Lost and Stolen Securities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820" w:type="dxa"/>
            <w:vAlign w:val="bottom"/>
            <w:gridSpan w:val="7"/>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tcBorders>
            <w:gridSpan w:val="5"/>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50">
              <w:r>
                <w:rPr>
                  <w:rFonts w:ascii="Arial" w:cs="Arial" w:eastAsia="Arial" w:hAnsi="Arial"/>
                  <w:sz w:val="18"/>
                  <w:szCs w:val="18"/>
                  <w:color w:val="0000EE"/>
                  <w:w w:val="88"/>
                </w:rPr>
                <w:t>Section 3.7.</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Payment of Interest; Interest Rights Preserved</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820" w:type="dxa"/>
            <w:vAlign w:val="bottom"/>
            <w:gridSpan w:val="7"/>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tcBorders>
            <w:gridSpan w:val="5"/>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51">
              <w:r>
                <w:rPr>
                  <w:rFonts w:ascii="Arial" w:cs="Arial" w:eastAsia="Arial" w:hAnsi="Arial"/>
                  <w:sz w:val="18"/>
                  <w:szCs w:val="18"/>
                  <w:color w:val="0000EE"/>
                  <w:w w:val="88"/>
                </w:rPr>
                <w:t>Section 3.8.</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Persons Deemed Owners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82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940" w:type="dxa"/>
            <w:vAlign w:val="bottom"/>
            <w:gridSpan w:val="1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51">
              <w:r>
                <w:rPr>
                  <w:rFonts w:ascii="Arial" w:cs="Arial" w:eastAsia="Arial" w:hAnsi="Arial"/>
                  <w:sz w:val="18"/>
                  <w:szCs w:val="18"/>
                  <w:color w:val="0000EE"/>
                  <w:w w:val="88"/>
                </w:rPr>
                <w:t>Section 3.9.</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Cancellation</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940" w:type="dxa"/>
            <w:vAlign w:val="bottom"/>
            <w:gridSpan w:val="1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7"/>
              </w:rPr>
            </w:pPr>
            <w:hyperlink w:anchor="page151">
              <w:r>
                <w:rPr>
                  <w:rFonts w:ascii="Arial" w:cs="Arial" w:eastAsia="Arial" w:hAnsi="Arial"/>
                  <w:sz w:val="18"/>
                  <w:szCs w:val="18"/>
                  <w:color w:val="0000EE"/>
                  <w:w w:val="87"/>
                </w:rPr>
                <w:t>Section 3.10.</w:t>
              </w:r>
            </w:hyperlink>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Computation of Interest</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gridSpan w:val="11"/>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940" w:type="dxa"/>
            <w:vAlign w:val="bottom"/>
            <w:gridSpan w:val="1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8640" w:type="dxa"/>
            <w:vAlign w:val="bottom"/>
            <w:gridSpan w:val="34"/>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ARTICLE IV SATISFACTION AND DISCHARGE</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3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480" w:type="dxa"/>
            <w:vAlign w:val="bottom"/>
            <w:gridSpan w:val="1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940" w:type="dxa"/>
            <w:vAlign w:val="bottom"/>
            <w:gridSpan w:val="1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60" w:type="dxa"/>
            <w:vAlign w:val="bottom"/>
          </w:tcPr>
          <w:p>
            <w:pPr>
              <w:spacing w:after="0"/>
              <w:rPr>
                <w:rFonts w:ascii="Arial" w:cs="Arial" w:eastAsia="Arial" w:hAnsi="Arial"/>
                <w:sz w:val="18"/>
                <w:szCs w:val="18"/>
                <w:color w:val="0000EE"/>
                <w:w w:val="88"/>
              </w:rPr>
            </w:pPr>
            <w:hyperlink w:anchor="page152">
              <w:r>
                <w:rPr>
                  <w:rFonts w:ascii="Arial" w:cs="Arial" w:eastAsia="Arial" w:hAnsi="Arial"/>
                  <w:sz w:val="18"/>
                  <w:szCs w:val="18"/>
                  <w:color w:val="0000EE"/>
                  <w:w w:val="88"/>
                </w:rPr>
                <w:t>Section 4.1.</w:t>
              </w:r>
            </w:hyperlink>
          </w:p>
        </w:tc>
        <w:tc>
          <w:tcPr>
            <w:tcW w:w="80" w:type="dxa"/>
            <w:vAlign w:val="bottom"/>
          </w:tcPr>
          <w:p>
            <w:pPr>
              <w:spacing w:after="0"/>
              <w:rPr>
                <w:sz w:val="24"/>
                <w:szCs w:val="24"/>
                <w:color w:val="auto"/>
              </w:rPr>
            </w:pPr>
          </w:p>
        </w:tc>
        <w:tc>
          <w:tcPr>
            <w:tcW w:w="7340" w:type="dxa"/>
            <w:vAlign w:val="bottom"/>
            <w:gridSpan w:val="31"/>
          </w:tcPr>
          <w:p>
            <w:pPr>
              <w:ind w:left="560"/>
              <w:spacing w:after="0"/>
              <w:rPr>
                <w:rFonts w:ascii="Arial" w:cs="Arial" w:eastAsia="Arial" w:hAnsi="Arial"/>
                <w:sz w:val="18"/>
                <w:szCs w:val="18"/>
                <w:color w:val="0000EE"/>
              </w:rPr>
            </w:pPr>
            <w:hyperlink w:anchor="page152">
              <w:r>
                <w:rPr>
                  <w:rFonts w:ascii="Arial" w:cs="Arial" w:eastAsia="Arial" w:hAnsi="Arial"/>
                  <w:sz w:val="18"/>
                  <w:szCs w:val="18"/>
                  <w:color w:val="0000EE"/>
                </w:rPr>
                <w:t>Satisfaction and Discharge of Indenture</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15"/>
            <w:shd w:val="clear" w:color="auto" w:fill="0000EE"/>
          </w:tcPr>
          <w:p>
            <w:pPr>
              <w:spacing w:after="0" w:line="20" w:lineRule="exact"/>
              <w:rPr>
                <w:sz w:val="1"/>
                <w:szCs w:val="1"/>
                <w:color w:val="auto"/>
              </w:rPr>
            </w:pPr>
          </w:p>
        </w:tc>
        <w:tc>
          <w:tcPr>
            <w:tcW w:w="820" w:type="dxa"/>
            <w:vAlign w:val="bottom"/>
            <w:tcBorders>
              <w:left w:val="single" w:sz="8" w:color="0000EE"/>
            </w:tcBorders>
            <w:gridSpan w:val="5"/>
            <w:shd w:val="clear" w:color="auto" w:fill="0000EE"/>
          </w:tcPr>
          <w:p>
            <w:pPr>
              <w:spacing w:after="0" w:line="20" w:lineRule="exact"/>
              <w:rPr>
                <w:sz w:val="1"/>
                <w:szCs w:val="1"/>
                <w:color w:val="auto"/>
              </w:rPr>
            </w:pPr>
          </w:p>
        </w:tc>
        <w:tc>
          <w:tcPr>
            <w:tcW w:w="3940" w:type="dxa"/>
            <w:vAlign w:val="bottom"/>
            <w:gridSpan w:val="1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53">
              <w:r>
                <w:rPr>
                  <w:rFonts w:ascii="Arial" w:cs="Arial" w:eastAsia="Arial" w:hAnsi="Arial"/>
                  <w:sz w:val="18"/>
                  <w:szCs w:val="18"/>
                  <w:color w:val="0000EE"/>
                  <w:w w:val="88"/>
                </w:rPr>
                <w:t>Section 4.2.</w:t>
              </w:r>
            </w:hyperlink>
          </w:p>
        </w:tc>
        <w:tc>
          <w:tcPr>
            <w:tcW w:w="80" w:type="dxa"/>
            <w:vAlign w:val="bottom"/>
          </w:tcPr>
          <w:p>
            <w:pPr>
              <w:spacing w:after="0"/>
              <w:rPr>
                <w:sz w:val="17"/>
                <w:szCs w:val="17"/>
                <w:color w:val="auto"/>
              </w:rPr>
            </w:pPr>
          </w:p>
        </w:tc>
        <w:tc>
          <w:tcPr>
            <w:tcW w:w="7340" w:type="dxa"/>
            <w:vAlign w:val="bottom"/>
            <w:gridSpan w:val="31"/>
          </w:tcPr>
          <w:p>
            <w:pPr>
              <w:ind w:left="560"/>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Application of Trust Money</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188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153">
              <w:r>
                <w:rPr>
                  <w:rFonts w:ascii="Arial" w:cs="Arial" w:eastAsia="Arial" w:hAnsi="Arial"/>
                  <w:sz w:val="18"/>
                  <w:szCs w:val="18"/>
                  <w:color w:val="0000EE"/>
                  <w:w w:val="95"/>
                </w:rPr>
                <w:t>ARTICLE V REMEDIES</w:t>
              </w:r>
            </w:hyperlink>
          </w:p>
        </w:tc>
        <w:tc>
          <w:tcPr>
            <w:tcW w:w="7240" w:type="dxa"/>
            <w:vAlign w:val="bottom"/>
            <w:gridSpan w:val="29"/>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360" w:type="dxa"/>
            <w:vAlign w:val="bottom"/>
          </w:tcPr>
          <w:p>
            <w:pPr>
              <w:spacing w:after="0"/>
              <w:rPr>
                <w:sz w:val="24"/>
                <w:szCs w:val="24"/>
                <w:color w:val="auto"/>
              </w:rPr>
            </w:pPr>
          </w:p>
        </w:tc>
        <w:tc>
          <w:tcPr>
            <w:tcW w:w="860" w:type="dxa"/>
            <w:vAlign w:val="bottom"/>
          </w:tcPr>
          <w:p>
            <w:pPr>
              <w:spacing w:after="0"/>
              <w:rPr>
                <w:rFonts w:ascii="Arial" w:cs="Arial" w:eastAsia="Arial" w:hAnsi="Arial"/>
                <w:sz w:val="18"/>
                <w:szCs w:val="18"/>
                <w:color w:val="0000EE"/>
                <w:w w:val="88"/>
              </w:rPr>
            </w:pPr>
            <w:hyperlink w:anchor="page153">
              <w:r>
                <w:rPr>
                  <w:rFonts w:ascii="Arial" w:cs="Arial" w:eastAsia="Arial" w:hAnsi="Arial"/>
                  <w:sz w:val="18"/>
                  <w:szCs w:val="18"/>
                  <w:color w:val="0000EE"/>
                  <w:w w:val="88"/>
                </w:rPr>
                <w:t>Section 5.1.</w:t>
              </w:r>
            </w:hyperlink>
          </w:p>
        </w:tc>
        <w:tc>
          <w:tcPr>
            <w:tcW w:w="80" w:type="dxa"/>
            <w:vAlign w:val="bottom"/>
          </w:tcPr>
          <w:p>
            <w:pPr>
              <w:spacing w:after="0"/>
              <w:rPr>
                <w:sz w:val="24"/>
                <w:szCs w:val="24"/>
                <w:color w:val="auto"/>
              </w:rPr>
            </w:pPr>
          </w:p>
        </w:tc>
        <w:tc>
          <w:tcPr>
            <w:tcW w:w="7820" w:type="dxa"/>
            <w:vAlign w:val="bottom"/>
            <w:gridSpan w:val="30"/>
          </w:tcPr>
          <w:p>
            <w:pPr>
              <w:ind w:left="560"/>
              <w:spacing w:after="0"/>
              <w:rPr>
                <w:rFonts w:ascii="Arial" w:cs="Arial" w:eastAsia="Arial" w:hAnsi="Arial"/>
                <w:sz w:val="18"/>
                <w:szCs w:val="18"/>
                <w:color w:val="0000EE"/>
              </w:rPr>
            </w:pPr>
            <w:hyperlink w:anchor="page153">
              <w:r>
                <w:rPr>
                  <w:rFonts w:ascii="Arial" w:cs="Arial" w:eastAsia="Arial" w:hAnsi="Arial"/>
                  <w:sz w:val="18"/>
                  <w:szCs w:val="18"/>
                  <w:color w:val="0000EE"/>
                </w:rPr>
                <w:t>Events of Default</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55">
              <w:r>
                <w:rPr>
                  <w:rFonts w:ascii="Arial" w:cs="Arial" w:eastAsia="Arial" w:hAnsi="Arial"/>
                  <w:sz w:val="18"/>
                  <w:szCs w:val="18"/>
                  <w:color w:val="0000EE"/>
                  <w:w w:val="88"/>
                </w:rPr>
                <w:t>Section 5.2.</w:t>
              </w:r>
            </w:hyperlink>
          </w:p>
        </w:tc>
        <w:tc>
          <w:tcPr>
            <w:tcW w:w="80" w:type="dxa"/>
            <w:vAlign w:val="bottom"/>
          </w:tcPr>
          <w:p>
            <w:pPr>
              <w:spacing w:after="0"/>
              <w:rPr>
                <w:sz w:val="17"/>
                <w:szCs w:val="17"/>
                <w:color w:val="auto"/>
              </w:rPr>
            </w:pPr>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Acceleration of Maturity; Rescission and Annulment</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56">
              <w:r>
                <w:rPr>
                  <w:rFonts w:ascii="Arial" w:cs="Arial" w:eastAsia="Arial" w:hAnsi="Arial"/>
                  <w:sz w:val="18"/>
                  <w:szCs w:val="18"/>
                  <w:color w:val="0000EE"/>
                  <w:w w:val="88"/>
                </w:rPr>
                <w:t>Section 5.3.</w:t>
              </w:r>
            </w:hyperlink>
          </w:p>
        </w:tc>
        <w:tc>
          <w:tcPr>
            <w:tcW w:w="80" w:type="dxa"/>
            <w:vAlign w:val="bottom"/>
          </w:tcPr>
          <w:p>
            <w:pPr>
              <w:spacing w:after="0"/>
              <w:rPr>
                <w:sz w:val="17"/>
                <w:szCs w:val="17"/>
                <w:color w:val="auto"/>
              </w:rPr>
            </w:pPr>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Collection of Indebtedness and Suits for Enforcement by Trustee</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56">
              <w:r>
                <w:rPr>
                  <w:rFonts w:ascii="Arial" w:cs="Arial" w:eastAsia="Arial" w:hAnsi="Arial"/>
                  <w:sz w:val="18"/>
                  <w:szCs w:val="18"/>
                  <w:color w:val="0000EE"/>
                  <w:w w:val="88"/>
                </w:rPr>
                <w:t>Section 5.4.</w:t>
              </w:r>
            </w:hyperlink>
          </w:p>
        </w:tc>
        <w:tc>
          <w:tcPr>
            <w:tcW w:w="80" w:type="dxa"/>
            <w:vAlign w:val="bottom"/>
          </w:tcPr>
          <w:p>
            <w:pPr>
              <w:spacing w:after="0"/>
              <w:rPr>
                <w:sz w:val="17"/>
                <w:szCs w:val="17"/>
                <w:color w:val="auto"/>
              </w:rPr>
            </w:pPr>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Trustee May File Proofs of Claim</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57">
              <w:r>
                <w:rPr>
                  <w:rFonts w:ascii="Arial" w:cs="Arial" w:eastAsia="Arial" w:hAnsi="Arial"/>
                  <w:sz w:val="18"/>
                  <w:szCs w:val="18"/>
                  <w:color w:val="0000EE"/>
                  <w:w w:val="88"/>
                </w:rPr>
                <w:t>Section 5.5.</w:t>
              </w:r>
            </w:hyperlink>
          </w:p>
        </w:tc>
        <w:tc>
          <w:tcPr>
            <w:tcW w:w="80" w:type="dxa"/>
            <w:vAlign w:val="bottom"/>
          </w:tcPr>
          <w:p>
            <w:pPr>
              <w:spacing w:after="0"/>
              <w:rPr>
                <w:sz w:val="17"/>
                <w:szCs w:val="17"/>
                <w:color w:val="auto"/>
              </w:rPr>
            </w:pPr>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Trustee May Enforce Claims Without Possession of Securities</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57">
              <w:r>
                <w:rPr>
                  <w:rFonts w:ascii="Arial" w:cs="Arial" w:eastAsia="Arial" w:hAnsi="Arial"/>
                  <w:sz w:val="18"/>
                  <w:szCs w:val="18"/>
                  <w:color w:val="0000EE"/>
                  <w:w w:val="88"/>
                </w:rPr>
                <w:t>Section 5.6.</w:t>
              </w:r>
            </w:hyperlink>
          </w:p>
        </w:tc>
        <w:tc>
          <w:tcPr>
            <w:tcW w:w="80" w:type="dxa"/>
            <w:vAlign w:val="bottom"/>
          </w:tcPr>
          <w:p>
            <w:pPr>
              <w:spacing w:after="0"/>
              <w:rPr>
                <w:sz w:val="17"/>
                <w:szCs w:val="17"/>
                <w:color w:val="auto"/>
              </w:rPr>
            </w:pPr>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Application of Money Collected</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0000EE"/>
                <w:w w:val="88"/>
              </w:rPr>
              <w:t>Section 5.7.</w:t>
            </w:r>
          </w:p>
        </w:tc>
        <w:tc>
          <w:tcPr>
            <w:tcW w:w="80" w:type="dxa"/>
            <w:vAlign w:val="bottom"/>
          </w:tcPr>
          <w:p>
            <w:pPr>
              <w:spacing w:after="0"/>
              <w:rPr>
                <w:sz w:val="17"/>
                <w:szCs w:val="17"/>
                <w:color w:val="auto"/>
              </w:rPr>
            </w:pPr>
          </w:p>
        </w:tc>
        <w:tc>
          <w:tcPr>
            <w:tcW w:w="7820" w:type="dxa"/>
            <w:vAlign w:val="bottom"/>
            <w:gridSpan w:val="30"/>
          </w:tcPr>
          <w:p>
            <w:pPr>
              <w:ind w:left="560"/>
              <w:spacing w:after="0" w:line="196" w:lineRule="exact"/>
              <w:rPr>
                <w:sz w:val="20"/>
                <w:szCs w:val="20"/>
                <w:color w:val="auto"/>
              </w:rPr>
            </w:pPr>
            <w:r>
              <w:rPr>
                <w:rFonts w:ascii="Arial" w:cs="Arial" w:eastAsia="Arial" w:hAnsi="Arial"/>
                <w:sz w:val="18"/>
                <w:szCs w:val="18"/>
                <w:color w:val="0000EE"/>
              </w:rPr>
              <w:t>Limitation on Suits</w:t>
            </w:r>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58">
              <w:r>
                <w:rPr>
                  <w:rFonts w:ascii="Arial" w:cs="Arial" w:eastAsia="Arial" w:hAnsi="Arial"/>
                  <w:sz w:val="18"/>
                  <w:szCs w:val="18"/>
                  <w:color w:val="0000EE"/>
                  <w:w w:val="88"/>
                </w:rPr>
                <w:t>Section 5.8.</w:t>
              </w:r>
            </w:hyperlink>
          </w:p>
        </w:tc>
        <w:tc>
          <w:tcPr>
            <w:tcW w:w="80" w:type="dxa"/>
            <w:vAlign w:val="bottom"/>
          </w:tcPr>
          <w:p>
            <w:pPr>
              <w:spacing w:after="0"/>
              <w:rPr>
                <w:sz w:val="17"/>
                <w:szCs w:val="17"/>
                <w:color w:val="auto"/>
              </w:rPr>
            </w:pPr>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Unconditional Right of Holders to Receive Principal, Premium and Interest</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58">
              <w:r>
                <w:rPr>
                  <w:rFonts w:ascii="Arial" w:cs="Arial" w:eastAsia="Arial" w:hAnsi="Arial"/>
                  <w:sz w:val="18"/>
                  <w:szCs w:val="18"/>
                  <w:color w:val="0000EE"/>
                  <w:w w:val="88"/>
                </w:rPr>
                <w:t>Section 5.9.</w:t>
              </w:r>
            </w:hyperlink>
          </w:p>
        </w:tc>
        <w:tc>
          <w:tcPr>
            <w:tcW w:w="80" w:type="dxa"/>
            <w:vAlign w:val="bottom"/>
          </w:tcPr>
          <w:p>
            <w:pPr>
              <w:spacing w:after="0"/>
              <w:rPr>
                <w:sz w:val="17"/>
                <w:szCs w:val="17"/>
                <w:color w:val="auto"/>
              </w:rPr>
            </w:pPr>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Restoration of Rights and Remedies</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7"/>
              </w:rPr>
            </w:pPr>
            <w:hyperlink w:anchor="page159">
              <w:r>
                <w:rPr>
                  <w:rFonts w:ascii="Arial" w:cs="Arial" w:eastAsia="Arial" w:hAnsi="Arial"/>
                  <w:sz w:val="18"/>
                  <w:szCs w:val="18"/>
                  <w:color w:val="0000EE"/>
                  <w:w w:val="87"/>
                </w:rPr>
                <w:t>Section 5.10.</w:t>
              </w:r>
            </w:hyperlink>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Rights and Remedies Cumulative</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7"/>
              </w:rPr>
            </w:pPr>
            <w:hyperlink w:anchor="page159">
              <w:r>
                <w:rPr>
                  <w:rFonts w:ascii="Arial" w:cs="Arial" w:eastAsia="Arial" w:hAnsi="Arial"/>
                  <w:sz w:val="18"/>
                  <w:szCs w:val="18"/>
                  <w:color w:val="0000EE"/>
                  <w:w w:val="87"/>
                </w:rPr>
                <w:t>Section 5.11.</w:t>
              </w:r>
            </w:hyperlink>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Delay or Omission Not Waiver</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7"/>
              </w:rPr>
            </w:pPr>
            <w:hyperlink w:anchor="page159">
              <w:r>
                <w:rPr>
                  <w:rFonts w:ascii="Arial" w:cs="Arial" w:eastAsia="Arial" w:hAnsi="Arial"/>
                  <w:sz w:val="18"/>
                  <w:szCs w:val="18"/>
                  <w:color w:val="0000EE"/>
                  <w:w w:val="87"/>
                </w:rPr>
                <w:t>Section 5.12.</w:t>
              </w:r>
            </w:hyperlink>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Control by Holders</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7"/>
              </w:rPr>
            </w:pPr>
            <w:hyperlink w:anchor="page159">
              <w:r>
                <w:rPr>
                  <w:rFonts w:ascii="Arial" w:cs="Arial" w:eastAsia="Arial" w:hAnsi="Arial"/>
                  <w:sz w:val="18"/>
                  <w:szCs w:val="18"/>
                  <w:color w:val="0000EE"/>
                  <w:w w:val="87"/>
                </w:rPr>
                <w:t>Section 5.13.</w:t>
              </w:r>
            </w:hyperlink>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Waiver of Past Defaults</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7"/>
              </w:rPr>
            </w:pPr>
            <w:hyperlink w:anchor="page160">
              <w:r>
                <w:rPr>
                  <w:rFonts w:ascii="Arial" w:cs="Arial" w:eastAsia="Arial" w:hAnsi="Arial"/>
                  <w:sz w:val="18"/>
                  <w:szCs w:val="18"/>
                  <w:color w:val="0000EE"/>
                  <w:w w:val="87"/>
                </w:rPr>
                <w:t>Section 5.14.</w:t>
              </w:r>
            </w:hyperlink>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Undertaking for Costs</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7"/>
              </w:rPr>
            </w:pPr>
            <w:hyperlink w:anchor="page160">
              <w:r>
                <w:rPr>
                  <w:rFonts w:ascii="Arial" w:cs="Arial" w:eastAsia="Arial" w:hAnsi="Arial"/>
                  <w:sz w:val="18"/>
                  <w:szCs w:val="18"/>
                  <w:color w:val="0000EE"/>
                  <w:w w:val="87"/>
                </w:rPr>
                <w:t>Section 5.15.</w:t>
              </w:r>
            </w:hyperlink>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Waiver of Usury, Stay or Extension Laws</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04"/>
        </w:trPr>
        <w:tc>
          <w:tcPr>
            <w:tcW w:w="222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160">
              <w:r>
                <w:rPr>
                  <w:rFonts w:ascii="Arial" w:cs="Arial" w:eastAsia="Arial" w:hAnsi="Arial"/>
                  <w:sz w:val="18"/>
                  <w:szCs w:val="18"/>
                  <w:color w:val="0000EE"/>
                  <w:w w:val="96"/>
                </w:rPr>
                <w:t>ARTICLE VI THE TRUSTEE</w:t>
              </w:r>
            </w:hyperlink>
          </w:p>
        </w:tc>
        <w:tc>
          <w:tcPr>
            <w:tcW w:w="6900" w:type="dxa"/>
            <w:vAlign w:val="bottom"/>
            <w:gridSpan w:val="28"/>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360" w:type="dxa"/>
            <w:vAlign w:val="bottom"/>
          </w:tcPr>
          <w:p>
            <w:pPr>
              <w:spacing w:after="0"/>
              <w:rPr>
                <w:sz w:val="24"/>
                <w:szCs w:val="24"/>
                <w:color w:val="auto"/>
              </w:rPr>
            </w:pPr>
          </w:p>
        </w:tc>
        <w:tc>
          <w:tcPr>
            <w:tcW w:w="860" w:type="dxa"/>
            <w:vAlign w:val="bottom"/>
          </w:tcPr>
          <w:p>
            <w:pPr>
              <w:spacing w:after="0"/>
              <w:rPr>
                <w:rFonts w:ascii="Arial" w:cs="Arial" w:eastAsia="Arial" w:hAnsi="Arial"/>
                <w:sz w:val="18"/>
                <w:szCs w:val="18"/>
                <w:color w:val="0000EE"/>
                <w:w w:val="88"/>
              </w:rPr>
            </w:pPr>
            <w:hyperlink w:anchor="page160">
              <w:r>
                <w:rPr>
                  <w:rFonts w:ascii="Arial" w:cs="Arial" w:eastAsia="Arial" w:hAnsi="Arial"/>
                  <w:sz w:val="18"/>
                  <w:szCs w:val="18"/>
                  <w:color w:val="0000EE"/>
                  <w:w w:val="88"/>
                </w:rPr>
                <w:t>Section 6.1.</w:t>
              </w:r>
            </w:hyperlink>
          </w:p>
        </w:tc>
        <w:tc>
          <w:tcPr>
            <w:tcW w:w="80" w:type="dxa"/>
            <w:vAlign w:val="bottom"/>
          </w:tcPr>
          <w:p>
            <w:pPr>
              <w:spacing w:after="0"/>
              <w:rPr>
                <w:sz w:val="24"/>
                <w:szCs w:val="24"/>
                <w:color w:val="auto"/>
              </w:rPr>
            </w:pPr>
          </w:p>
        </w:tc>
        <w:tc>
          <w:tcPr>
            <w:tcW w:w="7820" w:type="dxa"/>
            <w:vAlign w:val="bottom"/>
            <w:gridSpan w:val="30"/>
          </w:tcPr>
          <w:p>
            <w:pPr>
              <w:ind w:left="560"/>
              <w:spacing w:after="0"/>
              <w:rPr>
                <w:rFonts w:ascii="Arial" w:cs="Arial" w:eastAsia="Arial" w:hAnsi="Arial"/>
                <w:sz w:val="18"/>
                <w:szCs w:val="18"/>
                <w:color w:val="0000EE"/>
              </w:rPr>
            </w:pPr>
            <w:hyperlink w:anchor="page160">
              <w:r>
                <w:rPr>
                  <w:rFonts w:ascii="Arial" w:cs="Arial" w:eastAsia="Arial" w:hAnsi="Arial"/>
                  <w:sz w:val="18"/>
                  <w:szCs w:val="18"/>
                  <w:color w:val="0000EE"/>
                </w:rPr>
                <w:t>Certain Duties and Responsibilities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60">
              <w:r>
                <w:rPr>
                  <w:rFonts w:ascii="Arial" w:cs="Arial" w:eastAsia="Arial" w:hAnsi="Arial"/>
                  <w:sz w:val="18"/>
                  <w:szCs w:val="18"/>
                  <w:color w:val="0000EE"/>
                  <w:w w:val="88"/>
                </w:rPr>
                <w:t>Section 6.2.</w:t>
              </w:r>
            </w:hyperlink>
          </w:p>
        </w:tc>
        <w:tc>
          <w:tcPr>
            <w:tcW w:w="80" w:type="dxa"/>
            <w:vAlign w:val="bottom"/>
          </w:tcPr>
          <w:p>
            <w:pPr>
              <w:spacing w:after="0"/>
              <w:rPr>
                <w:sz w:val="17"/>
                <w:szCs w:val="17"/>
                <w:color w:val="auto"/>
              </w:rPr>
            </w:pPr>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Notice of Defaults</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61">
              <w:r>
                <w:rPr>
                  <w:rFonts w:ascii="Arial" w:cs="Arial" w:eastAsia="Arial" w:hAnsi="Arial"/>
                  <w:sz w:val="18"/>
                  <w:szCs w:val="18"/>
                  <w:color w:val="0000EE"/>
                  <w:w w:val="88"/>
                </w:rPr>
                <w:t>Section 6.3.</w:t>
              </w:r>
            </w:hyperlink>
          </w:p>
        </w:tc>
        <w:tc>
          <w:tcPr>
            <w:tcW w:w="80" w:type="dxa"/>
            <w:vAlign w:val="bottom"/>
          </w:tcPr>
          <w:p>
            <w:pPr>
              <w:spacing w:after="0"/>
              <w:rPr>
                <w:sz w:val="17"/>
                <w:szCs w:val="17"/>
                <w:color w:val="auto"/>
              </w:rPr>
            </w:pPr>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Certain Rights of Trustee</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62">
              <w:r>
                <w:rPr>
                  <w:rFonts w:ascii="Arial" w:cs="Arial" w:eastAsia="Arial" w:hAnsi="Arial"/>
                  <w:sz w:val="18"/>
                  <w:szCs w:val="18"/>
                  <w:color w:val="0000EE"/>
                  <w:w w:val="88"/>
                </w:rPr>
                <w:t>Section 6.4.</w:t>
              </w:r>
            </w:hyperlink>
          </w:p>
        </w:tc>
        <w:tc>
          <w:tcPr>
            <w:tcW w:w="80" w:type="dxa"/>
            <w:vAlign w:val="bottom"/>
          </w:tcPr>
          <w:p>
            <w:pPr>
              <w:spacing w:after="0"/>
              <w:rPr>
                <w:sz w:val="17"/>
                <w:szCs w:val="17"/>
                <w:color w:val="auto"/>
              </w:rPr>
            </w:pPr>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Not Responsible for Recitals or Issuance of Securities</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gridSpan w:val="6"/>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62">
              <w:r>
                <w:rPr>
                  <w:rFonts w:ascii="Arial" w:cs="Arial" w:eastAsia="Arial" w:hAnsi="Arial"/>
                  <w:sz w:val="18"/>
                  <w:szCs w:val="18"/>
                  <w:color w:val="0000EE"/>
                  <w:w w:val="88"/>
                </w:rPr>
                <w:t>Section 6.5.</w:t>
              </w:r>
            </w:hyperlink>
          </w:p>
        </w:tc>
        <w:tc>
          <w:tcPr>
            <w:tcW w:w="80" w:type="dxa"/>
            <w:vAlign w:val="bottom"/>
          </w:tcPr>
          <w:p>
            <w:pPr>
              <w:spacing w:after="0"/>
              <w:rPr>
                <w:sz w:val="17"/>
                <w:szCs w:val="17"/>
                <w:color w:val="auto"/>
              </w:rPr>
            </w:pPr>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May Hold Securities</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62">
              <w:r>
                <w:rPr>
                  <w:rFonts w:ascii="Arial" w:cs="Arial" w:eastAsia="Arial" w:hAnsi="Arial"/>
                  <w:sz w:val="18"/>
                  <w:szCs w:val="18"/>
                  <w:color w:val="0000EE"/>
                  <w:w w:val="88"/>
                </w:rPr>
                <w:t>Section 6.6.</w:t>
              </w:r>
            </w:hyperlink>
          </w:p>
        </w:tc>
        <w:tc>
          <w:tcPr>
            <w:tcW w:w="80" w:type="dxa"/>
            <w:vAlign w:val="bottom"/>
          </w:tcPr>
          <w:p>
            <w:pPr>
              <w:spacing w:after="0"/>
              <w:rPr>
                <w:sz w:val="17"/>
                <w:szCs w:val="17"/>
                <w:color w:val="auto"/>
              </w:rPr>
            </w:pPr>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Money Held in Trust</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62">
              <w:r>
                <w:rPr>
                  <w:rFonts w:ascii="Arial" w:cs="Arial" w:eastAsia="Arial" w:hAnsi="Arial"/>
                  <w:sz w:val="18"/>
                  <w:szCs w:val="18"/>
                  <w:color w:val="0000EE"/>
                  <w:w w:val="88"/>
                </w:rPr>
                <w:t>Section 6.7.</w:t>
              </w:r>
            </w:hyperlink>
          </w:p>
        </w:tc>
        <w:tc>
          <w:tcPr>
            <w:tcW w:w="80" w:type="dxa"/>
            <w:vAlign w:val="bottom"/>
          </w:tcPr>
          <w:p>
            <w:pPr>
              <w:spacing w:after="0"/>
              <w:rPr>
                <w:sz w:val="17"/>
                <w:szCs w:val="17"/>
                <w:color w:val="auto"/>
              </w:rPr>
            </w:pPr>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Compensation and Reimbursement</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left w:val="single" w:sz="8" w:color="0000EE"/>
            </w:tcBorders>
            <w:gridSpan w:val="6"/>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62">
              <w:r>
                <w:rPr>
                  <w:rFonts w:ascii="Arial" w:cs="Arial" w:eastAsia="Arial" w:hAnsi="Arial"/>
                  <w:sz w:val="18"/>
                  <w:szCs w:val="18"/>
                  <w:color w:val="0000EE"/>
                  <w:w w:val="88"/>
                </w:rPr>
                <w:t>Section 6.8.</w:t>
              </w:r>
            </w:hyperlink>
          </w:p>
        </w:tc>
        <w:tc>
          <w:tcPr>
            <w:tcW w:w="80" w:type="dxa"/>
            <w:vAlign w:val="bottom"/>
          </w:tcPr>
          <w:p>
            <w:pPr>
              <w:spacing w:after="0"/>
              <w:rPr>
                <w:sz w:val="17"/>
                <w:szCs w:val="17"/>
                <w:color w:val="auto"/>
              </w:rPr>
            </w:pPr>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Conflicting Interests</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63">
              <w:r>
                <w:rPr>
                  <w:rFonts w:ascii="Arial" w:cs="Arial" w:eastAsia="Arial" w:hAnsi="Arial"/>
                  <w:sz w:val="18"/>
                  <w:szCs w:val="18"/>
                  <w:color w:val="0000EE"/>
                  <w:w w:val="88"/>
                </w:rPr>
                <w:t>Section 6.9.</w:t>
              </w:r>
            </w:hyperlink>
          </w:p>
        </w:tc>
        <w:tc>
          <w:tcPr>
            <w:tcW w:w="80" w:type="dxa"/>
            <w:vAlign w:val="bottom"/>
          </w:tcPr>
          <w:p>
            <w:pPr>
              <w:spacing w:after="0"/>
              <w:rPr>
                <w:sz w:val="17"/>
                <w:szCs w:val="17"/>
                <w:color w:val="auto"/>
              </w:rPr>
            </w:pPr>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Corporate Trustee Required; Eligibility</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tcBorders>
              <w:left w:val="single" w:sz="8" w:color="0000EE"/>
            </w:tcBorders>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7"/>
              </w:rPr>
            </w:pPr>
            <w:hyperlink w:anchor="page163">
              <w:r>
                <w:rPr>
                  <w:rFonts w:ascii="Arial" w:cs="Arial" w:eastAsia="Arial" w:hAnsi="Arial"/>
                  <w:sz w:val="18"/>
                  <w:szCs w:val="18"/>
                  <w:color w:val="0000EE"/>
                  <w:w w:val="87"/>
                </w:rPr>
                <w:t>Section 6.10.</w:t>
              </w:r>
            </w:hyperlink>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Resignation and Removal; Appointment of Successor</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tcBorders>
              <w:left w:val="single" w:sz="8" w:color="0000EE"/>
            </w:tcBorders>
            <w:gridSpan w:val="8"/>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7"/>
              </w:rPr>
            </w:pPr>
            <w:hyperlink w:anchor="page164">
              <w:r>
                <w:rPr>
                  <w:rFonts w:ascii="Arial" w:cs="Arial" w:eastAsia="Arial" w:hAnsi="Arial"/>
                  <w:sz w:val="18"/>
                  <w:szCs w:val="18"/>
                  <w:color w:val="0000EE"/>
                  <w:w w:val="87"/>
                </w:rPr>
                <w:t>Section 6.11.</w:t>
              </w:r>
            </w:hyperlink>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Acceptance of Appointment by Successor</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tcBorders>
              <w:left w:val="single" w:sz="8" w:color="0000EE"/>
            </w:tcBorders>
            <w:gridSpan w:val="8"/>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7"/>
              </w:rPr>
            </w:pPr>
            <w:hyperlink w:anchor="page165">
              <w:r>
                <w:rPr>
                  <w:rFonts w:ascii="Arial" w:cs="Arial" w:eastAsia="Arial" w:hAnsi="Arial"/>
                  <w:sz w:val="18"/>
                  <w:szCs w:val="18"/>
                  <w:color w:val="0000EE"/>
                  <w:w w:val="87"/>
                </w:rPr>
                <w:t>Section 6.12.</w:t>
              </w:r>
            </w:hyperlink>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Merger, Conversion, Consolidation or Succession to Business</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tcBorders>
              <w:left w:val="single" w:sz="8" w:color="0000EE"/>
            </w:tcBorders>
            <w:gridSpan w:val="8"/>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7"/>
              </w:rPr>
            </w:pPr>
            <w:hyperlink w:anchor="page165">
              <w:r>
                <w:rPr>
                  <w:rFonts w:ascii="Arial" w:cs="Arial" w:eastAsia="Arial" w:hAnsi="Arial"/>
                  <w:sz w:val="18"/>
                  <w:szCs w:val="18"/>
                  <w:color w:val="0000EE"/>
                  <w:w w:val="87"/>
                </w:rPr>
                <w:t>Section 6.13.</w:t>
              </w:r>
            </w:hyperlink>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Preferential Collection of Claims Against Company and Subsidiary Guarantors</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tcBorders>
              <w:left w:val="single" w:sz="8" w:color="0000EE"/>
            </w:tcBorders>
            <w:gridSpan w:val="8"/>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7"/>
              </w:rPr>
            </w:pPr>
            <w:hyperlink w:anchor="page166">
              <w:r>
                <w:rPr>
                  <w:rFonts w:ascii="Arial" w:cs="Arial" w:eastAsia="Arial" w:hAnsi="Arial"/>
                  <w:sz w:val="18"/>
                  <w:szCs w:val="18"/>
                  <w:color w:val="0000EE"/>
                  <w:w w:val="87"/>
                </w:rPr>
                <w:t>Section 6.14.</w:t>
              </w:r>
            </w:hyperlink>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Appointment of Authenticating Agent</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tcBorders>
              <w:left w:val="single" w:sz="8" w:color="0000EE"/>
            </w:tcBorders>
            <w:gridSpan w:val="8"/>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04"/>
        </w:trPr>
        <w:tc>
          <w:tcPr>
            <w:tcW w:w="9120" w:type="dxa"/>
            <w:vAlign w:val="bottom"/>
            <w:gridSpan w:val="33"/>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ARTICLE VII HOLDERS’ LISTS AND REPORTS BY TRUSTEE AND COMPANY</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3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920" w:type="dxa"/>
            <w:vAlign w:val="bottom"/>
            <w:gridSpan w:val="5"/>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920" w:type="dxa"/>
            <w:vAlign w:val="bottom"/>
            <w:tcBorders>
              <w:left w:val="single" w:sz="8" w:color="0000EE"/>
            </w:tcBorders>
            <w:gridSpan w:val="1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60" w:type="dxa"/>
            <w:vAlign w:val="bottom"/>
          </w:tcPr>
          <w:p>
            <w:pPr>
              <w:spacing w:after="0"/>
              <w:rPr>
                <w:rFonts w:ascii="Arial" w:cs="Arial" w:eastAsia="Arial" w:hAnsi="Arial"/>
                <w:sz w:val="18"/>
                <w:szCs w:val="18"/>
                <w:color w:val="0000EE"/>
                <w:w w:val="88"/>
              </w:rPr>
            </w:pPr>
            <w:hyperlink w:anchor="page167">
              <w:r>
                <w:rPr>
                  <w:rFonts w:ascii="Arial" w:cs="Arial" w:eastAsia="Arial" w:hAnsi="Arial"/>
                  <w:sz w:val="18"/>
                  <w:szCs w:val="18"/>
                  <w:color w:val="0000EE"/>
                  <w:w w:val="88"/>
                </w:rPr>
                <w:t>Section 7.1.</w:t>
              </w:r>
            </w:hyperlink>
          </w:p>
        </w:tc>
        <w:tc>
          <w:tcPr>
            <w:tcW w:w="80" w:type="dxa"/>
            <w:vAlign w:val="bottom"/>
          </w:tcPr>
          <w:p>
            <w:pPr>
              <w:spacing w:after="0"/>
              <w:rPr>
                <w:sz w:val="24"/>
                <w:szCs w:val="24"/>
                <w:color w:val="auto"/>
              </w:rPr>
            </w:pPr>
          </w:p>
        </w:tc>
        <w:tc>
          <w:tcPr>
            <w:tcW w:w="7820" w:type="dxa"/>
            <w:vAlign w:val="bottom"/>
            <w:gridSpan w:val="30"/>
          </w:tcPr>
          <w:p>
            <w:pPr>
              <w:ind w:left="560"/>
              <w:spacing w:after="0"/>
              <w:rPr>
                <w:rFonts w:ascii="Arial" w:cs="Arial" w:eastAsia="Arial" w:hAnsi="Arial"/>
                <w:sz w:val="18"/>
                <w:szCs w:val="18"/>
                <w:color w:val="0000EE"/>
              </w:rPr>
            </w:pPr>
            <w:hyperlink w:anchor="page167">
              <w:r>
                <w:rPr>
                  <w:rFonts w:ascii="Arial" w:cs="Arial" w:eastAsia="Arial" w:hAnsi="Arial"/>
                  <w:sz w:val="18"/>
                  <w:szCs w:val="18"/>
                  <w:color w:val="0000EE"/>
                </w:rPr>
                <w:t>Company to Furnish Trustee Names and Addresses of Holders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920" w:type="dxa"/>
            <w:vAlign w:val="bottom"/>
            <w:tcBorders>
              <w:left w:val="single" w:sz="8" w:color="0000EE"/>
            </w:tcBorders>
            <w:gridSpan w:val="1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67">
              <w:r>
                <w:rPr>
                  <w:rFonts w:ascii="Arial" w:cs="Arial" w:eastAsia="Arial" w:hAnsi="Arial"/>
                  <w:sz w:val="18"/>
                  <w:szCs w:val="18"/>
                  <w:color w:val="0000EE"/>
                  <w:w w:val="88"/>
                </w:rPr>
                <w:t>Section 7.2.</w:t>
              </w:r>
            </w:hyperlink>
          </w:p>
        </w:tc>
        <w:tc>
          <w:tcPr>
            <w:tcW w:w="80" w:type="dxa"/>
            <w:vAlign w:val="bottom"/>
          </w:tcPr>
          <w:p>
            <w:pPr>
              <w:spacing w:after="0"/>
              <w:rPr>
                <w:sz w:val="17"/>
                <w:szCs w:val="17"/>
                <w:color w:val="auto"/>
              </w:rPr>
            </w:pPr>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Preservation of Information; Communications to Holders</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920" w:type="dxa"/>
            <w:vAlign w:val="bottom"/>
            <w:tcBorders>
              <w:left w:val="single" w:sz="8" w:color="0000EE"/>
            </w:tcBorders>
            <w:gridSpan w:val="1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40" w:type="dxa"/>
            <w:vAlign w:val="bottom"/>
            <w:tcBorders>
              <w:left w:val="single" w:sz="8" w:color="0000EE"/>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68">
              <w:r>
                <w:rPr>
                  <w:rFonts w:ascii="Arial" w:cs="Arial" w:eastAsia="Arial" w:hAnsi="Arial"/>
                  <w:sz w:val="18"/>
                  <w:szCs w:val="18"/>
                  <w:color w:val="0000EE"/>
                  <w:w w:val="88"/>
                </w:rPr>
                <w:t>Section 7.3.</w:t>
              </w:r>
            </w:hyperlink>
          </w:p>
        </w:tc>
        <w:tc>
          <w:tcPr>
            <w:tcW w:w="80" w:type="dxa"/>
            <w:vAlign w:val="bottom"/>
          </w:tcPr>
          <w:p>
            <w:pPr>
              <w:spacing w:after="0"/>
              <w:rPr>
                <w:sz w:val="17"/>
                <w:szCs w:val="17"/>
                <w:color w:val="auto"/>
              </w:rPr>
            </w:pPr>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Reports by Trustee</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920" w:type="dxa"/>
            <w:vAlign w:val="bottom"/>
            <w:gridSpan w:val="1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68">
              <w:r>
                <w:rPr>
                  <w:rFonts w:ascii="Arial" w:cs="Arial" w:eastAsia="Arial" w:hAnsi="Arial"/>
                  <w:sz w:val="18"/>
                  <w:szCs w:val="18"/>
                  <w:color w:val="0000EE"/>
                  <w:w w:val="88"/>
                </w:rPr>
                <w:t>Section 7.4.</w:t>
              </w:r>
            </w:hyperlink>
          </w:p>
        </w:tc>
        <w:tc>
          <w:tcPr>
            <w:tcW w:w="80" w:type="dxa"/>
            <w:vAlign w:val="bottom"/>
          </w:tcPr>
          <w:p>
            <w:pPr>
              <w:spacing w:after="0"/>
              <w:rPr>
                <w:sz w:val="17"/>
                <w:szCs w:val="17"/>
                <w:color w:val="auto"/>
              </w:rPr>
            </w:pPr>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Reports by Company and Subsidiary Guarantors</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920" w:type="dxa"/>
            <w:vAlign w:val="bottom"/>
            <w:tcBorders>
              <w:left w:val="single" w:sz="8" w:color="0000EE"/>
            </w:tcBorders>
            <w:gridSpan w:val="1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04"/>
        </w:trPr>
        <w:tc>
          <w:tcPr>
            <w:tcW w:w="9120" w:type="dxa"/>
            <w:vAlign w:val="bottom"/>
            <w:gridSpan w:val="33"/>
          </w:tcPr>
          <w:p>
            <w:pPr>
              <w:spacing w:after="0"/>
              <w:rPr>
                <w:rFonts w:ascii="Arial" w:cs="Arial" w:eastAsia="Arial" w:hAnsi="Arial"/>
                <w:sz w:val="18"/>
                <w:szCs w:val="18"/>
                <w:color w:val="0000EE"/>
              </w:rPr>
            </w:pPr>
            <w:hyperlink w:anchor="page168">
              <w:r>
                <w:rPr>
                  <w:rFonts w:ascii="Arial" w:cs="Arial" w:eastAsia="Arial" w:hAnsi="Arial"/>
                  <w:sz w:val="18"/>
                  <w:szCs w:val="18"/>
                  <w:color w:val="0000EE"/>
                </w:rPr>
                <w:t>ARTICLE VIII CONSOLIDATION, MERGER, CONVEYANCE, TRANSFER OR LEASE</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36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rFonts w:ascii="Arial" w:cs="Arial" w:eastAsia="Arial" w:hAnsi="Arial"/>
                <w:sz w:val="18"/>
                <w:szCs w:val="18"/>
                <w:color w:val="0000EE"/>
                <w:w w:val="88"/>
              </w:rPr>
            </w:pPr>
            <w:hyperlink w:anchor="page168">
              <w:r>
                <w:rPr>
                  <w:rFonts w:ascii="Arial" w:cs="Arial" w:eastAsia="Arial" w:hAnsi="Arial"/>
                  <w:sz w:val="18"/>
                  <w:szCs w:val="18"/>
                  <w:color w:val="0000EE"/>
                  <w:w w:val="88"/>
                </w:rPr>
                <w:t>Section 8.1.</w:t>
              </w:r>
            </w:hyperlink>
          </w:p>
        </w:tc>
        <w:tc>
          <w:tcPr>
            <w:tcW w:w="80" w:type="dxa"/>
            <w:vAlign w:val="bottom"/>
            <w:tcBorders>
              <w:top w:val="single" w:sz="8" w:color="0000EE"/>
            </w:tcBorders>
          </w:tcPr>
          <w:p>
            <w:pPr>
              <w:spacing w:after="0"/>
              <w:rPr>
                <w:sz w:val="24"/>
                <w:szCs w:val="24"/>
                <w:color w:val="auto"/>
              </w:rPr>
            </w:pPr>
          </w:p>
        </w:tc>
        <w:tc>
          <w:tcPr>
            <w:tcW w:w="5400" w:type="dxa"/>
            <w:vAlign w:val="bottom"/>
            <w:tcBorders>
              <w:top w:val="single" w:sz="8" w:color="0000EE"/>
            </w:tcBorders>
            <w:gridSpan w:val="26"/>
          </w:tcPr>
          <w:p>
            <w:pPr>
              <w:ind w:left="560"/>
              <w:spacing w:after="0"/>
              <w:rPr>
                <w:rFonts w:ascii="Arial" w:cs="Arial" w:eastAsia="Arial" w:hAnsi="Arial"/>
                <w:sz w:val="18"/>
                <w:szCs w:val="18"/>
                <w:color w:val="0000EE"/>
              </w:rPr>
            </w:pPr>
            <w:hyperlink w:anchor="page168">
              <w:r>
                <w:rPr>
                  <w:rFonts w:ascii="Arial" w:cs="Arial" w:eastAsia="Arial" w:hAnsi="Arial"/>
                  <w:sz w:val="18"/>
                  <w:szCs w:val="18"/>
                  <w:color w:val="0000EE"/>
                </w:rPr>
                <w:t>Company May Consolidate, Etc., Only on Certain Terms</w:t>
              </w:r>
            </w:hyperlink>
          </w:p>
        </w:tc>
        <w:tc>
          <w:tcPr>
            <w:tcW w:w="2420" w:type="dxa"/>
            <w:vAlign w:val="bottom"/>
            <w:gridSpan w:val="4"/>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540" w:type="dxa"/>
            <w:vAlign w:val="bottom"/>
            <w:tcBorders>
              <w:left w:val="single" w:sz="8" w:color="0000EE"/>
            </w:tcBorders>
            <w:gridSpan w:val="15"/>
            <w:shd w:val="clear" w:color="auto" w:fill="0000EE"/>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69">
              <w:r>
                <w:rPr>
                  <w:rFonts w:ascii="Arial" w:cs="Arial" w:eastAsia="Arial" w:hAnsi="Arial"/>
                  <w:sz w:val="18"/>
                  <w:szCs w:val="18"/>
                  <w:color w:val="0000EE"/>
                  <w:w w:val="88"/>
                </w:rPr>
                <w:t>Section 8.2.</w:t>
              </w:r>
            </w:hyperlink>
          </w:p>
        </w:tc>
        <w:tc>
          <w:tcPr>
            <w:tcW w:w="80" w:type="dxa"/>
            <w:vAlign w:val="bottom"/>
          </w:tcPr>
          <w:p>
            <w:pPr>
              <w:spacing w:after="0"/>
              <w:rPr>
                <w:sz w:val="17"/>
                <w:szCs w:val="17"/>
                <w:color w:val="auto"/>
              </w:rPr>
            </w:pPr>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Subsidiary Guarantors May Consolidate, Etc., Only on Certain Terms</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3440" w:type="dxa"/>
            <w:vAlign w:val="bottom"/>
            <w:tcBorders>
              <w:left w:val="single" w:sz="8" w:color="0000EE"/>
            </w:tcBorders>
            <w:gridSpan w:val="20"/>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70">
              <w:r>
                <w:rPr>
                  <w:rFonts w:ascii="Arial" w:cs="Arial" w:eastAsia="Arial" w:hAnsi="Arial"/>
                  <w:sz w:val="18"/>
                  <w:szCs w:val="18"/>
                  <w:color w:val="0000EE"/>
                  <w:w w:val="88"/>
                </w:rPr>
                <w:t>Section 8.3.</w:t>
              </w:r>
            </w:hyperlink>
          </w:p>
        </w:tc>
        <w:tc>
          <w:tcPr>
            <w:tcW w:w="80" w:type="dxa"/>
            <w:vAlign w:val="bottom"/>
          </w:tcPr>
          <w:p>
            <w:pPr>
              <w:spacing w:after="0"/>
              <w:rPr>
                <w:sz w:val="17"/>
                <w:szCs w:val="17"/>
                <w:color w:val="auto"/>
              </w:rPr>
            </w:pPr>
          </w:p>
        </w:tc>
        <w:tc>
          <w:tcPr>
            <w:tcW w:w="7820" w:type="dxa"/>
            <w:vAlign w:val="bottom"/>
            <w:gridSpan w:val="30"/>
          </w:tcPr>
          <w:p>
            <w:pPr>
              <w:ind w:left="560"/>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Successor Substituted</w:t>
              </w:r>
            </w:hyperlink>
          </w:p>
        </w:tc>
        <w:tc>
          <w:tcPr>
            <w:tcW w:w="18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65" w:right="47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360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170">
              <w:r>
                <w:rPr>
                  <w:rFonts w:ascii="Arial" w:cs="Arial" w:eastAsia="Arial" w:hAnsi="Arial"/>
                  <w:sz w:val="18"/>
                  <w:szCs w:val="18"/>
                  <w:color w:val="0000EE"/>
                  <w:w w:val="96"/>
                </w:rPr>
                <w:t>ARTICLE IX SUPPLEMENTAL INDENTURES</w:t>
              </w:r>
            </w:hyperlink>
          </w:p>
        </w:tc>
        <w:tc>
          <w:tcPr>
            <w:tcW w:w="6020" w:type="dxa"/>
            <w:vAlign w:val="bottom"/>
            <w:gridSpan w:val="22"/>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360" w:type="dxa"/>
            <w:vAlign w:val="bottom"/>
          </w:tcPr>
          <w:p>
            <w:pPr>
              <w:spacing w:after="0"/>
              <w:rPr>
                <w:sz w:val="24"/>
                <w:szCs w:val="24"/>
                <w:color w:val="auto"/>
              </w:rPr>
            </w:pPr>
          </w:p>
        </w:tc>
        <w:tc>
          <w:tcPr>
            <w:tcW w:w="860" w:type="dxa"/>
            <w:vAlign w:val="bottom"/>
          </w:tcPr>
          <w:p>
            <w:pPr>
              <w:spacing w:after="0"/>
              <w:rPr>
                <w:rFonts w:ascii="Arial" w:cs="Arial" w:eastAsia="Arial" w:hAnsi="Arial"/>
                <w:sz w:val="18"/>
                <w:szCs w:val="18"/>
                <w:color w:val="0000EE"/>
                <w:w w:val="88"/>
              </w:rPr>
            </w:pPr>
            <w:hyperlink w:anchor="page170">
              <w:r>
                <w:rPr>
                  <w:rFonts w:ascii="Arial" w:cs="Arial" w:eastAsia="Arial" w:hAnsi="Arial"/>
                  <w:sz w:val="18"/>
                  <w:szCs w:val="18"/>
                  <w:color w:val="0000EE"/>
                  <w:w w:val="88"/>
                </w:rPr>
                <w:t>Section 9.1.</w:t>
              </w:r>
            </w:hyperlink>
          </w:p>
        </w:tc>
        <w:tc>
          <w:tcPr>
            <w:tcW w:w="180" w:type="dxa"/>
            <w:vAlign w:val="bottom"/>
            <w:gridSpan w:val="2"/>
          </w:tcPr>
          <w:p>
            <w:pPr>
              <w:spacing w:after="0"/>
              <w:rPr>
                <w:sz w:val="24"/>
                <w:szCs w:val="24"/>
                <w:color w:val="auto"/>
              </w:rPr>
            </w:pPr>
          </w:p>
        </w:tc>
        <w:tc>
          <w:tcPr>
            <w:tcW w:w="8220" w:type="dxa"/>
            <w:vAlign w:val="bottom"/>
            <w:gridSpan w:val="29"/>
          </w:tcPr>
          <w:p>
            <w:pPr>
              <w:ind w:left="460"/>
              <w:spacing w:after="0"/>
              <w:rPr>
                <w:rFonts w:ascii="Arial" w:cs="Arial" w:eastAsia="Arial" w:hAnsi="Arial"/>
                <w:sz w:val="18"/>
                <w:szCs w:val="18"/>
                <w:color w:val="0000EE"/>
              </w:rPr>
            </w:pPr>
            <w:hyperlink w:anchor="page170">
              <w:r>
                <w:rPr>
                  <w:rFonts w:ascii="Arial" w:cs="Arial" w:eastAsia="Arial" w:hAnsi="Arial"/>
                  <w:sz w:val="18"/>
                  <w:szCs w:val="18"/>
                  <w:color w:val="0000EE"/>
                </w:rPr>
                <w:t>Supplemental Indentures Without Consent of Holders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72">
              <w:r>
                <w:rPr>
                  <w:rFonts w:ascii="Arial" w:cs="Arial" w:eastAsia="Arial" w:hAnsi="Arial"/>
                  <w:sz w:val="18"/>
                  <w:szCs w:val="18"/>
                  <w:color w:val="0000EE"/>
                  <w:w w:val="88"/>
                </w:rPr>
                <w:t>Section 9.2.</w:t>
              </w:r>
            </w:hyperlink>
          </w:p>
        </w:tc>
        <w:tc>
          <w:tcPr>
            <w:tcW w:w="180" w:type="dxa"/>
            <w:vAlign w:val="bottom"/>
            <w:gridSpan w:val="2"/>
          </w:tcPr>
          <w:p>
            <w:pPr>
              <w:spacing w:after="0"/>
              <w:rPr>
                <w:sz w:val="17"/>
                <w:szCs w:val="17"/>
                <w:color w:val="auto"/>
              </w:rPr>
            </w:pPr>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Supplemental Indentures With Consent of Holders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73">
              <w:r>
                <w:rPr>
                  <w:rFonts w:ascii="Arial" w:cs="Arial" w:eastAsia="Arial" w:hAnsi="Arial"/>
                  <w:sz w:val="18"/>
                  <w:szCs w:val="18"/>
                  <w:color w:val="0000EE"/>
                  <w:w w:val="88"/>
                </w:rPr>
                <w:t>Section 9.3.</w:t>
              </w:r>
            </w:hyperlink>
          </w:p>
        </w:tc>
        <w:tc>
          <w:tcPr>
            <w:tcW w:w="180" w:type="dxa"/>
            <w:vAlign w:val="bottom"/>
            <w:gridSpan w:val="2"/>
          </w:tcPr>
          <w:p>
            <w:pPr>
              <w:spacing w:after="0"/>
              <w:rPr>
                <w:sz w:val="17"/>
                <w:szCs w:val="17"/>
                <w:color w:val="auto"/>
              </w:rPr>
            </w:pPr>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Execution of Supplemental Indentures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73">
              <w:r>
                <w:rPr>
                  <w:rFonts w:ascii="Arial" w:cs="Arial" w:eastAsia="Arial" w:hAnsi="Arial"/>
                  <w:sz w:val="18"/>
                  <w:szCs w:val="18"/>
                  <w:color w:val="0000EE"/>
                  <w:w w:val="88"/>
                </w:rPr>
                <w:t>Section 9.4.</w:t>
              </w:r>
            </w:hyperlink>
          </w:p>
        </w:tc>
        <w:tc>
          <w:tcPr>
            <w:tcW w:w="180" w:type="dxa"/>
            <w:vAlign w:val="bottom"/>
            <w:gridSpan w:val="2"/>
          </w:tcPr>
          <w:p>
            <w:pPr>
              <w:spacing w:after="0"/>
              <w:rPr>
                <w:sz w:val="17"/>
                <w:szCs w:val="17"/>
                <w:color w:val="auto"/>
              </w:rPr>
            </w:pPr>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Effect of Supplemental Indentures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73">
              <w:r>
                <w:rPr>
                  <w:rFonts w:ascii="Arial" w:cs="Arial" w:eastAsia="Arial" w:hAnsi="Arial"/>
                  <w:sz w:val="18"/>
                  <w:szCs w:val="18"/>
                  <w:color w:val="0000EE"/>
                  <w:w w:val="88"/>
                </w:rPr>
                <w:t>Section 9.5.</w:t>
              </w:r>
            </w:hyperlink>
          </w:p>
        </w:tc>
        <w:tc>
          <w:tcPr>
            <w:tcW w:w="180" w:type="dxa"/>
            <w:vAlign w:val="bottom"/>
            <w:gridSpan w:val="2"/>
          </w:tcPr>
          <w:p>
            <w:pPr>
              <w:spacing w:after="0"/>
              <w:rPr>
                <w:sz w:val="17"/>
                <w:szCs w:val="17"/>
                <w:color w:val="auto"/>
              </w:rPr>
            </w:pPr>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Conformity with Trust Indenture Act</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60" w:type="dxa"/>
            <w:vAlign w:val="bottom"/>
          </w:tcPr>
          <w:p>
            <w:pPr>
              <w:spacing w:after="0" w:line="196" w:lineRule="exact"/>
              <w:rPr>
                <w:rFonts w:ascii="Arial" w:cs="Arial" w:eastAsia="Arial" w:hAnsi="Arial"/>
                <w:sz w:val="18"/>
                <w:szCs w:val="18"/>
                <w:color w:val="0000EE"/>
                <w:w w:val="88"/>
              </w:rPr>
            </w:pPr>
            <w:hyperlink w:anchor="page173">
              <w:r>
                <w:rPr>
                  <w:rFonts w:ascii="Arial" w:cs="Arial" w:eastAsia="Arial" w:hAnsi="Arial"/>
                  <w:sz w:val="18"/>
                  <w:szCs w:val="18"/>
                  <w:color w:val="0000EE"/>
                  <w:w w:val="88"/>
                </w:rPr>
                <w:t>Section 9.6.</w:t>
              </w:r>
            </w:hyperlink>
          </w:p>
        </w:tc>
        <w:tc>
          <w:tcPr>
            <w:tcW w:w="180" w:type="dxa"/>
            <w:vAlign w:val="bottom"/>
            <w:gridSpan w:val="2"/>
          </w:tcPr>
          <w:p>
            <w:pPr>
              <w:spacing w:after="0"/>
              <w:rPr>
                <w:sz w:val="17"/>
                <w:szCs w:val="17"/>
                <w:color w:val="auto"/>
              </w:rPr>
            </w:pPr>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Reference in Securities to Supplemental Indentures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04"/>
        </w:trPr>
        <w:tc>
          <w:tcPr>
            <w:tcW w:w="9620" w:type="dxa"/>
            <w:vAlign w:val="bottom"/>
            <w:gridSpan w:val="33"/>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ARTICLE X COVENANTS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3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40" w:type="dxa"/>
            <w:vAlign w:val="bottom"/>
            <w:gridSpan w:val="2"/>
          </w:tcPr>
          <w:p>
            <w:pPr>
              <w:spacing w:after="0"/>
              <w:rPr>
                <w:rFonts w:ascii="Arial" w:cs="Arial" w:eastAsia="Arial" w:hAnsi="Arial"/>
                <w:sz w:val="18"/>
                <w:szCs w:val="18"/>
                <w:color w:val="0000EE"/>
                <w:w w:val="85"/>
              </w:rPr>
            </w:pPr>
            <w:hyperlink w:anchor="page174">
              <w:r>
                <w:rPr>
                  <w:rFonts w:ascii="Arial" w:cs="Arial" w:eastAsia="Arial" w:hAnsi="Arial"/>
                  <w:sz w:val="18"/>
                  <w:szCs w:val="18"/>
                  <w:color w:val="0000EE"/>
                  <w:w w:val="85"/>
                </w:rPr>
                <w:t>Section 10.1.</w:t>
              </w:r>
            </w:hyperlink>
          </w:p>
        </w:tc>
        <w:tc>
          <w:tcPr>
            <w:tcW w:w="100" w:type="dxa"/>
            <w:vAlign w:val="bottom"/>
          </w:tcPr>
          <w:p>
            <w:pPr>
              <w:spacing w:after="0"/>
              <w:rPr>
                <w:sz w:val="24"/>
                <w:szCs w:val="24"/>
                <w:color w:val="auto"/>
              </w:rPr>
            </w:pPr>
          </w:p>
        </w:tc>
        <w:tc>
          <w:tcPr>
            <w:tcW w:w="8220" w:type="dxa"/>
            <w:vAlign w:val="bottom"/>
            <w:gridSpan w:val="29"/>
          </w:tcPr>
          <w:p>
            <w:pPr>
              <w:ind w:left="460"/>
              <w:spacing w:after="0"/>
              <w:rPr>
                <w:rFonts w:ascii="Arial" w:cs="Arial" w:eastAsia="Arial" w:hAnsi="Arial"/>
                <w:sz w:val="18"/>
                <w:szCs w:val="18"/>
                <w:color w:val="0000EE"/>
              </w:rPr>
            </w:pPr>
            <w:hyperlink w:anchor="page174">
              <w:r>
                <w:rPr>
                  <w:rFonts w:ascii="Arial" w:cs="Arial" w:eastAsia="Arial" w:hAnsi="Arial"/>
                  <w:sz w:val="18"/>
                  <w:szCs w:val="18"/>
                  <w:color w:val="0000EE"/>
                </w:rPr>
                <w:t>Payment of Principal, Premium and Interest</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5"/>
              </w:rPr>
            </w:pPr>
            <w:hyperlink w:anchor="page174">
              <w:r>
                <w:rPr>
                  <w:rFonts w:ascii="Arial" w:cs="Arial" w:eastAsia="Arial" w:hAnsi="Arial"/>
                  <w:sz w:val="18"/>
                  <w:szCs w:val="18"/>
                  <w:color w:val="0000EE"/>
                  <w:w w:val="85"/>
                </w:rPr>
                <w:t>Section 10.2.</w:t>
              </w:r>
            </w:hyperlink>
          </w:p>
        </w:tc>
        <w:tc>
          <w:tcPr>
            <w:tcW w:w="100" w:type="dxa"/>
            <w:vAlign w:val="bottom"/>
          </w:tcPr>
          <w:p>
            <w:pPr>
              <w:spacing w:after="0"/>
              <w:rPr>
                <w:sz w:val="17"/>
                <w:szCs w:val="17"/>
                <w:color w:val="auto"/>
              </w:rPr>
            </w:pPr>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Maintenance of Office or Agency</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5"/>
              </w:rPr>
            </w:pPr>
            <w:hyperlink w:anchor="page175">
              <w:r>
                <w:rPr>
                  <w:rFonts w:ascii="Arial" w:cs="Arial" w:eastAsia="Arial" w:hAnsi="Arial"/>
                  <w:sz w:val="18"/>
                  <w:szCs w:val="18"/>
                  <w:color w:val="0000EE"/>
                  <w:w w:val="85"/>
                </w:rPr>
                <w:t>Section 10.3.</w:t>
              </w:r>
            </w:hyperlink>
          </w:p>
        </w:tc>
        <w:tc>
          <w:tcPr>
            <w:tcW w:w="100" w:type="dxa"/>
            <w:vAlign w:val="bottom"/>
          </w:tcPr>
          <w:p>
            <w:pPr>
              <w:spacing w:after="0"/>
              <w:rPr>
                <w:sz w:val="17"/>
                <w:szCs w:val="17"/>
                <w:color w:val="auto"/>
              </w:rPr>
            </w:pPr>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Money for Securities Payments to Be Held in Trust</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5"/>
              </w:rPr>
            </w:pPr>
            <w:hyperlink w:anchor="page176">
              <w:r>
                <w:rPr>
                  <w:rFonts w:ascii="Arial" w:cs="Arial" w:eastAsia="Arial" w:hAnsi="Arial"/>
                  <w:sz w:val="18"/>
                  <w:szCs w:val="18"/>
                  <w:color w:val="0000EE"/>
                  <w:w w:val="85"/>
                </w:rPr>
                <w:t>Section 10.4.</w:t>
              </w:r>
            </w:hyperlink>
          </w:p>
        </w:tc>
        <w:tc>
          <w:tcPr>
            <w:tcW w:w="100" w:type="dxa"/>
            <w:vAlign w:val="bottom"/>
          </w:tcPr>
          <w:p>
            <w:pPr>
              <w:spacing w:after="0"/>
              <w:rPr>
                <w:sz w:val="17"/>
                <w:szCs w:val="17"/>
                <w:color w:val="auto"/>
              </w:rPr>
            </w:pPr>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Statement by Officers as to Default</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5"/>
              </w:rPr>
            </w:pPr>
            <w:hyperlink w:anchor="page176">
              <w:r>
                <w:rPr>
                  <w:rFonts w:ascii="Arial" w:cs="Arial" w:eastAsia="Arial" w:hAnsi="Arial"/>
                  <w:sz w:val="18"/>
                  <w:szCs w:val="18"/>
                  <w:color w:val="0000EE"/>
                  <w:w w:val="85"/>
                </w:rPr>
                <w:t>Section 10.5.</w:t>
              </w:r>
            </w:hyperlink>
          </w:p>
        </w:tc>
        <w:tc>
          <w:tcPr>
            <w:tcW w:w="100" w:type="dxa"/>
            <w:vAlign w:val="bottom"/>
          </w:tcPr>
          <w:p>
            <w:pPr>
              <w:spacing w:after="0"/>
              <w:rPr>
                <w:sz w:val="17"/>
                <w:szCs w:val="17"/>
                <w:color w:val="auto"/>
              </w:rPr>
            </w:pPr>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Existence</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5"/>
              </w:rPr>
            </w:pPr>
            <w:hyperlink w:anchor="page176">
              <w:r>
                <w:rPr>
                  <w:rFonts w:ascii="Arial" w:cs="Arial" w:eastAsia="Arial" w:hAnsi="Arial"/>
                  <w:sz w:val="18"/>
                  <w:szCs w:val="18"/>
                  <w:color w:val="0000EE"/>
                  <w:w w:val="85"/>
                </w:rPr>
                <w:t>Section 10.6.</w:t>
              </w:r>
            </w:hyperlink>
          </w:p>
        </w:tc>
        <w:tc>
          <w:tcPr>
            <w:tcW w:w="100" w:type="dxa"/>
            <w:vAlign w:val="bottom"/>
          </w:tcPr>
          <w:p>
            <w:pPr>
              <w:spacing w:after="0"/>
              <w:rPr>
                <w:sz w:val="17"/>
                <w:szCs w:val="17"/>
                <w:color w:val="auto"/>
              </w:rPr>
            </w:pPr>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Maintenance of Properties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5"/>
              </w:rPr>
            </w:pPr>
            <w:hyperlink w:anchor="page176">
              <w:r>
                <w:rPr>
                  <w:rFonts w:ascii="Arial" w:cs="Arial" w:eastAsia="Arial" w:hAnsi="Arial"/>
                  <w:sz w:val="18"/>
                  <w:szCs w:val="18"/>
                  <w:color w:val="0000EE"/>
                  <w:w w:val="85"/>
                </w:rPr>
                <w:t>Section 10.7.</w:t>
              </w:r>
            </w:hyperlink>
          </w:p>
        </w:tc>
        <w:tc>
          <w:tcPr>
            <w:tcW w:w="100" w:type="dxa"/>
            <w:vAlign w:val="bottom"/>
          </w:tcPr>
          <w:p>
            <w:pPr>
              <w:spacing w:after="0"/>
              <w:rPr>
                <w:sz w:val="17"/>
                <w:szCs w:val="17"/>
                <w:color w:val="auto"/>
              </w:rPr>
            </w:pPr>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Payment of Taxes and Other Claims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5"/>
              </w:rPr>
            </w:pPr>
            <w:hyperlink w:anchor="page177">
              <w:r>
                <w:rPr>
                  <w:rFonts w:ascii="Arial" w:cs="Arial" w:eastAsia="Arial" w:hAnsi="Arial"/>
                  <w:sz w:val="18"/>
                  <w:szCs w:val="18"/>
                  <w:color w:val="0000EE"/>
                  <w:w w:val="85"/>
                </w:rPr>
                <w:t>Section 10.8.</w:t>
              </w:r>
            </w:hyperlink>
          </w:p>
        </w:tc>
        <w:tc>
          <w:tcPr>
            <w:tcW w:w="100" w:type="dxa"/>
            <w:vAlign w:val="bottom"/>
          </w:tcPr>
          <w:p>
            <w:pPr>
              <w:spacing w:after="0"/>
              <w:rPr>
                <w:sz w:val="17"/>
                <w:szCs w:val="17"/>
                <w:color w:val="auto"/>
              </w:rPr>
            </w:pPr>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Maintenance of Insurance</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5"/>
              </w:rPr>
            </w:pPr>
            <w:hyperlink w:anchor="page177">
              <w:r>
                <w:rPr>
                  <w:rFonts w:ascii="Arial" w:cs="Arial" w:eastAsia="Arial" w:hAnsi="Arial"/>
                  <w:sz w:val="18"/>
                  <w:szCs w:val="18"/>
                  <w:color w:val="0000EE"/>
                  <w:w w:val="85"/>
                </w:rPr>
                <w:t>Section 10.9.</w:t>
              </w:r>
            </w:hyperlink>
          </w:p>
        </w:tc>
        <w:tc>
          <w:tcPr>
            <w:tcW w:w="100" w:type="dxa"/>
            <w:vAlign w:val="bottom"/>
          </w:tcPr>
          <w:p>
            <w:pPr>
              <w:spacing w:after="0"/>
              <w:rPr>
                <w:sz w:val="17"/>
                <w:szCs w:val="17"/>
                <w:color w:val="auto"/>
              </w:rPr>
            </w:pPr>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Waiver of Certain Covenants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04"/>
        </w:trPr>
        <w:tc>
          <w:tcPr>
            <w:tcW w:w="354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177">
              <w:r>
                <w:rPr>
                  <w:rFonts w:ascii="Arial" w:cs="Arial" w:eastAsia="Arial" w:hAnsi="Arial"/>
                  <w:sz w:val="18"/>
                  <w:szCs w:val="18"/>
                  <w:color w:val="0000EE"/>
                  <w:w w:val="96"/>
                </w:rPr>
                <w:t>ARTICLE XI REDEMPTION OF SECURITIES</w:t>
              </w:r>
            </w:hyperlink>
          </w:p>
        </w:tc>
        <w:tc>
          <w:tcPr>
            <w:tcW w:w="6080" w:type="dxa"/>
            <w:vAlign w:val="bottom"/>
            <w:gridSpan w:val="23"/>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360" w:type="dxa"/>
            <w:vAlign w:val="bottom"/>
          </w:tcPr>
          <w:p>
            <w:pPr>
              <w:spacing w:after="0"/>
              <w:rPr>
                <w:sz w:val="24"/>
                <w:szCs w:val="24"/>
                <w:color w:val="auto"/>
              </w:rPr>
            </w:pPr>
          </w:p>
        </w:tc>
        <w:tc>
          <w:tcPr>
            <w:tcW w:w="1040" w:type="dxa"/>
            <w:vAlign w:val="bottom"/>
            <w:gridSpan w:val="3"/>
          </w:tcPr>
          <w:p>
            <w:pPr>
              <w:spacing w:after="0"/>
              <w:rPr>
                <w:rFonts w:ascii="Arial" w:cs="Arial" w:eastAsia="Arial" w:hAnsi="Arial"/>
                <w:sz w:val="18"/>
                <w:szCs w:val="18"/>
                <w:color w:val="0000EE"/>
                <w:w w:val="97"/>
              </w:rPr>
            </w:pPr>
            <w:hyperlink w:anchor="page177">
              <w:r>
                <w:rPr>
                  <w:rFonts w:ascii="Arial" w:cs="Arial" w:eastAsia="Arial" w:hAnsi="Arial"/>
                  <w:sz w:val="18"/>
                  <w:szCs w:val="18"/>
                  <w:color w:val="0000EE"/>
                  <w:w w:val="97"/>
                </w:rPr>
                <w:t>Section 11.1.</w:t>
              </w:r>
            </w:hyperlink>
          </w:p>
        </w:tc>
        <w:tc>
          <w:tcPr>
            <w:tcW w:w="8220" w:type="dxa"/>
            <w:vAlign w:val="bottom"/>
            <w:gridSpan w:val="29"/>
          </w:tcPr>
          <w:p>
            <w:pPr>
              <w:ind w:left="460"/>
              <w:spacing w:after="0"/>
              <w:rPr>
                <w:rFonts w:ascii="Arial" w:cs="Arial" w:eastAsia="Arial" w:hAnsi="Arial"/>
                <w:sz w:val="18"/>
                <w:szCs w:val="18"/>
                <w:color w:val="0000EE"/>
              </w:rPr>
            </w:pPr>
            <w:hyperlink w:anchor="page177">
              <w:r>
                <w:rPr>
                  <w:rFonts w:ascii="Arial" w:cs="Arial" w:eastAsia="Arial" w:hAnsi="Arial"/>
                  <w:sz w:val="18"/>
                  <w:szCs w:val="18"/>
                  <w:color w:val="0000EE"/>
                </w:rPr>
                <w:t>Applicability of Article</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3"/>
          </w:tcPr>
          <w:p>
            <w:pPr>
              <w:spacing w:after="0" w:line="196" w:lineRule="exact"/>
              <w:rPr>
                <w:rFonts w:ascii="Arial" w:cs="Arial" w:eastAsia="Arial" w:hAnsi="Arial"/>
                <w:sz w:val="18"/>
                <w:szCs w:val="18"/>
                <w:color w:val="0000EE"/>
                <w:w w:val="97"/>
              </w:rPr>
            </w:pPr>
            <w:hyperlink w:anchor="page177">
              <w:r>
                <w:rPr>
                  <w:rFonts w:ascii="Arial" w:cs="Arial" w:eastAsia="Arial" w:hAnsi="Arial"/>
                  <w:sz w:val="18"/>
                  <w:szCs w:val="18"/>
                  <w:color w:val="0000EE"/>
                  <w:w w:val="97"/>
                </w:rPr>
                <w:t>Section 11.2.</w:t>
              </w:r>
            </w:hyperlink>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Election to Redeem; Notice to Trustee</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3"/>
          </w:tcPr>
          <w:p>
            <w:pPr>
              <w:spacing w:after="0" w:line="196" w:lineRule="exact"/>
              <w:rPr>
                <w:rFonts w:ascii="Arial" w:cs="Arial" w:eastAsia="Arial" w:hAnsi="Arial"/>
                <w:sz w:val="18"/>
                <w:szCs w:val="18"/>
                <w:color w:val="0000EE"/>
                <w:w w:val="97"/>
              </w:rPr>
            </w:pPr>
            <w:hyperlink w:anchor="page178">
              <w:r>
                <w:rPr>
                  <w:rFonts w:ascii="Arial" w:cs="Arial" w:eastAsia="Arial" w:hAnsi="Arial"/>
                  <w:sz w:val="18"/>
                  <w:szCs w:val="18"/>
                  <w:color w:val="0000EE"/>
                  <w:w w:val="97"/>
                </w:rPr>
                <w:t>Section 11.3.</w:t>
              </w:r>
            </w:hyperlink>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Selection by Trustee of Securities to Be Redeemed</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3"/>
          </w:tcPr>
          <w:p>
            <w:pPr>
              <w:spacing w:after="0" w:line="196" w:lineRule="exact"/>
              <w:rPr>
                <w:rFonts w:ascii="Arial" w:cs="Arial" w:eastAsia="Arial" w:hAnsi="Arial"/>
                <w:sz w:val="18"/>
                <w:szCs w:val="18"/>
                <w:color w:val="0000EE"/>
                <w:w w:val="97"/>
              </w:rPr>
            </w:pPr>
            <w:hyperlink w:anchor="page179">
              <w:r>
                <w:rPr>
                  <w:rFonts w:ascii="Arial" w:cs="Arial" w:eastAsia="Arial" w:hAnsi="Arial"/>
                  <w:sz w:val="18"/>
                  <w:szCs w:val="18"/>
                  <w:color w:val="0000EE"/>
                  <w:w w:val="97"/>
                </w:rPr>
                <w:t>Section 11.4.</w:t>
              </w:r>
            </w:hyperlink>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Notice of Redemption</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3"/>
          </w:tcPr>
          <w:p>
            <w:pPr>
              <w:spacing w:after="0" w:line="196" w:lineRule="exact"/>
              <w:rPr>
                <w:rFonts w:ascii="Arial" w:cs="Arial" w:eastAsia="Arial" w:hAnsi="Arial"/>
                <w:sz w:val="18"/>
                <w:szCs w:val="18"/>
                <w:color w:val="0000EE"/>
                <w:w w:val="97"/>
              </w:rPr>
            </w:pPr>
            <w:hyperlink w:anchor="page179">
              <w:r>
                <w:rPr>
                  <w:rFonts w:ascii="Arial" w:cs="Arial" w:eastAsia="Arial" w:hAnsi="Arial"/>
                  <w:sz w:val="18"/>
                  <w:szCs w:val="18"/>
                  <w:color w:val="0000EE"/>
                  <w:w w:val="97"/>
                </w:rPr>
                <w:t>Section 11.5.</w:t>
              </w:r>
            </w:hyperlink>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Deposit of Redemption Price</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3"/>
          </w:tcPr>
          <w:p>
            <w:pPr>
              <w:spacing w:after="0" w:line="196" w:lineRule="exact"/>
              <w:rPr>
                <w:rFonts w:ascii="Arial" w:cs="Arial" w:eastAsia="Arial" w:hAnsi="Arial"/>
                <w:sz w:val="18"/>
                <w:szCs w:val="18"/>
                <w:color w:val="0000EE"/>
                <w:w w:val="97"/>
              </w:rPr>
            </w:pPr>
            <w:hyperlink w:anchor="page180">
              <w:r>
                <w:rPr>
                  <w:rFonts w:ascii="Arial" w:cs="Arial" w:eastAsia="Arial" w:hAnsi="Arial"/>
                  <w:sz w:val="18"/>
                  <w:szCs w:val="18"/>
                  <w:color w:val="0000EE"/>
                  <w:w w:val="97"/>
                </w:rPr>
                <w:t>Section 11.6.</w:t>
              </w:r>
            </w:hyperlink>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Securities Payable on Redemption Date</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3"/>
          </w:tcPr>
          <w:p>
            <w:pPr>
              <w:spacing w:after="0" w:line="196" w:lineRule="exact"/>
              <w:rPr>
                <w:rFonts w:ascii="Arial" w:cs="Arial" w:eastAsia="Arial" w:hAnsi="Arial"/>
                <w:sz w:val="18"/>
                <w:szCs w:val="18"/>
                <w:color w:val="0000EE"/>
                <w:w w:val="97"/>
              </w:rPr>
            </w:pPr>
            <w:hyperlink w:anchor="page180">
              <w:r>
                <w:rPr>
                  <w:rFonts w:ascii="Arial" w:cs="Arial" w:eastAsia="Arial" w:hAnsi="Arial"/>
                  <w:sz w:val="18"/>
                  <w:szCs w:val="18"/>
                  <w:color w:val="0000EE"/>
                  <w:w w:val="97"/>
                </w:rPr>
                <w:t>Section 11.7.</w:t>
              </w:r>
            </w:hyperlink>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Securities Redeemed in Part</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04"/>
        </w:trPr>
        <w:tc>
          <w:tcPr>
            <w:tcW w:w="394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180">
              <w:r>
                <w:rPr>
                  <w:rFonts w:ascii="Arial" w:cs="Arial" w:eastAsia="Arial" w:hAnsi="Arial"/>
                  <w:sz w:val="18"/>
                  <w:szCs w:val="18"/>
                  <w:color w:val="0000EE"/>
                  <w:w w:val="97"/>
                </w:rPr>
                <w:t>ARTICLE XII SUBORDINATION OF SECURITIES</w:t>
              </w:r>
            </w:hyperlink>
          </w:p>
        </w:tc>
        <w:tc>
          <w:tcPr>
            <w:tcW w:w="5680" w:type="dxa"/>
            <w:vAlign w:val="bottom"/>
            <w:gridSpan w:val="19"/>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360" w:type="dxa"/>
            <w:vAlign w:val="bottom"/>
          </w:tcPr>
          <w:p>
            <w:pPr>
              <w:spacing w:after="0"/>
              <w:rPr>
                <w:sz w:val="24"/>
                <w:szCs w:val="24"/>
                <w:color w:val="auto"/>
              </w:rPr>
            </w:pPr>
          </w:p>
        </w:tc>
        <w:tc>
          <w:tcPr>
            <w:tcW w:w="940" w:type="dxa"/>
            <w:vAlign w:val="bottom"/>
            <w:gridSpan w:val="2"/>
          </w:tcPr>
          <w:p>
            <w:pPr>
              <w:spacing w:after="0"/>
              <w:rPr>
                <w:rFonts w:ascii="Arial" w:cs="Arial" w:eastAsia="Arial" w:hAnsi="Arial"/>
                <w:sz w:val="18"/>
                <w:szCs w:val="18"/>
                <w:color w:val="0000EE"/>
                <w:w w:val="85"/>
              </w:rPr>
            </w:pPr>
            <w:hyperlink w:anchor="page180">
              <w:r>
                <w:rPr>
                  <w:rFonts w:ascii="Arial" w:cs="Arial" w:eastAsia="Arial" w:hAnsi="Arial"/>
                  <w:sz w:val="18"/>
                  <w:szCs w:val="18"/>
                  <w:color w:val="0000EE"/>
                  <w:w w:val="85"/>
                </w:rPr>
                <w:t>Section 12.1.</w:t>
              </w:r>
            </w:hyperlink>
          </w:p>
        </w:tc>
        <w:tc>
          <w:tcPr>
            <w:tcW w:w="100" w:type="dxa"/>
            <w:vAlign w:val="bottom"/>
          </w:tcPr>
          <w:p>
            <w:pPr>
              <w:spacing w:after="0"/>
              <w:rPr>
                <w:sz w:val="24"/>
                <w:szCs w:val="24"/>
                <w:color w:val="auto"/>
              </w:rPr>
            </w:pPr>
          </w:p>
        </w:tc>
        <w:tc>
          <w:tcPr>
            <w:tcW w:w="8220" w:type="dxa"/>
            <w:vAlign w:val="bottom"/>
            <w:gridSpan w:val="29"/>
          </w:tcPr>
          <w:p>
            <w:pPr>
              <w:ind w:left="460"/>
              <w:spacing w:after="0"/>
              <w:rPr>
                <w:rFonts w:ascii="Arial" w:cs="Arial" w:eastAsia="Arial" w:hAnsi="Arial"/>
                <w:sz w:val="18"/>
                <w:szCs w:val="18"/>
                <w:color w:val="0000EE"/>
              </w:rPr>
            </w:pPr>
            <w:hyperlink w:anchor="page180">
              <w:r>
                <w:rPr>
                  <w:rFonts w:ascii="Arial" w:cs="Arial" w:eastAsia="Arial" w:hAnsi="Arial"/>
                  <w:sz w:val="18"/>
                  <w:szCs w:val="18"/>
                  <w:color w:val="0000EE"/>
                </w:rPr>
                <w:t>Applicability of Article</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5"/>
              </w:rPr>
            </w:pPr>
            <w:hyperlink w:anchor="page180">
              <w:r>
                <w:rPr>
                  <w:rFonts w:ascii="Arial" w:cs="Arial" w:eastAsia="Arial" w:hAnsi="Arial"/>
                  <w:sz w:val="18"/>
                  <w:szCs w:val="18"/>
                  <w:color w:val="0000EE"/>
                  <w:w w:val="85"/>
                </w:rPr>
                <w:t>Section 12.2.</w:t>
              </w:r>
            </w:hyperlink>
          </w:p>
        </w:tc>
        <w:tc>
          <w:tcPr>
            <w:tcW w:w="100" w:type="dxa"/>
            <w:vAlign w:val="bottom"/>
          </w:tcPr>
          <w:p>
            <w:pPr>
              <w:spacing w:after="0"/>
              <w:rPr>
                <w:sz w:val="17"/>
                <w:szCs w:val="17"/>
                <w:color w:val="auto"/>
              </w:rPr>
            </w:pPr>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Securities Subordinate to Senior Debt</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92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5"/>
              </w:rPr>
            </w:pPr>
            <w:hyperlink w:anchor="page181">
              <w:r>
                <w:rPr>
                  <w:rFonts w:ascii="Arial" w:cs="Arial" w:eastAsia="Arial" w:hAnsi="Arial"/>
                  <w:sz w:val="18"/>
                  <w:szCs w:val="18"/>
                  <w:color w:val="0000EE"/>
                  <w:w w:val="85"/>
                </w:rPr>
                <w:t>Section 12.3.</w:t>
              </w:r>
            </w:hyperlink>
          </w:p>
        </w:tc>
        <w:tc>
          <w:tcPr>
            <w:tcW w:w="100" w:type="dxa"/>
            <w:vAlign w:val="bottom"/>
          </w:tcPr>
          <w:p>
            <w:pPr>
              <w:spacing w:after="0"/>
              <w:rPr>
                <w:sz w:val="17"/>
                <w:szCs w:val="17"/>
                <w:color w:val="auto"/>
              </w:rPr>
            </w:pPr>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Payment Over of Proceeds Upon Dissolution, Etc</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92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5"/>
              </w:rPr>
            </w:pPr>
            <w:hyperlink w:anchor="page182">
              <w:r>
                <w:rPr>
                  <w:rFonts w:ascii="Arial" w:cs="Arial" w:eastAsia="Arial" w:hAnsi="Arial"/>
                  <w:sz w:val="18"/>
                  <w:szCs w:val="18"/>
                  <w:color w:val="0000EE"/>
                  <w:w w:val="85"/>
                </w:rPr>
                <w:t>Section 12.4.</w:t>
              </w:r>
            </w:hyperlink>
          </w:p>
        </w:tc>
        <w:tc>
          <w:tcPr>
            <w:tcW w:w="100" w:type="dxa"/>
            <w:vAlign w:val="bottom"/>
          </w:tcPr>
          <w:p>
            <w:pPr>
              <w:spacing w:after="0"/>
              <w:rPr>
                <w:sz w:val="17"/>
                <w:szCs w:val="17"/>
                <w:color w:val="auto"/>
              </w:rPr>
            </w:pPr>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No Payment When Senior Debt of the Company in Default</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92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5"/>
              </w:rPr>
            </w:pPr>
            <w:hyperlink w:anchor="page183">
              <w:r>
                <w:rPr>
                  <w:rFonts w:ascii="Arial" w:cs="Arial" w:eastAsia="Arial" w:hAnsi="Arial"/>
                  <w:sz w:val="18"/>
                  <w:szCs w:val="18"/>
                  <w:color w:val="0000EE"/>
                  <w:w w:val="85"/>
                </w:rPr>
                <w:t>Section 12.5.</w:t>
              </w:r>
            </w:hyperlink>
          </w:p>
        </w:tc>
        <w:tc>
          <w:tcPr>
            <w:tcW w:w="100" w:type="dxa"/>
            <w:vAlign w:val="bottom"/>
          </w:tcPr>
          <w:p>
            <w:pPr>
              <w:spacing w:after="0"/>
              <w:rPr>
                <w:sz w:val="17"/>
                <w:szCs w:val="17"/>
                <w:color w:val="auto"/>
              </w:rPr>
            </w:pPr>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Payment Permitted If No Default</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920" w:type="dxa"/>
            <w:vAlign w:val="bottom"/>
            <w:gridSpan w:val="7"/>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5"/>
              </w:rPr>
            </w:pPr>
            <w:hyperlink w:anchor="page183">
              <w:r>
                <w:rPr>
                  <w:rFonts w:ascii="Arial" w:cs="Arial" w:eastAsia="Arial" w:hAnsi="Arial"/>
                  <w:sz w:val="18"/>
                  <w:szCs w:val="18"/>
                  <w:color w:val="0000EE"/>
                  <w:w w:val="85"/>
                </w:rPr>
                <w:t>Section 12.6.</w:t>
              </w:r>
            </w:hyperlink>
          </w:p>
        </w:tc>
        <w:tc>
          <w:tcPr>
            <w:tcW w:w="100" w:type="dxa"/>
            <w:vAlign w:val="bottom"/>
          </w:tcPr>
          <w:p>
            <w:pPr>
              <w:spacing w:after="0"/>
              <w:rPr>
                <w:sz w:val="17"/>
                <w:szCs w:val="17"/>
                <w:color w:val="auto"/>
              </w:rPr>
            </w:pPr>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Subrogation to Rights of Holders of Senior Debt of the Company</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920" w:type="dxa"/>
            <w:vAlign w:val="bottom"/>
            <w:gridSpan w:val="7"/>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tcBorders>
              <w:left w:val="single" w:sz="8" w:color="0000EE"/>
            </w:tcBorders>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5"/>
              </w:rPr>
            </w:pPr>
            <w:hyperlink w:anchor="page184">
              <w:r>
                <w:rPr>
                  <w:rFonts w:ascii="Arial" w:cs="Arial" w:eastAsia="Arial" w:hAnsi="Arial"/>
                  <w:sz w:val="18"/>
                  <w:szCs w:val="18"/>
                  <w:color w:val="0000EE"/>
                  <w:w w:val="85"/>
                </w:rPr>
                <w:t>Section 12.7.</w:t>
              </w:r>
            </w:hyperlink>
          </w:p>
        </w:tc>
        <w:tc>
          <w:tcPr>
            <w:tcW w:w="100" w:type="dxa"/>
            <w:vAlign w:val="bottom"/>
          </w:tcPr>
          <w:p>
            <w:pPr>
              <w:spacing w:after="0"/>
              <w:rPr>
                <w:sz w:val="17"/>
                <w:szCs w:val="17"/>
                <w:color w:val="auto"/>
              </w:rPr>
            </w:pPr>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Provisions Solely to Define Relative Rights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920" w:type="dxa"/>
            <w:vAlign w:val="bottom"/>
            <w:gridSpan w:val="7"/>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5"/>
              </w:rPr>
            </w:pPr>
            <w:hyperlink w:anchor="page184">
              <w:r>
                <w:rPr>
                  <w:rFonts w:ascii="Arial" w:cs="Arial" w:eastAsia="Arial" w:hAnsi="Arial"/>
                  <w:sz w:val="18"/>
                  <w:szCs w:val="18"/>
                  <w:color w:val="0000EE"/>
                  <w:w w:val="85"/>
                </w:rPr>
                <w:t>Section 12.8.</w:t>
              </w:r>
            </w:hyperlink>
          </w:p>
        </w:tc>
        <w:tc>
          <w:tcPr>
            <w:tcW w:w="100" w:type="dxa"/>
            <w:vAlign w:val="bottom"/>
          </w:tcPr>
          <w:p>
            <w:pPr>
              <w:spacing w:after="0"/>
              <w:rPr>
                <w:sz w:val="17"/>
                <w:szCs w:val="17"/>
                <w:color w:val="auto"/>
              </w:rPr>
            </w:pPr>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Trustee to Effectuate Subordination</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920" w:type="dxa"/>
            <w:vAlign w:val="bottom"/>
            <w:gridSpan w:val="7"/>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40" w:type="dxa"/>
            <w:vAlign w:val="bottom"/>
            <w:gridSpan w:val="2"/>
          </w:tcPr>
          <w:p>
            <w:pPr>
              <w:spacing w:after="0" w:line="196" w:lineRule="exact"/>
              <w:rPr>
                <w:rFonts w:ascii="Arial" w:cs="Arial" w:eastAsia="Arial" w:hAnsi="Arial"/>
                <w:sz w:val="18"/>
                <w:szCs w:val="18"/>
                <w:color w:val="0000EE"/>
                <w:w w:val="85"/>
              </w:rPr>
            </w:pPr>
            <w:hyperlink w:anchor="page184">
              <w:r>
                <w:rPr>
                  <w:rFonts w:ascii="Arial" w:cs="Arial" w:eastAsia="Arial" w:hAnsi="Arial"/>
                  <w:sz w:val="18"/>
                  <w:szCs w:val="18"/>
                  <w:color w:val="0000EE"/>
                  <w:w w:val="85"/>
                </w:rPr>
                <w:t>Section 12.9.</w:t>
              </w:r>
            </w:hyperlink>
          </w:p>
        </w:tc>
        <w:tc>
          <w:tcPr>
            <w:tcW w:w="100" w:type="dxa"/>
            <w:vAlign w:val="bottom"/>
          </w:tcPr>
          <w:p>
            <w:pPr>
              <w:spacing w:after="0"/>
              <w:rPr>
                <w:sz w:val="17"/>
                <w:szCs w:val="17"/>
                <w:color w:val="auto"/>
              </w:rPr>
            </w:pPr>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No Waiver of Subordination Provisions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920" w:type="dxa"/>
            <w:vAlign w:val="bottom"/>
            <w:gridSpan w:val="7"/>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3"/>
          </w:tcPr>
          <w:p>
            <w:pPr>
              <w:spacing w:after="0" w:line="196" w:lineRule="exact"/>
              <w:rPr>
                <w:rFonts w:ascii="Arial" w:cs="Arial" w:eastAsia="Arial" w:hAnsi="Arial"/>
                <w:sz w:val="18"/>
                <w:szCs w:val="18"/>
                <w:color w:val="0000EE"/>
                <w:w w:val="88"/>
              </w:rPr>
            </w:pPr>
            <w:hyperlink w:anchor="page185">
              <w:r>
                <w:rPr>
                  <w:rFonts w:ascii="Arial" w:cs="Arial" w:eastAsia="Arial" w:hAnsi="Arial"/>
                  <w:sz w:val="18"/>
                  <w:szCs w:val="18"/>
                  <w:color w:val="0000EE"/>
                  <w:w w:val="88"/>
                </w:rPr>
                <w:t>Section 12.10.</w:t>
              </w:r>
            </w:hyperlink>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Notice to Trustee</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36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860" w:type="dxa"/>
            <w:vAlign w:val="bottom"/>
            <w:gridSpan w:val="9"/>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3"/>
          </w:tcPr>
          <w:p>
            <w:pPr>
              <w:spacing w:after="0" w:line="196" w:lineRule="exact"/>
              <w:rPr>
                <w:rFonts w:ascii="Arial" w:cs="Arial" w:eastAsia="Arial" w:hAnsi="Arial"/>
                <w:sz w:val="18"/>
                <w:szCs w:val="18"/>
                <w:color w:val="0000EE"/>
                <w:w w:val="88"/>
              </w:rPr>
            </w:pPr>
            <w:hyperlink w:anchor="page185">
              <w:r>
                <w:rPr>
                  <w:rFonts w:ascii="Arial" w:cs="Arial" w:eastAsia="Arial" w:hAnsi="Arial"/>
                  <w:sz w:val="18"/>
                  <w:szCs w:val="18"/>
                  <w:color w:val="0000EE"/>
                  <w:w w:val="88"/>
                </w:rPr>
                <w:t>Section 12.11.</w:t>
              </w:r>
            </w:hyperlink>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Reliance on Judicial Order or Certificate of Liquidating Agent</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36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60" w:type="dxa"/>
            <w:vAlign w:val="bottom"/>
            <w:gridSpan w:val="10"/>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860" w:type="dxa"/>
            <w:vAlign w:val="bottom"/>
            <w:tcBorders>
              <w:left w:val="single" w:sz="8" w:color="0000EE"/>
            </w:tcBorders>
            <w:gridSpan w:val="9"/>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3"/>
          </w:tcPr>
          <w:p>
            <w:pPr>
              <w:spacing w:after="0" w:line="196" w:lineRule="exact"/>
              <w:rPr>
                <w:rFonts w:ascii="Arial" w:cs="Arial" w:eastAsia="Arial" w:hAnsi="Arial"/>
                <w:sz w:val="18"/>
                <w:szCs w:val="18"/>
                <w:color w:val="0000EE"/>
                <w:w w:val="88"/>
              </w:rPr>
            </w:pPr>
            <w:hyperlink w:anchor="page186">
              <w:r>
                <w:rPr>
                  <w:rFonts w:ascii="Arial" w:cs="Arial" w:eastAsia="Arial" w:hAnsi="Arial"/>
                  <w:sz w:val="18"/>
                  <w:szCs w:val="18"/>
                  <w:color w:val="0000EE"/>
                  <w:w w:val="88"/>
                </w:rPr>
                <w:t>Section 12.12.</w:t>
              </w:r>
            </w:hyperlink>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Trustee Not Fiduciary for Holders of Senior Debt of the Company</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36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60" w:type="dxa"/>
            <w:vAlign w:val="bottom"/>
            <w:gridSpan w:val="10"/>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140" w:type="dxa"/>
            <w:vAlign w:val="bottom"/>
            <w:tcBorders>
              <w:left w:val="single" w:sz="8" w:color="0000EE"/>
            </w:tcBorders>
            <w:gridSpan w:val="11"/>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3"/>
          </w:tcPr>
          <w:p>
            <w:pPr>
              <w:spacing w:after="0" w:line="196" w:lineRule="exact"/>
              <w:rPr>
                <w:rFonts w:ascii="Arial" w:cs="Arial" w:eastAsia="Arial" w:hAnsi="Arial"/>
                <w:sz w:val="18"/>
                <w:szCs w:val="18"/>
                <w:color w:val="0000EE"/>
                <w:w w:val="88"/>
              </w:rPr>
            </w:pPr>
            <w:hyperlink w:anchor="page186">
              <w:r>
                <w:rPr>
                  <w:rFonts w:ascii="Arial" w:cs="Arial" w:eastAsia="Arial" w:hAnsi="Arial"/>
                  <w:sz w:val="18"/>
                  <w:szCs w:val="18"/>
                  <w:color w:val="0000EE"/>
                  <w:w w:val="88"/>
                </w:rPr>
                <w:t>Section 12.13.</w:t>
              </w:r>
            </w:hyperlink>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Rights of Trustee as Holder of Senior Debt of the Company; Preservation of Trustee’s Rights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36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60" w:type="dxa"/>
            <w:vAlign w:val="bottom"/>
            <w:gridSpan w:val="10"/>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4080" w:type="dxa"/>
            <w:vAlign w:val="bottom"/>
            <w:tcBorders>
              <w:left w:val="single" w:sz="8" w:color="0000EE"/>
            </w:tcBorders>
            <w:gridSpan w:val="1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3"/>
          </w:tcPr>
          <w:p>
            <w:pPr>
              <w:spacing w:after="0" w:line="196" w:lineRule="exact"/>
              <w:rPr>
                <w:rFonts w:ascii="Arial" w:cs="Arial" w:eastAsia="Arial" w:hAnsi="Arial"/>
                <w:sz w:val="18"/>
                <w:szCs w:val="18"/>
                <w:color w:val="0000EE"/>
                <w:w w:val="88"/>
              </w:rPr>
            </w:pPr>
            <w:hyperlink w:anchor="page186">
              <w:r>
                <w:rPr>
                  <w:rFonts w:ascii="Arial" w:cs="Arial" w:eastAsia="Arial" w:hAnsi="Arial"/>
                  <w:sz w:val="18"/>
                  <w:szCs w:val="18"/>
                  <w:color w:val="0000EE"/>
                  <w:w w:val="88"/>
                </w:rPr>
                <w:t>Section 12.14.</w:t>
              </w:r>
            </w:hyperlink>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Article Applicable to Paying Agents</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36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60" w:type="dxa"/>
            <w:vAlign w:val="bottom"/>
            <w:gridSpan w:val="10"/>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5140" w:type="dxa"/>
            <w:vAlign w:val="bottom"/>
            <w:gridSpan w:val="1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3"/>
          </w:tcPr>
          <w:p>
            <w:pPr>
              <w:spacing w:after="0" w:line="196" w:lineRule="exact"/>
              <w:rPr>
                <w:rFonts w:ascii="Arial" w:cs="Arial" w:eastAsia="Arial" w:hAnsi="Arial"/>
                <w:sz w:val="18"/>
                <w:szCs w:val="18"/>
                <w:color w:val="0000EE"/>
                <w:w w:val="88"/>
              </w:rPr>
            </w:pPr>
            <w:hyperlink w:anchor="page186">
              <w:r>
                <w:rPr>
                  <w:rFonts w:ascii="Arial" w:cs="Arial" w:eastAsia="Arial" w:hAnsi="Arial"/>
                  <w:sz w:val="18"/>
                  <w:szCs w:val="18"/>
                  <w:color w:val="0000EE"/>
                  <w:w w:val="88"/>
                </w:rPr>
                <w:t>Section 12.15.</w:t>
              </w:r>
            </w:hyperlink>
          </w:p>
        </w:tc>
        <w:tc>
          <w:tcPr>
            <w:tcW w:w="8220" w:type="dxa"/>
            <w:vAlign w:val="bottom"/>
            <w:gridSpan w:val="29"/>
          </w:tcPr>
          <w:p>
            <w:pPr>
              <w:ind w:left="460"/>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Defeasance of this Article XII</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65" w:right="47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10080" w:type="dxa"/>
            <w:vAlign w:val="bottom"/>
            <w:gridSpan w:val="29"/>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ARTICLE XIII SUBSIDIARY GUARANTEES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3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40" w:type="dxa"/>
            <w:vAlign w:val="bottom"/>
            <w:gridSpan w:val="2"/>
          </w:tcPr>
          <w:p>
            <w:pPr>
              <w:spacing w:after="0"/>
              <w:rPr>
                <w:rFonts w:ascii="Arial" w:cs="Arial" w:eastAsia="Arial" w:hAnsi="Arial"/>
                <w:sz w:val="18"/>
                <w:szCs w:val="18"/>
                <w:color w:val="0000EE"/>
                <w:w w:val="97"/>
              </w:rPr>
            </w:pPr>
            <w:hyperlink w:anchor="page186">
              <w:r>
                <w:rPr>
                  <w:rFonts w:ascii="Arial" w:cs="Arial" w:eastAsia="Arial" w:hAnsi="Arial"/>
                  <w:sz w:val="18"/>
                  <w:szCs w:val="18"/>
                  <w:color w:val="0000EE"/>
                  <w:w w:val="97"/>
                </w:rPr>
                <w:t>Section 13.1.</w:t>
              </w:r>
            </w:hyperlink>
          </w:p>
        </w:tc>
        <w:tc>
          <w:tcPr>
            <w:tcW w:w="8680" w:type="dxa"/>
            <w:vAlign w:val="bottom"/>
            <w:gridSpan w:val="26"/>
          </w:tcPr>
          <w:p>
            <w:pPr>
              <w:ind w:left="460"/>
              <w:spacing w:after="0"/>
              <w:rPr>
                <w:rFonts w:ascii="Arial" w:cs="Arial" w:eastAsia="Arial" w:hAnsi="Arial"/>
                <w:sz w:val="18"/>
                <w:szCs w:val="18"/>
                <w:color w:val="0000EE"/>
              </w:rPr>
            </w:pPr>
            <w:hyperlink w:anchor="page186">
              <w:r>
                <w:rPr>
                  <w:rFonts w:ascii="Arial" w:cs="Arial" w:eastAsia="Arial" w:hAnsi="Arial"/>
                  <w:sz w:val="18"/>
                  <w:szCs w:val="18"/>
                  <w:color w:val="0000EE"/>
                </w:rPr>
                <w:t>Applicability of Article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97"/>
              </w:rPr>
            </w:pPr>
            <w:hyperlink w:anchor="page187">
              <w:r>
                <w:rPr>
                  <w:rFonts w:ascii="Arial" w:cs="Arial" w:eastAsia="Arial" w:hAnsi="Arial"/>
                  <w:sz w:val="18"/>
                  <w:szCs w:val="18"/>
                  <w:color w:val="0000EE"/>
                  <w:w w:val="97"/>
                </w:rPr>
                <w:t>Section 13.2.</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Subsidiary Guarantees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97"/>
              </w:rPr>
            </w:pPr>
            <w:hyperlink w:anchor="page188">
              <w:r>
                <w:rPr>
                  <w:rFonts w:ascii="Arial" w:cs="Arial" w:eastAsia="Arial" w:hAnsi="Arial"/>
                  <w:sz w:val="18"/>
                  <w:szCs w:val="18"/>
                  <w:color w:val="0000EE"/>
                  <w:w w:val="97"/>
                </w:rPr>
                <w:t>Section 13.3.</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Execution and Delivery of Notations of Subsidiary Guarantees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97"/>
              </w:rPr>
            </w:pPr>
            <w:hyperlink w:anchor="page189">
              <w:r>
                <w:rPr>
                  <w:rFonts w:ascii="Arial" w:cs="Arial" w:eastAsia="Arial" w:hAnsi="Arial"/>
                  <w:sz w:val="18"/>
                  <w:szCs w:val="18"/>
                  <w:color w:val="0000EE"/>
                  <w:w w:val="97"/>
                </w:rPr>
                <w:t>Section 13.4.</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Release of Subsidiary Guarantors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97"/>
              </w:rPr>
            </w:pPr>
            <w:hyperlink w:anchor="page189">
              <w:r>
                <w:rPr>
                  <w:rFonts w:ascii="Arial" w:cs="Arial" w:eastAsia="Arial" w:hAnsi="Arial"/>
                  <w:sz w:val="18"/>
                  <w:szCs w:val="18"/>
                  <w:color w:val="0000EE"/>
                  <w:w w:val="97"/>
                </w:rPr>
                <w:t>Section 13.5.</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Additional Subsidiary Guarantors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97"/>
              </w:rPr>
            </w:pPr>
            <w:hyperlink w:anchor="page190">
              <w:r>
                <w:rPr>
                  <w:rFonts w:ascii="Arial" w:cs="Arial" w:eastAsia="Arial" w:hAnsi="Arial"/>
                  <w:sz w:val="18"/>
                  <w:szCs w:val="18"/>
                  <w:color w:val="0000EE"/>
                  <w:w w:val="97"/>
                </w:rPr>
                <w:t>Section 13.6.</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Limitation on Liability</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10080" w:type="dxa"/>
            <w:vAlign w:val="bottom"/>
            <w:gridSpan w:val="29"/>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ARTICLE XIV SUBORDINATION OF SUBSIDIARY GUARANTEES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04"/>
        </w:trPr>
        <w:tc>
          <w:tcPr>
            <w:tcW w:w="36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gridSpan w:val="2"/>
          </w:tcPr>
          <w:p>
            <w:pPr>
              <w:spacing w:after="0"/>
              <w:rPr>
                <w:rFonts w:ascii="Arial" w:cs="Arial" w:eastAsia="Arial" w:hAnsi="Arial"/>
                <w:sz w:val="18"/>
                <w:szCs w:val="18"/>
                <w:color w:val="0000EE"/>
                <w:w w:val="97"/>
              </w:rPr>
            </w:pPr>
            <w:hyperlink w:anchor="page190">
              <w:r>
                <w:rPr>
                  <w:rFonts w:ascii="Arial" w:cs="Arial" w:eastAsia="Arial" w:hAnsi="Arial"/>
                  <w:sz w:val="18"/>
                  <w:szCs w:val="18"/>
                  <w:color w:val="0000EE"/>
                  <w:w w:val="97"/>
                </w:rPr>
                <w:t>Section 14.1.</w:t>
              </w:r>
            </w:hyperlink>
          </w:p>
        </w:tc>
        <w:tc>
          <w:tcPr>
            <w:tcW w:w="3900" w:type="dxa"/>
            <w:vAlign w:val="bottom"/>
            <w:tcBorders>
              <w:top w:val="single" w:sz="8" w:color="0000EE"/>
            </w:tcBorders>
            <w:gridSpan w:val="14"/>
          </w:tcPr>
          <w:p>
            <w:pPr>
              <w:ind w:left="460"/>
              <w:spacing w:after="0"/>
              <w:rPr>
                <w:rFonts w:ascii="Arial" w:cs="Arial" w:eastAsia="Arial" w:hAnsi="Arial"/>
                <w:sz w:val="18"/>
                <w:szCs w:val="18"/>
                <w:color w:val="0000EE"/>
              </w:rPr>
            </w:pPr>
            <w:hyperlink w:anchor="page190">
              <w:r>
                <w:rPr>
                  <w:rFonts w:ascii="Arial" w:cs="Arial" w:eastAsia="Arial" w:hAnsi="Arial"/>
                  <w:sz w:val="18"/>
                  <w:szCs w:val="18"/>
                  <w:color w:val="0000EE"/>
                </w:rPr>
                <w:t>Applicability of Article</w:t>
              </w:r>
            </w:hyperlink>
          </w:p>
        </w:tc>
        <w:tc>
          <w:tcPr>
            <w:tcW w:w="478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97"/>
              </w:rPr>
            </w:pPr>
            <w:hyperlink w:anchor="page190">
              <w:r>
                <w:rPr>
                  <w:rFonts w:ascii="Arial" w:cs="Arial" w:eastAsia="Arial" w:hAnsi="Arial"/>
                  <w:sz w:val="18"/>
                  <w:szCs w:val="18"/>
                  <w:color w:val="0000EE"/>
                  <w:w w:val="97"/>
                </w:rPr>
                <w:t>Section 14.2.</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Subsidiary Guarantees Subordinate to Senior Debt of Subsidiary Guarantors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97"/>
              </w:rPr>
            </w:pPr>
            <w:hyperlink w:anchor="page190">
              <w:r>
                <w:rPr>
                  <w:rFonts w:ascii="Arial" w:cs="Arial" w:eastAsia="Arial" w:hAnsi="Arial"/>
                  <w:sz w:val="18"/>
                  <w:szCs w:val="18"/>
                  <w:color w:val="0000EE"/>
                  <w:w w:val="97"/>
                </w:rPr>
                <w:t>Section 14.3.</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Payment Over of Proceeds Upon Dissolution, Etc</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97"/>
              </w:rPr>
            </w:pPr>
            <w:hyperlink w:anchor="page191">
              <w:r>
                <w:rPr>
                  <w:rFonts w:ascii="Arial" w:cs="Arial" w:eastAsia="Arial" w:hAnsi="Arial"/>
                  <w:sz w:val="18"/>
                  <w:szCs w:val="18"/>
                  <w:color w:val="0000EE"/>
                  <w:w w:val="97"/>
                </w:rPr>
                <w:t>Section 14.4.</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No Payment When Senior Debt of such Subsidiary Guarantor in Default</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97"/>
              </w:rPr>
            </w:pPr>
            <w:hyperlink w:anchor="page192">
              <w:r>
                <w:rPr>
                  <w:rFonts w:ascii="Arial" w:cs="Arial" w:eastAsia="Arial" w:hAnsi="Arial"/>
                  <w:sz w:val="18"/>
                  <w:szCs w:val="18"/>
                  <w:color w:val="0000EE"/>
                  <w:w w:val="97"/>
                </w:rPr>
                <w:t>Section 14.5.</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Payment Permitted If No Default</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97"/>
              </w:rPr>
            </w:pPr>
            <w:hyperlink w:anchor="page192">
              <w:r>
                <w:rPr>
                  <w:rFonts w:ascii="Arial" w:cs="Arial" w:eastAsia="Arial" w:hAnsi="Arial"/>
                  <w:sz w:val="18"/>
                  <w:szCs w:val="18"/>
                  <w:color w:val="0000EE"/>
                  <w:w w:val="97"/>
                </w:rPr>
                <w:t>Section 14.6.</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Subrogation to Rights of Holders of Senior Debt of such Subsidiary Guarantor</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97"/>
              </w:rPr>
            </w:pPr>
            <w:hyperlink w:anchor="page193">
              <w:r>
                <w:rPr>
                  <w:rFonts w:ascii="Arial" w:cs="Arial" w:eastAsia="Arial" w:hAnsi="Arial"/>
                  <w:sz w:val="18"/>
                  <w:szCs w:val="18"/>
                  <w:color w:val="0000EE"/>
                  <w:w w:val="97"/>
                </w:rPr>
                <w:t>Section 14.7.</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Provisions Solely to Define Relative Rights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97"/>
              </w:rPr>
            </w:pPr>
            <w:hyperlink w:anchor="page193">
              <w:r>
                <w:rPr>
                  <w:rFonts w:ascii="Arial" w:cs="Arial" w:eastAsia="Arial" w:hAnsi="Arial"/>
                  <w:sz w:val="18"/>
                  <w:szCs w:val="18"/>
                  <w:color w:val="0000EE"/>
                  <w:w w:val="97"/>
                </w:rPr>
                <w:t>Section 14.8.</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Trustee to Effectuate Subordination</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97"/>
              </w:rPr>
            </w:pPr>
            <w:hyperlink w:anchor="page193">
              <w:r>
                <w:rPr>
                  <w:rFonts w:ascii="Arial" w:cs="Arial" w:eastAsia="Arial" w:hAnsi="Arial"/>
                  <w:sz w:val="18"/>
                  <w:szCs w:val="18"/>
                  <w:color w:val="0000EE"/>
                  <w:w w:val="97"/>
                </w:rPr>
                <w:t>Section 14.9.</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No Waiver of Subordination Provisions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88"/>
              </w:rPr>
            </w:pPr>
            <w:hyperlink w:anchor="page194">
              <w:r>
                <w:rPr>
                  <w:rFonts w:ascii="Arial" w:cs="Arial" w:eastAsia="Arial" w:hAnsi="Arial"/>
                  <w:sz w:val="18"/>
                  <w:szCs w:val="18"/>
                  <w:color w:val="0000EE"/>
                  <w:w w:val="88"/>
                </w:rPr>
                <w:t>Section 14.10.</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Notice to Trustee</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3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88"/>
              </w:rPr>
            </w:pPr>
            <w:hyperlink w:anchor="page195">
              <w:r>
                <w:rPr>
                  <w:rFonts w:ascii="Arial" w:cs="Arial" w:eastAsia="Arial" w:hAnsi="Arial"/>
                  <w:sz w:val="18"/>
                  <w:szCs w:val="18"/>
                  <w:color w:val="0000EE"/>
                  <w:w w:val="88"/>
                </w:rPr>
                <w:t>Section 14.11.</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Reliance on Judicial Order or Certificate of Liquidating Agent</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3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88"/>
              </w:rPr>
            </w:pPr>
            <w:hyperlink w:anchor="page195">
              <w:r>
                <w:rPr>
                  <w:rFonts w:ascii="Arial" w:cs="Arial" w:eastAsia="Arial" w:hAnsi="Arial"/>
                  <w:sz w:val="18"/>
                  <w:szCs w:val="18"/>
                  <w:color w:val="0000EE"/>
                  <w:w w:val="88"/>
                </w:rPr>
                <w:t>Section 14.12.</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Trustee Not Fiduciary for Holders of Senior Debt of such Subsidiary Guarantor</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3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88"/>
              </w:rPr>
            </w:pPr>
            <w:hyperlink w:anchor="page195">
              <w:r>
                <w:rPr>
                  <w:rFonts w:ascii="Arial" w:cs="Arial" w:eastAsia="Arial" w:hAnsi="Arial"/>
                  <w:sz w:val="18"/>
                  <w:szCs w:val="18"/>
                  <w:color w:val="0000EE"/>
                  <w:w w:val="88"/>
                </w:rPr>
                <w:t>Section 14.13.</w:t>
              </w:r>
            </w:hyperlink>
          </w:p>
        </w:tc>
        <w:tc>
          <w:tcPr>
            <w:tcW w:w="8680" w:type="dxa"/>
            <w:vAlign w:val="bottom"/>
            <w:gridSpan w:val="26"/>
          </w:tcPr>
          <w:p>
            <w:pPr>
              <w:ind w:left="460"/>
              <w:spacing w:after="0" w:line="196" w:lineRule="exact"/>
              <w:rPr>
                <w:rFonts w:ascii="Arial" w:cs="Arial" w:eastAsia="Arial" w:hAnsi="Arial"/>
                <w:sz w:val="18"/>
                <w:szCs w:val="18"/>
                <w:color w:val="0000EE"/>
                <w:w w:val="97"/>
              </w:rPr>
            </w:pPr>
            <w:hyperlink w:anchor="page195">
              <w:r>
                <w:rPr>
                  <w:rFonts w:ascii="Arial" w:cs="Arial" w:eastAsia="Arial" w:hAnsi="Arial"/>
                  <w:sz w:val="18"/>
                  <w:szCs w:val="18"/>
                  <w:color w:val="0000EE"/>
                  <w:w w:val="97"/>
                </w:rPr>
                <w:t>Rights of Trustee as Holder of Senior Debt of such Subsidiary Guarantor; Preservation of Trustee’s Rights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3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88"/>
              </w:rPr>
            </w:pPr>
            <w:hyperlink w:anchor="page195">
              <w:r>
                <w:rPr>
                  <w:rFonts w:ascii="Arial" w:cs="Arial" w:eastAsia="Arial" w:hAnsi="Arial"/>
                  <w:sz w:val="18"/>
                  <w:szCs w:val="18"/>
                  <w:color w:val="0000EE"/>
                  <w:w w:val="88"/>
                </w:rPr>
                <w:t>Section 14.14.</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Article Applicable to Paying Agents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3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88"/>
              </w:rPr>
            </w:pPr>
            <w:hyperlink w:anchor="page195">
              <w:r>
                <w:rPr>
                  <w:rFonts w:ascii="Arial" w:cs="Arial" w:eastAsia="Arial" w:hAnsi="Arial"/>
                  <w:sz w:val="18"/>
                  <w:szCs w:val="18"/>
                  <w:color w:val="0000EE"/>
                  <w:w w:val="88"/>
                </w:rPr>
                <w:t>Section 14.15.</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Defeasance of this Article XIV</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3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496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196">
              <w:r>
                <w:rPr>
                  <w:rFonts w:ascii="Arial" w:cs="Arial" w:eastAsia="Arial" w:hAnsi="Arial"/>
                  <w:sz w:val="18"/>
                  <w:szCs w:val="18"/>
                  <w:color w:val="0000EE"/>
                  <w:w w:val="97"/>
                </w:rPr>
                <w:t>ARTICLE XV DEFEASANCE AND COVENANT DEFEASANCE</w:t>
              </w:r>
            </w:hyperlink>
          </w:p>
        </w:tc>
        <w:tc>
          <w:tcPr>
            <w:tcW w:w="512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04"/>
        </w:trPr>
        <w:tc>
          <w:tcPr>
            <w:tcW w:w="360" w:type="dxa"/>
            <w:vAlign w:val="bottom"/>
          </w:tcPr>
          <w:p>
            <w:pPr>
              <w:spacing w:after="0"/>
              <w:rPr>
                <w:sz w:val="24"/>
                <w:szCs w:val="24"/>
                <w:color w:val="auto"/>
              </w:rPr>
            </w:pPr>
          </w:p>
        </w:tc>
        <w:tc>
          <w:tcPr>
            <w:tcW w:w="1040" w:type="dxa"/>
            <w:vAlign w:val="bottom"/>
            <w:gridSpan w:val="2"/>
          </w:tcPr>
          <w:p>
            <w:pPr>
              <w:spacing w:after="0"/>
              <w:rPr>
                <w:rFonts w:ascii="Arial" w:cs="Arial" w:eastAsia="Arial" w:hAnsi="Arial"/>
                <w:sz w:val="18"/>
                <w:szCs w:val="18"/>
                <w:color w:val="0000EE"/>
                <w:w w:val="97"/>
              </w:rPr>
            </w:pPr>
            <w:hyperlink w:anchor="page196">
              <w:r>
                <w:rPr>
                  <w:rFonts w:ascii="Arial" w:cs="Arial" w:eastAsia="Arial" w:hAnsi="Arial"/>
                  <w:sz w:val="18"/>
                  <w:szCs w:val="18"/>
                  <w:color w:val="0000EE"/>
                  <w:w w:val="97"/>
                </w:rPr>
                <w:t>Section 15.1.</w:t>
              </w:r>
            </w:hyperlink>
          </w:p>
        </w:tc>
        <w:tc>
          <w:tcPr>
            <w:tcW w:w="8680" w:type="dxa"/>
            <w:vAlign w:val="bottom"/>
            <w:gridSpan w:val="26"/>
          </w:tcPr>
          <w:p>
            <w:pPr>
              <w:ind w:left="460"/>
              <w:spacing w:after="0"/>
              <w:rPr>
                <w:rFonts w:ascii="Arial" w:cs="Arial" w:eastAsia="Arial" w:hAnsi="Arial"/>
                <w:sz w:val="18"/>
                <w:szCs w:val="18"/>
                <w:color w:val="0000EE"/>
              </w:rPr>
            </w:pPr>
            <w:hyperlink w:anchor="page196">
              <w:r>
                <w:rPr>
                  <w:rFonts w:ascii="Arial" w:cs="Arial" w:eastAsia="Arial" w:hAnsi="Arial"/>
                  <w:sz w:val="18"/>
                  <w:szCs w:val="18"/>
                  <w:color w:val="0000EE"/>
                </w:rPr>
                <w:t>Company’s Option to Effect Defeasance or Covenant Defeasance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97"/>
              </w:rPr>
            </w:pPr>
            <w:hyperlink w:anchor="page196">
              <w:r>
                <w:rPr>
                  <w:rFonts w:ascii="Arial" w:cs="Arial" w:eastAsia="Arial" w:hAnsi="Arial"/>
                  <w:sz w:val="18"/>
                  <w:szCs w:val="18"/>
                  <w:color w:val="0000EE"/>
                  <w:w w:val="97"/>
                </w:rPr>
                <w:t>Section 15.2.</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Defeasance and Discharge</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97"/>
              </w:rPr>
            </w:pPr>
            <w:hyperlink w:anchor="page196">
              <w:r>
                <w:rPr>
                  <w:rFonts w:ascii="Arial" w:cs="Arial" w:eastAsia="Arial" w:hAnsi="Arial"/>
                  <w:sz w:val="18"/>
                  <w:szCs w:val="18"/>
                  <w:color w:val="0000EE"/>
                  <w:w w:val="97"/>
                </w:rPr>
                <w:t>Section 15.3.</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Covenant Defeasance</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97"/>
              </w:rPr>
            </w:pPr>
            <w:hyperlink w:anchor="page197">
              <w:r>
                <w:rPr>
                  <w:rFonts w:ascii="Arial" w:cs="Arial" w:eastAsia="Arial" w:hAnsi="Arial"/>
                  <w:sz w:val="18"/>
                  <w:szCs w:val="18"/>
                  <w:color w:val="0000EE"/>
                  <w:w w:val="97"/>
                </w:rPr>
                <w:t>Section 15.4.</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Conditions to Defeasance or Covenant Defeasance</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gridSpan w:val="10"/>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97"/>
              </w:rPr>
            </w:pPr>
            <w:hyperlink w:anchor="page199">
              <w:r>
                <w:rPr>
                  <w:rFonts w:ascii="Arial" w:cs="Arial" w:eastAsia="Arial" w:hAnsi="Arial"/>
                  <w:sz w:val="18"/>
                  <w:szCs w:val="18"/>
                  <w:color w:val="0000EE"/>
                  <w:w w:val="97"/>
                </w:rPr>
                <w:t>Section 15.5.</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Deposited Money and U.S. Government Obligations to Be Held in Trust; Miscellaneous Provisions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gridSpan w:val="10"/>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97"/>
              </w:rPr>
            </w:pPr>
            <w:hyperlink w:anchor="page199">
              <w:r>
                <w:rPr>
                  <w:rFonts w:ascii="Arial" w:cs="Arial" w:eastAsia="Arial" w:hAnsi="Arial"/>
                  <w:sz w:val="18"/>
                  <w:szCs w:val="18"/>
                  <w:color w:val="0000EE"/>
                  <w:w w:val="97"/>
                </w:rPr>
                <w:t>Section 15.6.</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Reinstatement</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gridSpan w:val="10"/>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30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254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200">
              <w:r>
                <w:rPr>
                  <w:rFonts w:ascii="Arial" w:cs="Arial" w:eastAsia="Arial" w:hAnsi="Arial"/>
                  <w:sz w:val="18"/>
                  <w:szCs w:val="18"/>
                  <w:color w:val="0000EE"/>
                  <w:w w:val="98"/>
                </w:rPr>
                <w:t>ARTICLE XVI SINKING FUNDS</w:t>
              </w:r>
            </w:hyperlink>
          </w:p>
        </w:tc>
        <w:tc>
          <w:tcPr>
            <w:tcW w:w="7540" w:type="dxa"/>
            <w:vAlign w:val="bottom"/>
            <w:gridSpan w:val="2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04"/>
        </w:trPr>
        <w:tc>
          <w:tcPr>
            <w:tcW w:w="360" w:type="dxa"/>
            <w:vAlign w:val="bottom"/>
          </w:tcPr>
          <w:p>
            <w:pPr>
              <w:spacing w:after="0"/>
              <w:rPr>
                <w:sz w:val="24"/>
                <w:szCs w:val="24"/>
                <w:color w:val="auto"/>
              </w:rPr>
            </w:pPr>
          </w:p>
        </w:tc>
        <w:tc>
          <w:tcPr>
            <w:tcW w:w="1040" w:type="dxa"/>
            <w:vAlign w:val="bottom"/>
            <w:gridSpan w:val="2"/>
          </w:tcPr>
          <w:p>
            <w:pPr>
              <w:spacing w:after="0"/>
              <w:rPr>
                <w:rFonts w:ascii="Arial" w:cs="Arial" w:eastAsia="Arial" w:hAnsi="Arial"/>
                <w:sz w:val="18"/>
                <w:szCs w:val="18"/>
                <w:color w:val="0000EE"/>
                <w:w w:val="97"/>
              </w:rPr>
            </w:pPr>
            <w:hyperlink w:anchor="page200">
              <w:r>
                <w:rPr>
                  <w:rFonts w:ascii="Arial" w:cs="Arial" w:eastAsia="Arial" w:hAnsi="Arial"/>
                  <w:sz w:val="18"/>
                  <w:szCs w:val="18"/>
                  <w:color w:val="0000EE"/>
                  <w:w w:val="97"/>
                </w:rPr>
                <w:t>Section 16.1.</w:t>
              </w:r>
            </w:hyperlink>
          </w:p>
        </w:tc>
        <w:tc>
          <w:tcPr>
            <w:tcW w:w="8680" w:type="dxa"/>
            <w:vAlign w:val="bottom"/>
            <w:gridSpan w:val="26"/>
          </w:tcPr>
          <w:p>
            <w:pPr>
              <w:ind w:left="460"/>
              <w:spacing w:after="0"/>
              <w:rPr>
                <w:rFonts w:ascii="Arial" w:cs="Arial" w:eastAsia="Arial" w:hAnsi="Arial"/>
                <w:sz w:val="18"/>
                <w:szCs w:val="18"/>
                <w:color w:val="0000EE"/>
              </w:rPr>
            </w:pPr>
            <w:hyperlink w:anchor="page200">
              <w:r>
                <w:rPr>
                  <w:rFonts w:ascii="Arial" w:cs="Arial" w:eastAsia="Arial" w:hAnsi="Arial"/>
                  <w:sz w:val="18"/>
                  <w:szCs w:val="18"/>
                  <w:color w:val="0000EE"/>
                </w:rPr>
                <w:t>Applicability of Article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1460" w:type="dxa"/>
            <w:vAlign w:val="bottom"/>
            <w:tcBorders>
              <w:left w:val="single" w:sz="8" w:color="0000EE"/>
            </w:tcBorders>
            <w:gridSpan w:val="7"/>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30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97"/>
              </w:rPr>
            </w:pPr>
            <w:hyperlink w:anchor="page200">
              <w:r>
                <w:rPr>
                  <w:rFonts w:ascii="Arial" w:cs="Arial" w:eastAsia="Arial" w:hAnsi="Arial"/>
                  <w:sz w:val="18"/>
                  <w:szCs w:val="18"/>
                  <w:color w:val="0000EE"/>
                  <w:w w:val="97"/>
                </w:rPr>
                <w:t>Section 16.2.</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Satisfaction of Sinking Fund Payments with Securities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00" w:type="dxa"/>
            <w:vAlign w:val="bottom"/>
            <w:gridSpan w:val="12"/>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430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2"/>
          </w:tcPr>
          <w:p>
            <w:pPr>
              <w:spacing w:after="0" w:line="196" w:lineRule="exact"/>
              <w:rPr>
                <w:rFonts w:ascii="Arial" w:cs="Arial" w:eastAsia="Arial" w:hAnsi="Arial"/>
                <w:sz w:val="18"/>
                <w:szCs w:val="18"/>
                <w:color w:val="0000EE"/>
                <w:w w:val="97"/>
              </w:rPr>
            </w:pPr>
            <w:hyperlink w:anchor="page200">
              <w:r>
                <w:rPr>
                  <w:rFonts w:ascii="Arial" w:cs="Arial" w:eastAsia="Arial" w:hAnsi="Arial"/>
                  <w:sz w:val="18"/>
                  <w:szCs w:val="18"/>
                  <w:color w:val="0000EE"/>
                  <w:w w:val="97"/>
                </w:rPr>
                <w:t>Section 16.3.</w:t>
              </w:r>
            </w:hyperlink>
          </w:p>
        </w:tc>
        <w:tc>
          <w:tcPr>
            <w:tcW w:w="8680" w:type="dxa"/>
            <w:vAlign w:val="bottom"/>
            <w:gridSpan w:val="26"/>
          </w:tcPr>
          <w:p>
            <w:pPr>
              <w:ind w:left="460"/>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Redemption of Securities for Sinking Fund</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920" w:val="left"/>
        </w:tabs>
        <w:rPr>
          <w:sz w:val="20"/>
          <w:szCs w:val="20"/>
          <w:color w:val="auto"/>
        </w:rPr>
      </w:pPr>
      <w:r>
        <w:rPr>
          <w:rFonts w:ascii="Arial" w:cs="Arial" w:eastAsia="Arial" w:hAnsi="Arial"/>
          <w:sz w:val="18"/>
          <w:szCs w:val="18"/>
          <w:color w:val="auto"/>
        </w:rPr>
        <w:t>Schedule I</w:t>
      </w:r>
      <w:r>
        <w:rPr>
          <w:sz w:val="20"/>
          <w:szCs w:val="20"/>
          <w:color w:val="auto"/>
        </w:rPr>
        <w:tab/>
      </w:r>
      <w:r>
        <w:rPr>
          <w:rFonts w:ascii="Arial" w:cs="Arial" w:eastAsia="Arial" w:hAnsi="Arial"/>
          <w:sz w:val="16"/>
          <w:szCs w:val="16"/>
          <w:color w:val="auto"/>
        </w:rPr>
        <w:t>Subsidiary Guarantors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80"/>
          </w:cols>
          <w:pgMar w:left="440" w:top="265" w:right="479" w:bottom="1440" w:gutter="0" w:footer="0" w:header="0"/>
        </w:sectPr>
      </w:pPr>
    </w:p>
    <w:bookmarkStart w:id="121" w:name="page122"/>
    <w:bookmarkEnd w:id="12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CALIFORNIA RESOURCES CORPORATION</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RECONCILIATION AND TIE OF CERTAIN SECTIONS OF THIS INDENTURE RELATING TO SECTIONS 310 THROUGH 318, INCLUSIVE, OF THE TRUST INDENTURE ACT OF 1939: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vMerge w:val="restart"/>
          </w:tcPr>
          <w:p>
            <w:pPr>
              <w:spacing w:after="0"/>
              <w:rPr>
                <w:sz w:val="20"/>
                <w:szCs w:val="20"/>
                <w:color w:val="auto"/>
              </w:rPr>
            </w:pPr>
            <w:r>
              <w:rPr>
                <w:rFonts w:ascii="Arial" w:cs="Arial" w:eastAsia="Arial" w:hAnsi="Arial"/>
                <w:sz w:val="14"/>
                <w:szCs w:val="14"/>
                <w:color w:val="auto"/>
                <w:w w:val="99"/>
              </w:rPr>
              <w:t>TRUST INDENTURE ACT SECTION</w:t>
            </w:r>
          </w:p>
        </w:tc>
        <w:tc>
          <w:tcPr>
            <w:tcW w:w="75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INDENTURE</w:t>
            </w:r>
          </w:p>
        </w:tc>
        <w:tc>
          <w:tcPr>
            <w:tcW w:w="0" w:type="dxa"/>
            <w:vAlign w:val="bottom"/>
          </w:tcPr>
          <w:p>
            <w:pPr>
              <w:spacing w:after="0"/>
              <w:rPr>
                <w:sz w:val="1"/>
                <w:szCs w:val="1"/>
                <w:color w:val="auto"/>
              </w:rPr>
            </w:pPr>
          </w:p>
        </w:tc>
      </w:tr>
      <w:tr>
        <w:trPr>
          <w:trHeight w:val="174"/>
        </w:trPr>
        <w:tc>
          <w:tcPr>
            <w:tcW w:w="2300" w:type="dxa"/>
            <w:vAlign w:val="bottom"/>
            <w:gridSpan w:val="2"/>
            <w:vMerge w:val="continue"/>
          </w:tcPr>
          <w:p>
            <w:pPr>
              <w:spacing w:after="0"/>
              <w:rPr>
                <w:sz w:val="15"/>
                <w:szCs w:val="15"/>
                <w:color w:val="auto"/>
              </w:rPr>
            </w:pPr>
          </w:p>
        </w:tc>
        <w:tc>
          <w:tcPr>
            <w:tcW w:w="7500" w:type="dxa"/>
            <w:vAlign w:val="bottom"/>
          </w:tcPr>
          <w:p>
            <w:pPr>
              <w:spacing w:after="0"/>
              <w:rPr>
                <w:sz w:val="15"/>
                <w:szCs w:val="15"/>
                <w:color w:val="auto"/>
              </w:rPr>
            </w:pPr>
          </w:p>
        </w:tc>
        <w:tc>
          <w:tcPr>
            <w:tcW w:w="1240" w:type="dxa"/>
            <w:vAlign w:val="bottom"/>
          </w:tcPr>
          <w:p>
            <w:pPr>
              <w:jc w:val="center"/>
              <w:spacing w:after="0" w:line="154" w:lineRule="exact"/>
              <w:rPr>
                <w:sz w:val="20"/>
                <w:szCs w:val="20"/>
                <w:color w:val="auto"/>
              </w:rPr>
            </w:pPr>
            <w:r>
              <w:rPr>
                <w:rFonts w:ascii="Arial" w:cs="Arial" w:eastAsia="Arial" w:hAnsi="Arial"/>
                <w:sz w:val="14"/>
                <w:szCs w:val="14"/>
                <w:color w:val="auto"/>
                <w:w w:val="99"/>
              </w:rPr>
              <w:t>SECTION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Section 310(a)(1)</w:t>
            </w:r>
          </w:p>
        </w:tc>
        <w:tc>
          <w:tcPr>
            <w:tcW w:w="75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(a)(2)</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7"/>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(a)(3)</w:t>
            </w:r>
          </w:p>
        </w:tc>
        <w:tc>
          <w:tcPr>
            <w:tcW w:w="7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(a)(4)</w:t>
            </w:r>
          </w:p>
        </w:tc>
        <w:tc>
          <w:tcPr>
            <w:tcW w:w="75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8"/>
              </w:rPr>
              <w:t>6.8, 6.10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Section 311(a)</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5"/>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5"/>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Section 312(a)</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9"/>
              </w:rPr>
              <w:t>7.1, 7.2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7"/>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7"/>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Section 313(a)</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7"/>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(b)</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7"/>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7"/>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7"/>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Section 314(a)</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7"/>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(a)(4)</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8"/>
              </w:rPr>
              <w:t>1.1, 10.4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7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(c)(1)</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(c)(2)</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(c)(3)</w:t>
            </w:r>
          </w:p>
        </w:tc>
        <w:tc>
          <w:tcPr>
            <w:tcW w:w="75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7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(e)</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Section 315(a)</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7"/>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(b)</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7"/>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7"/>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7"/>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5"/>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Section 316(a)</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(a)(1)(A)</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8"/>
              </w:rPr>
              <w:t>5.2, 5.12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(a)(1)(B)</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5"/>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(a)(2)</w:t>
            </w:r>
          </w:p>
        </w:tc>
        <w:tc>
          <w:tcPr>
            <w:tcW w:w="75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(b)</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7"/>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7"/>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Section 317(a)(1)</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7"/>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(a)(2)</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7"/>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(b)</w:t>
            </w:r>
          </w:p>
        </w:tc>
        <w:tc>
          <w:tcPr>
            <w:tcW w:w="8740" w:type="dxa"/>
            <w:vAlign w:val="bottom"/>
            <w:gridSpan w:val="2"/>
          </w:tcPr>
          <w:p>
            <w:pPr>
              <w:jc w:val="center"/>
              <w:ind w:left="7390"/>
              <w:spacing w:after="0"/>
              <w:rPr>
                <w:sz w:val="20"/>
                <w:szCs w:val="20"/>
                <w:color w:val="auto"/>
              </w:rPr>
            </w:pPr>
            <w:r>
              <w:rPr>
                <w:rFonts w:ascii="Arial" w:cs="Arial" w:eastAsia="Arial" w:hAnsi="Arial"/>
                <w:sz w:val="18"/>
                <w:szCs w:val="18"/>
                <w:color w:val="auto"/>
                <w:w w:val="85"/>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Section 318(a)</w:t>
            </w:r>
          </w:p>
        </w:tc>
        <w:tc>
          <w:tcPr>
            <w:tcW w:w="8740" w:type="dxa"/>
            <w:vAlign w:val="bottom"/>
            <w:gridSpan w:val="2"/>
            <w:shd w:val="clear" w:color="auto" w:fill="CCEEFF"/>
          </w:tcPr>
          <w:p>
            <w:pPr>
              <w:jc w:val="center"/>
              <w:ind w:left="7390"/>
              <w:spacing w:after="0"/>
              <w:rPr>
                <w:sz w:val="20"/>
                <w:szCs w:val="20"/>
                <w:color w:val="auto"/>
              </w:rPr>
            </w:pPr>
            <w:r>
              <w:rPr>
                <w:rFonts w:ascii="Arial" w:cs="Arial" w:eastAsia="Arial" w:hAnsi="Arial"/>
                <w:sz w:val="18"/>
                <w:szCs w:val="18"/>
                <w:color w:val="auto"/>
                <w:w w:val="87"/>
              </w:rPr>
              <w:t>1.7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40"/>
          </w:cols>
          <w:pgMar w:left="440" w:top="270" w:right="419" w:bottom="1440" w:gutter="0" w:footer="0" w:header="0"/>
        </w:sectPr>
      </w:pPr>
    </w:p>
    <w:bookmarkStart w:id="122" w:name="page123"/>
    <w:bookmarkEnd w:id="122"/>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SUBORDINATED INDENTURE</w:t>
      </w:r>
    </w:p>
    <w:p>
      <w:pPr>
        <w:spacing w:after="0" w:line="225" w:lineRule="exact"/>
        <w:rPr>
          <w:sz w:val="20"/>
          <w:szCs w:val="20"/>
          <w:color w:val="auto"/>
        </w:rPr>
      </w:pPr>
    </w:p>
    <w:p>
      <w:pPr>
        <w:ind w:left="440"/>
        <w:spacing w:after="0"/>
        <w:tabs>
          <w:tab w:leader="none" w:pos="3320" w:val="left"/>
          <w:tab w:leader="none" w:pos="3860" w:val="left"/>
        </w:tabs>
        <w:rPr>
          <w:sz w:val="20"/>
          <w:szCs w:val="20"/>
          <w:color w:val="auto"/>
        </w:rPr>
      </w:pPr>
      <w:r>
        <w:rPr>
          <w:rFonts w:ascii="Arial" w:cs="Arial" w:eastAsia="Arial" w:hAnsi="Arial"/>
          <w:sz w:val="18"/>
          <w:szCs w:val="18"/>
          <w:b w:val="1"/>
          <w:bCs w:val="1"/>
          <w:color w:val="auto"/>
        </w:rPr>
        <w:t>INDENTURE</w:t>
      </w:r>
      <w:r>
        <w:rPr>
          <w:rFonts w:ascii="Arial" w:cs="Arial" w:eastAsia="Arial" w:hAnsi="Arial"/>
          <w:sz w:val="18"/>
          <w:szCs w:val="18"/>
          <w:color w:val="auto"/>
        </w:rPr>
        <w:t>, dated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among California Resources Corporation., a corporation duly organized and existing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-7620</wp:posOffset>
            </wp:positionV>
            <wp:extent cx="9144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laws of the State of Delaware (herein called the “Company”), having its principal office at 27200 Tourney Road, Suite 315, Santa Clarita, California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gridSpan w:val="4"/>
          </w:tcPr>
          <w:p>
            <w:pPr>
              <w:spacing w:after="0"/>
              <w:rPr>
                <w:sz w:val="20"/>
                <w:szCs w:val="20"/>
                <w:color w:val="auto"/>
              </w:rPr>
            </w:pPr>
            <w:r>
              <w:rPr>
                <w:rFonts w:ascii="Arial" w:cs="Arial" w:eastAsia="Arial" w:hAnsi="Arial"/>
                <w:sz w:val="18"/>
                <w:szCs w:val="18"/>
                <w:color w:val="auto"/>
              </w:rPr>
              <w:t>91355, each of the Subsidiary Guarantors (as hereinafter defined) parties hereto and [TRUSTEE’S NAME], a [</w:t>
            </w:r>
          </w:p>
        </w:tc>
        <w:tc>
          <w:tcPr>
            <w:tcW w:w="1480" w:type="dxa"/>
            <w:vAlign w:val="bottom"/>
          </w:tcPr>
          <w:p>
            <w:pPr>
              <w:spacing w:after="0"/>
              <w:rPr>
                <w:sz w:val="20"/>
                <w:szCs w:val="20"/>
                <w:color w:val="auto"/>
              </w:rPr>
            </w:pPr>
            <w:r>
              <w:rPr>
                <w:rFonts w:ascii="Arial" w:cs="Arial" w:eastAsia="Arial" w:hAnsi="Arial"/>
                <w:sz w:val="18"/>
                <w:szCs w:val="18"/>
                <w:color w:val="auto"/>
                <w:w w:val="90"/>
              </w:rPr>
              <w:t>] duly organized and</w:t>
            </w:r>
          </w:p>
        </w:tc>
      </w:tr>
      <w:tr>
        <w:trPr>
          <w:trHeight w:val="196"/>
        </w:trPr>
        <w:tc>
          <w:tcPr>
            <w:tcW w:w="1960" w:type="dxa"/>
            <w:vAlign w:val="bottom"/>
          </w:tcPr>
          <w:p>
            <w:pPr>
              <w:spacing w:after="0" w:line="196" w:lineRule="exact"/>
              <w:rPr>
                <w:sz w:val="20"/>
                <w:szCs w:val="20"/>
                <w:color w:val="auto"/>
              </w:rPr>
            </w:pPr>
            <w:r>
              <w:rPr>
                <w:rFonts w:ascii="Arial" w:cs="Arial" w:eastAsia="Arial" w:hAnsi="Arial"/>
                <w:sz w:val="18"/>
                <w:szCs w:val="18"/>
                <w:color w:val="auto"/>
                <w:w w:val="91"/>
              </w:rPr>
              <w:t>existing under the laws of [</w:t>
            </w:r>
          </w:p>
        </w:tc>
        <w:tc>
          <w:tcPr>
            <w:tcW w:w="1080" w:type="dxa"/>
            <w:vAlign w:val="bottom"/>
            <w:tcBorders>
              <w:bottom w:val="single" w:sz="8" w:color="auto"/>
            </w:tcBorders>
          </w:tcPr>
          <w:p>
            <w:pPr>
              <w:spacing w:after="0"/>
              <w:rPr>
                <w:sz w:val="17"/>
                <w:szCs w:val="17"/>
                <w:color w:val="auto"/>
              </w:rPr>
            </w:pPr>
          </w:p>
        </w:tc>
        <w:tc>
          <w:tcPr>
            <w:tcW w:w="4960" w:type="dxa"/>
            <w:vAlign w:val="bottom"/>
          </w:tcPr>
          <w:p>
            <w:pPr>
              <w:spacing w:after="0" w:line="196" w:lineRule="exact"/>
              <w:rPr>
                <w:sz w:val="20"/>
                <w:szCs w:val="20"/>
                <w:color w:val="auto"/>
              </w:rPr>
            </w:pPr>
            <w:r>
              <w:rPr>
                <w:rFonts w:ascii="Arial" w:cs="Arial" w:eastAsia="Arial" w:hAnsi="Arial"/>
                <w:sz w:val="18"/>
                <w:szCs w:val="18"/>
                <w:color w:val="auto"/>
              </w:rPr>
              <w:t>], as Trustee (herein called the “Trustee”).</w:t>
            </w:r>
          </w:p>
        </w:tc>
        <w:tc>
          <w:tcPr>
            <w:tcW w:w="1080" w:type="dxa"/>
            <w:vAlign w:val="bottom"/>
            <w:tcBorders>
              <w:top w:val="single" w:sz="8" w:color="auto"/>
            </w:tcBorders>
          </w:tcPr>
          <w:p>
            <w:pPr>
              <w:spacing w:after="0"/>
              <w:rPr>
                <w:sz w:val="17"/>
                <w:szCs w:val="17"/>
                <w:color w:val="auto"/>
              </w:rPr>
            </w:pPr>
          </w:p>
        </w:tc>
        <w:tc>
          <w:tcPr>
            <w:tcW w:w="1480" w:type="dxa"/>
            <w:vAlign w:val="bottom"/>
          </w:tcPr>
          <w:p>
            <w:pPr>
              <w:spacing w:after="0"/>
              <w:rPr>
                <w:sz w:val="17"/>
                <w:szCs w:val="17"/>
                <w:color w:val="auto"/>
              </w:rPr>
            </w:pPr>
          </w:p>
        </w:tc>
      </w:tr>
    </w:tbl>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RECITALS OF THE COMPANY AND THE SUBSIDIARY GUARANTORS</w:t>
      </w:r>
    </w:p>
    <w:p>
      <w:pPr>
        <w:spacing w:after="0" w:line="229" w:lineRule="exact"/>
        <w:rPr>
          <w:sz w:val="20"/>
          <w:szCs w:val="20"/>
          <w:color w:val="auto"/>
        </w:rPr>
      </w:pPr>
    </w:p>
    <w:p>
      <w:pPr>
        <w:ind w:right="220" w:firstLine="441"/>
        <w:spacing w:after="0" w:line="342" w:lineRule="auto"/>
        <w:rPr>
          <w:sz w:val="20"/>
          <w:szCs w:val="20"/>
          <w:color w:val="auto"/>
        </w:rPr>
      </w:pPr>
      <w:r>
        <w:rPr>
          <w:rFonts w:ascii="Arial" w:cs="Arial" w:eastAsia="Arial" w:hAnsi="Arial"/>
          <w:sz w:val="16"/>
          <w:szCs w:val="16"/>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in this Indenture provided.</w:t>
      </w:r>
    </w:p>
    <w:p>
      <w:pPr>
        <w:spacing w:after="0" w:line="12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Company and the Subsidiary Guarantors are members of the same consolidated group of companies. The Subsidiary Guarantors will derive direct and indirect economic benefit from the issuance of the Securities. Accordingly, each Subsidiary Guarantor has duly authorized the execution and delivery of this Indenture to provide for its full, unconditional and joint and several guarantee of the Securities to the extent provided in or pursuant this Indenture.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229"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agreed, for the equal and proportionate benefit of all Holders of the Securities or of series thereof, as follows:</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117" w:lineRule="exact"/>
        <w:rPr>
          <w:sz w:val="20"/>
          <w:szCs w:val="20"/>
          <w:color w:val="auto"/>
        </w:rPr>
      </w:pPr>
    </w:p>
    <w:p>
      <w:pPr>
        <w:ind w:left="840" w:hanging="396"/>
        <w:spacing w:after="0"/>
        <w:tabs>
          <w:tab w:leader="none" w:pos="8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terms defined in this Article have the meanings assigned to them in this Article and include the plural as well as the singular;</w:t>
      </w:r>
    </w:p>
    <w:p>
      <w:pPr>
        <w:spacing w:after="0" w:line="128" w:lineRule="exact"/>
        <w:rPr>
          <w:rFonts w:ascii="Arial" w:cs="Arial" w:eastAsia="Arial" w:hAnsi="Arial"/>
          <w:sz w:val="17"/>
          <w:szCs w:val="17"/>
          <w:color w:val="auto"/>
        </w:rPr>
      </w:pPr>
    </w:p>
    <w:p>
      <w:pPr>
        <w:ind w:right="60" w:firstLine="444"/>
        <w:spacing w:after="0" w:line="277" w:lineRule="auto"/>
        <w:tabs>
          <w:tab w:leader="none" w:pos="831"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either directly or by reference therein, have the meanings assigned to them therein;</w:t>
      </w:r>
    </w:p>
    <w:p>
      <w:pPr>
        <w:spacing w:after="0" w:line="62" w:lineRule="exact"/>
        <w:rPr>
          <w:rFonts w:ascii="Arial" w:cs="Arial" w:eastAsia="Arial" w:hAnsi="Arial"/>
          <w:sz w:val="18"/>
          <w:szCs w:val="18"/>
          <w:color w:val="auto"/>
        </w:rPr>
      </w:pPr>
    </w:p>
    <w:p>
      <w:pPr>
        <w:jc w:val="both"/>
        <w:ind w:right="260" w:firstLine="444"/>
        <w:spacing w:after="0" w:line="312" w:lineRule="auto"/>
        <w:tabs>
          <w:tab w:leader="none" w:pos="831"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this instrument;</w:t>
      </w:r>
    </w:p>
    <w:p>
      <w:pPr>
        <w:sectPr>
          <w:pgSz w:w="11900" w:h="16838" w:orient="portrait"/>
          <w:cols w:equalWidth="0" w:num="1">
            <w:col w:w="10920"/>
          </w:cols>
          <w:pgMar w:left="440" w:top="270" w:right="539" w:bottom="1440" w:gutter="0" w:footer="0" w:header="0"/>
        </w:sectPr>
      </w:pPr>
    </w:p>
    <w:bookmarkStart w:id="123" w:name="page124"/>
    <w:bookmarkEnd w:id="123"/>
    <w:p>
      <w:pPr>
        <w:ind w:left="840" w:hanging="396"/>
        <w:spacing w:after="0"/>
        <w:tabs>
          <w:tab w:leader="none" w:pos="840" w:val="left"/>
        </w:tabs>
        <w:numPr>
          <w:ilvl w:val="0"/>
          <w:numId w:val="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the context otherwise requires, any reference to an “Article” or a “Section” refers to an Article or a Section, as the case may be,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102" w:lineRule="exact"/>
        <w:rPr>
          <w:rFonts w:ascii="Arial" w:cs="Arial" w:eastAsia="Arial" w:hAnsi="Arial"/>
          <w:sz w:val="16"/>
          <w:szCs w:val="16"/>
          <w:color w:val="auto"/>
        </w:rPr>
      </w:pPr>
    </w:p>
    <w:p>
      <w:pPr>
        <w:ind w:right="440" w:firstLine="444"/>
        <w:spacing w:after="0" w:line="277" w:lineRule="auto"/>
        <w:tabs>
          <w:tab w:leader="none" w:pos="831"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words “herein”, “hereof”, “hereunder” and other words of similar import refer to this Indenture as a whole and not to any particular Article, Section or other subdivision; and</w:t>
      </w:r>
    </w:p>
    <w:p>
      <w:pPr>
        <w:spacing w:after="0" w:line="62" w:lineRule="exact"/>
        <w:rPr>
          <w:rFonts w:ascii="Arial" w:cs="Arial" w:eastAsia="Arial" w:hAnsi="Arial"/>
          <w:sz w:val="18"/>
          <w:szCs w:val="18"/>
          <w:color w:val="auto"/>
        </w:rPr>
      </w:pPr>
    </w:p>
    <w:p>
      <w:pPr>
        <w:ind w:left="840" w:hanging="396"/>
        <w:spacing w:after="0"/>
        <w:tabs>
          <w:tab w:leader="none" w:pos="8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unsecured Debt shall not be deemed to be subordinate or junior to secured Debt merely by virtue of its nature as unsecured Debt.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when used with respect to any Holder, has the meaning specified in Section 1.4.</w:t>
      </w:r>
    </w:p>
    <w:p>
      <w:pPr>
        <w:spacing w:after="0" w:line="225"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means any Person authorized by the Trustee pursuant to Section 6.14 to act on behalf of the Trustee to authenticate Securities of one or more series.</w:t>
      </w:r>
    </w:p>
    <w:p>
      <w:pPr>
        <w:spacing w:after="0" w:line="170" w:lineRule="exact"/>
        <w:rPr>
          <w:sz w:val="20"/>
          <w:szCs w:val="20"/>
          <w:color w:val="auto"/>
        </w:rPr>
      </w:pPr>
    </w:p>
    <w:p>
      <w:pPr>
        <w:ind w:right="36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of Directors</w:t>
      </w:r>
      <w:r>
        <w:rPr>
          <w:rFonts w:ascii="Arial" w:cs="Arial" w:eastAsia="Arial" w:hAnsi="Arial"/>
          <w:sz w:val="17"/>
          <w:szCs w:val="17"/>
          <w:color w:val="auto"/>
        </w:rPr>
        <w:t>” means, with respect to the Company, either the board of directors of the Company or any committee of that board duly authorized to act for it in respect hereof, and with respect to any Subsidiary Guarantor, either the board of directors or other governing body of such Subsidiary Guarantor or any committee of that board or other governing body duly authorized to act for it in respect hereof.</w:t>
      </w:r>
    </w:p>
    <w:p>
      <w:pPr>
        <w:spacing w:after="0" w:line="166"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Resolution</w:t>
      </w:r>
      <w:r>
        <w:rPr>
          <w:rFonts w:ascii="Arial" w:cs="Arial" w:eastAsia="Arial" w:hAnsi="Arial"/>
          <w:sz w:val="17"/>
          <w:szCs w:val="17"/>
          <w:color w:val="auto"/>
        </w:rPr>
        <w:t>” means, with respect to the Company or a Subsidiary Guarantor, a copy of a resolution certified by the Secretary or an Assistant Secretary of the Company or such Subsidiary Guarantor or, in the case of a Subsidiary Guarantor that is a partnership or has no such officers, the Secretary or Assistant Secretary of a general partner or manager of such Subsidiary Guarantory, as the case may be, to have been duly adopted by its Board of Directors and to be in full force and effect on the date of such certification, and delivered to the Trustee.</w:t>
      </w:r>
    </w:p>
    <w:p>
      <w:pPr>
        <w:spacing w:after="0" w:line="171"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47"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Stock</w:t>
      </w:r>
      <w:r>
        <w:rPr>
          <w:rFonts w:ascii="Arial" w:cs="Arial" w:eastAsia="Arial" w:hAnsi="Arial"/>
          <w:sz w:val="17"/>
          <w:szCs w:val="17"/>
          <w:color w:val="auto"/>
        </w:rPr>
        <w:t>” of any Person means any and all shares, units, interests, participations, rights in or other equivalents (however designated) of such Person’s capital stock, other equity interests whether now outstanding or issued after the Issue Date, partnership interests (whether general or limited), joint venture interests, limited liability company interests, any other interest or participation that confers on a Person the right to receive a share of the profits and losses of, or distributions of assets of, the issuing Person, including any Preferred Stock, and any rights (other than debt securities convertible into Capital Stock), warrants or options exchangeable for or convertible into such Capital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24" w:name="page125"/>
    <w:bookmarkEnd w:id="124"/>
    <w:p>
      <w:pPr>
        <w:jc w:val="both"/>
        <w:ind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1" w:lineRule="exact"/>
        <w:rPr>
          <w:sz w:val="20"/>
          <w:szCs w:val="20"/>
          <w:color w:val="auto"/>
        </w:rPr>
      </w:pPr>
    </w:p>
    <w:p>
      <w:pPr>
        <w:ind w:right="58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common stock, no par value, of the Company as the same exists at the date of execution and delivery of this Indenture or other Capital Stock of the Company into which such common stock is converted, reclassified or changed from time to time.</w:t>
      </w:r>
    </w:p>
    <w:p>
      <w:pPr>
        <w:spacing w:after="0" w:line="124"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70"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Request</w:t>
      </w:r>
      <w:r>
        <w:rPr>
          <w:rFonts w:ascii="Arial" w:cs="Arial" w:eastAsia="Arial" w:hAnsi="Arial"/>
          <w:sz w:val="18"/>
          <w:szCs w:val="18"/>
          <w:color w:val="auto"/>
        </w:rPr>
        <w:t>” or “</w:t>
      </w:r>
      <w:r>
        <w:rPr>
          <w:rFonts w:ascii="Arial" w:cs="Arial" w:eastAsia="Arial" w:hAnsi="Arial"/>
          <w:sz w:val="18"/>
          <w:szCs w:val="18"/>
          <w:u w:val="single" w:color="auto"/>
          <w:color w:val="auto"/>
        </w:rPr>
        <w:t>Company Order</w:t>
      </w:r>
      <w:r>
        <w:rPr>
          <w:rFonts w:ascii="Arial" w:cs="Arial" w:eastAsia="Arial" w:hAnsi="Arial"/>
          <w:sz w:val="18"/>
          <w:szCs w:val="18"/>
          <w:color w:val="auto"/>
        </w:rPr>
        <w:t>” means a written request or order signed in the name of the Company by its Chairman of the Board of Directors, its Executive Chairman of the Board of Directors, its President and Chief Executive Officer or a Vice President, and by its Treasurer, an Assistant Treasurer, its Secretary or an Assistant Secretary, and delivered to the Trustee.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Agent</w:t>
      </w:r>
      <w:r>
        <w:rPr>
          <w:rFonts w:ascii="Arial" w:cs="Arial" w:eastAsia="Arial" w:hAnsi="Arial"/>
          <w:sz w:val="18"/>
          <w:szCs w:val="18"/>
          <w:color w:val="auto"/>
        </w:rPr>
        <w:t>” means any Person authorized by the Company to convert any Securities on behalf of the Company.</w:t>
      </w:r>
    </w:p>
    <w:p>
      <w:pPr>
        <w:spacing w:after="0" w:line="22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the office of the Trustee at which at any particular time its corporate trust business in relation to this Indenture shall be administered, such office being located on the date hereof at [TRUSTEE’S ADDRESS].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means a corporation, association, limited liability company, joint-stock company or business trust.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Defeasance</w:t>
      </w:r>
      <w:r>
        <w:rPr>
          <w:rFonts w:ascii="Arial" w:cs="Arial" w:eastAsia="Arial" w:hAnsi="Arial"/>
          <w:sz w:val="18"/>
          <w:szCs w:val="18"/>
          <w:color w:val="auto"/>
        </w:rPr>
        <w:t>” has the meaning specified in Section 15.3.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w:t>
      </w:r>
      <w:r>
        <w:rPr>
          <w:rFonts w:ascii="Arial" w:cs="Arial" w:eastAsia="Arial" w:hAnsi="Arial"/>
          <w:sz w:val="16"/>
          <w:szCs w:val="16"/>
          <w:color w:val="auto"/>
        </w:rPr>
        <w:t>” of any Person at any date means any obligation created, assumed or guaranteed by such Person for the repayment of borrowed money.</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specified in Section 3.7.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Defeasance</w:t>
      </w:r>
      <w:r>
        <w:rPr>
          <w:rFonts w:ascii="Arial" w:cs="Arial" w:eastAsia="Arial" w:hAnsi="Arial"/>
          <w:sz w:val="18"/>
          <w:szCs w:val="18"/>
          <w:color w:val="auto"/>
        </w:rPr>
        <w:t>” has the meaning specified in Section 15.2.</w:t>
      </w:r>
    </w:p>
    <w:p>
      <w:pPr>
        <w:spacing w:after="0" w:line="225" w:lineRule="exact"/>
        <w:rPr>
          <w:sz w:val="20"/>
          <w:szCs w:val="20"/>
          <w:color w:val="auto"/>
        </w:rPr>
      </w:pPr>
    </w:p>
    <w:p>
      <w:pPr>
        <w:ind w:right="10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Depositary</w:t>
      </w:r>
      <w:r>
        <w:rPr>
          <w:rFonts w:ascii="Arial" w:cs="Arial" w:eastAsia="Arial" w:hAnsi="Arial"/>
          <w:sz w:val="17"/>
          <w:szCs w:val="17"/>
          <w:color w:val="auto"/>
        </w:rPr>
        <w:t>” means, with respect to Securities of any series issuable in whole or in part in the form of one or more Global Securities, a clearing agency registered under the Exchange Act that is designated to act as Depositary for such Securities as contemplated by Section 3.1.</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Section 5.1.</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40" w:top="274" w:right="559" w:bottom="1440" w:gutter="0" w:footer="0" w:header="0"/>
        </w:sectPr>
      </w:pPr>
    </w:p>
    <w:bookmarkStart w:id="125" w:name="page126"/>
    <w:bookmarkEnd w:id="125"/>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and any statute successor thereto, in each case as amended from time to time.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Date</w:t>
      </w:r>
      <w:r>
        <w:rPr>
          <w:rFonts w:ascii="Arial" w:cs="Arial" w:eastAsia="Arial" w:hAnsi="Arial"/>
          <w:sz w:val="18"/>
          <w:szCs w:val="18"/>
          <w:color w:val="auto"/>
        </w:rPr>
        <w:t>” has the meaning specified in Section 1.4.</w:t>
      </w:r>
    </w:p>
    <w:p>
      <w:pPr>
        <w:spacing w:after="0" w:line="22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Security</w:t>
      </w:r>
      <w:r>
        <w:rPr>
          <w:rFonts w:ascii="Arial" w:cs="Arial" w:eastAsia="Arial" w:hAnsi="Arial"/>
          <w:sz w:val="18"/>
          <w:szCs w:val="18"/>
          <w:color w:val="auto"/>
        </w:rPr>
        <w:t>” means a Security that evidences all or part of the Securities of any series and bears the legend set forth in Section 2.5 (or such legend as may be specified as contemplated by Section 3.1 for such Securities).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 Person in whose name a Security is registered in the Security Register.</w:t>
      </w:r>
    </w:p>
    <w:p>
      <w:pPr>
        <w:spacing w:after="0" w:line="225"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Indenture</w:t>
      </w:r>
      <w:r>
        <w:rPr>
          <w:rFonts w:ascii="Arial" w:cs="Arial" w:eastAsia="Arial" w:hAnsi="Arial"/>
          <w:sz w:val="16"/>
          <w:szCs w:val="16"/>
          <w:color w:val="auto"/>
        </w:rPr>
        <w:t>”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3.1.</w:t>
      </w:r>
    </w:p>
    <w:p>
      <w:pPr>
        <w:spacing w:after="0" w:line="154"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when used with respect to an Original Issue Discount Security which by its terms bears interest only after Maturity, means interest payable after Maturity.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when used with respect to any Security, means the Stated Maturity of an installment of interest on such Security.</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Company Act</w:t>
      </w:r>
      <w:r>
        <w:rPr>
          <w:rFonts w:ascii="Arial" w:cs="Arial" w:eastAsia="Arial" w:hAnsi="Arial"/>
          <w:sz w:val="16"/>
          <w:szCs w:val="16"/>
          <w:color w:val="auto"/>
        </w:rPr>
        <w:t>” means the Investment Company Act of 1940 and any statute successor thereto, in each case as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right="2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w:t>
      </w:r>
      <w:r>
        <w:rPr>
          <w:rFonts w:ascii="Arial" w:cs="Arial" w:eastAsia="Arial" w:hAnsi="Arial"/>
          <w:sz w:val="16"/>
          <w:szCs w:val="16"/>
          <w:color w:val="auto"/>
        </w:rPr>
        <w:t>”,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Default</w:t>
      </w:r>
      <w:r>
        <w:rPr>
          <w:rFonts w:ascii="Arial" w:cs="Arial" w:eastAsia="Arial" w:hAnsi="Arial"/>
          <w:sz w:val="18"/>
          <w:szCs w:val="18"/>
          <w:color w:val="auto"/>
        </w:rPr>
        <w:t>” means a written notice of the kind specified in Section 5.1(5).</w:t>
      </w:r>
    </w:p>
    <w:p>
      <w:pPr>
        <w:spacing w:after="0" w:line="225"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means a certificate signed by the Chairman of the Board of Directors, a Executive Chairman of the Board of Directors, the President and Chief Executive Officer or a Vice President, and by the Treasurer, an Assistant Treasurer, the Secretary or an Assistant Secretary, of the Company or a Subsidiary Guarantor, as the case may be, and delivered to the Trustee. One of the officers signing an Officers’ Certificate given pursuant to Section 10.4 shall be the principal executive, financial or accounting officer of the Company.</w:t>
      </w:r>
    </w:p>
    <w:p>
      <w:pPr>
        <w:spacing w:after="0" w:line="17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as to the Company or a Subsidiary Guarantor, a written opinion of counsel, who may be counsel for the Company or such Subsidiary Guarantor, as the case may be, and who shall be acceptable to the Trustee.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26" w:name="page127"/>
    <w:bookmarkEnd w:id="126"/>
    <w:p>
      <w:pPr>
        <w:ind w:right="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Original Issue Discount Security</w:t>
      </w:r>
      <w:r>
        <w:rPr>
          <w:rFonts w:ascii="Arial" w:cs="Arial" w:eastAsia="Arial" w:hAnsi="Arial"/>
          <w:sz w:val="18"/>
          <w:szCs w:val="18"/>
          <w:color w:val="auto"/>
        </w:rPr>
        <w:t>” means any Security which provides for an amount less than the principal amount thereof to be due and payable upon a declaration of acceleration of the Maturity thereof pursuant to Section 5.2.</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when used with respect to Securities, means, as of the date of determination, all Securities theretofore authenticated and delivered under this Indenture, except:</w:t>
      </w:r>
    </w:p>
    <w:p>
      <w:pPr>
        <w:spacing w:after="0" w:line="62" w:lineRule="exact"/>
        <w:rPr>
          <w:sz w:val="20"/>
          <w:szCs w:val="20"/>
          <w:color w:val="auto"/>
        </w:rPr>
      </w:pPr>
    </w:p>
    <w:p>
      <w:pPr>
        <w:ind w:left="840" w:hanging="396"/>
        <w:spacing w:after="0"/>
        <w:tabs>
          <w:tab w:leader="none" w:pos="8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117" w:lineRule="exact"/>
        <w:rPr>
          <w:rFonts w:ascii="Arial" w:cs="Arial" w:eastAsia="Arial" w:hAnsi="Arial"/>
          <w:sz w:val="18"/>
          <w:szCs w:val="18"/>
          <w:color w:val="auto"/>
        </w:rPr>
      </w:pPr>
    </w:p>
    <w:p>
      <w:pPr>
        <w:jc w:val="both"/>
        <w:ind w:firstLine="444"/>
        <w:spacing w:after="0" w:line="259" w:lineRule="auto"/>
        <w:tabs>
          <w:tab w:leader="none" w:pos="831"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spacing w:after="0" w:line="78" w:lineRule="exact"/>
        <w:rPr>
          <w:rFonts w:ascii="Arial" w:cs="Arial" w:eastAsia="Arial" w:hAnsi="Arial"/>
          <w:sz w:val="18"/>
          <w:szCs w:val="18"/>
          <w:color w:val="auto"/>
        </w:rPr>
      </w:pPr>
    </w:p>
    <w:p>
      <w:pPr>
        <w:ind w:left="840" w:hanging="396"/>
        <w:spacing w:after="0"/>
        <w:tabs>
          <w:tab w:leader="none" w:pos="8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Securities as to which Defeasance has been effected pursuant to Section 15.2; and</w:t>
      </w:r>
    </w:p>
    <w:p>
      <w:pPr>
        <w:spacing w:after="0" w:line="117" w:lineRule="exact"/>
        <w:rPr>
          <w:rFonts w:ascii="Arial" w:cs="Arial" w:eastAsia="Arial" w:hAnsi="Arial"/>
          <w:sz w:val="18"/>
          <w:szCs w:val="18"/>
          <w:color w:val="auto"/>
        </w:rPr>
      </w:pPr>
    </w:p>
    <w:p>
      <w:pPr>
        <w:jc w:val="both"/>
        <w:ind w:right="160" w:firstLine="444"/>
        <w:spacing w:after="0" w:line="312" w:lineRule="auto"/>
        <w:tabs>
          <w:tab w:leader="none" w:pos="831" w:val="left"/>
        </w:tabs>
        <w:numPr>
          <w:ilvl w:val="0"/>
          <w:numId w:val="90"/>
        </w:numPr>
        <w:rPr>
          <w:rFonts w:ascii="Arial" w:cs="Arial" w:eastAsia="Arial" w:hAnsi="Arial"/>
          <w:sz w:val="16"/>
          <w:szCs w:val="16"/>
          <w:color w:val="auto"/>
        </w:rPr>
      </w:pPr>
      <w:r>
        <w:rPr>
          <w:rFonts w:ascii="Arial" w:cs="Arial" w:eastAsia="Arial" w:hAnsi="Arial"/>
          <w:sz w:val="16"/>
          <w:szCs w:val="16"/>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4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5.2, (B) if, as of such date, the principal amount payable at the Stated Maturity of a Security is not determinable, the principal amount of such Security which shall be deemed to be Outstanding shall be the amount as specified or determined as contemplated by Section 3.1, (C) the principal amount of a Security denominated in one or more foreign currencies or currency units which shall be deemed to be Outstanding shall be the U.S. dollar equivalent, determined as of such date in the manner provided as contemplated by Section 3.1, of the principal amount of such Security (or, in the case of a Security described in clause (A) or (B) above, of the amount determined as provided in such clause), and (D) Securities owned by the Company, any Subsidiary Guarantor or any other obligor upon the Securities or any Affiliate of the Company, any Subsidiary Guarantor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a Subsidiary Guarantor or any other obligor upon the Securities or any Affiliate of the Company, a Subsidiary Guarantor or of such other obligor.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27" w:name="page128"/>
    <w:bookmarkEnd w:id="127"/>
    <w:p>
      <w:pPr>
        <w:ind w:right="18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authorized by the Company to pay the principal of or any premium or interest on any Securities on behalf of the Company.</w:t>
      </w:r>
    </w:p>
    <w:p>
      <w:pPr>
        <w:spacing w:after="0" w:line="170"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limited liability company, joint venture, trust, estate, association, unincorporated organization or government or any agency or political subdivision thereof.</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 of Payment</w:t>
      </w:r>
      <w:r>
        <w:rPr>
          <w:rFonts w:ascii="Arial" w:cs="Arial" w:eastAsia="Arial" w:hAnsi="Arial"/>
          <w:sz w:val="18"/>
          <w:szCs w:val="18"/>
          <w:color w:val="auto"/>
        </w:rPr>
        <w:t>”, when used with respect to the Securities of any series, means the place or places where the principal of and any premium and interest on the Securities of that series are payable as specified as contemplated by Section 3.1.</w:t>
      </w:r>
    </w:p>
    <w:p>
      <w:pPr>
        <w:spacing w:after="0" w:line="170" w:lineRule="exact"/>
        <w:rPr>
          <w:sz w:val="20"/>
          <w:szCs w:val="20"/>
          <w:color w:val="auto"/>
        </w:rPr>
      </w:pPr>
    </w:p>
    <w:p>
      <w:pPr>
        <w:jc w:val="both"/>
        <w:ind w:right="2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147"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when used with respect to any Security to be redeemed, means the date fixed for such redemption by or pursuant to this Indenture.</w:t>
      </w:r>
    </w:p>
    <w:p>
      <w:pPr>
        <w:spacing w:after="0" w:line="170"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when used with respect to any Security to be redeemed, means the price at which it is to be redeemed pursuant to this Indenture.</w:t>
      </w:r>
    </w:p>
    <w:p>
      <w:pPr>
        <w:spacing w:after="0" w:line="170"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for the interest payable on any Interest Payment Date on the Securities of any series means the date specified for that purpose as contemplated by Section 3.1.</w:t>
      </w:r>
    </w:p>
    <w:p>
      <w:pPr>
        <w:spacing w:after="0" w:line="170"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and any statute successor thereto, in each case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Register</w:t>
      </w:r>
      <w:r>
        <w:rPr>
          <w:rFonts w:ascii="Arial" w:cs="Arial" w:eastAsia="Arial" w:hAnsi="Arial"/>
          <w:sz w:val="18"/>
          <w:szCs w:val="18"/>
          <w:color w:val="auto"/>
        </w:rPr>
        <w:t>” and “</w:t>
      </w:r>
      <w:r>
        <w:rPr>
          <w:rFonts w:ascii="Arial" w:cs="Arial" w:eastAsia="Arial" w:hAnsi="Arial"/>
          <w:sz w:val="18"/>
          <w:szCs w:val="18"/>
          <w:u w:val="single" w:color="auto"/>
          <w:color w:val="auto"/>
        </w:rPr>
        <w:t>Security Registrar</w:t>
      </w:r>
      <w:r>
        <w:rPr>
          <w:rFonts w:ascii="Arial" w:cs="Arial" w:eastAsia="Arial" w:hAnsi="Arial"/>
          <w:sz w:val="18"/>
          <w:szCs w:val="18"/>
          <w:color w:val="auto"/>
        </w:rPr>
        <w:t>” have the respective meanings specified in Section 3.5.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Debt</w:t>
      </w:r>
      <w:r>
        <w:rPr>
          <w:rFonts w:ascii="Arial" w:cs="Arial" w:eastAsia="Arial" w:hAnsi="Arial"/>
          <w:sz w:val="18"/>
          <w:szCs w:val="18"/>
          <w:color w:val="auto"/>
        </w:rPr>
        <w:t>” with respect to any series of Securities shall have the meaning specified as contemplated by Section 3.1.</w:t>
      </w:r>
    </w:p>
    <w:p>
      <w:pPr>
        <w:spacing w:after="0" w:line="225" w:lineRule="exact"/>
        <w:rPr>
          <w:sz w:val="20"/>
          <w:szCs w:val="20"/>
          <w:color w:val="auto"/>
        </w:rPr>
      </w:pPr>
    </w:p>
    <w:p>
      <w:pPr>
        <w:ind w:right="26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Subsidiary</w:t>
      </w:r>
      <w:r>
        <w:rPr>
          <w:rFonts w:ascii="Arial" w:cs="Arial" w:eastAsia="Arial" w:hAnsi="Arial"/>
          <w:sz w:val="16"/>
          <w:szCs w:val="16"/>
          <w:color w:val="auto"/>
        </w:rPr>
        <w:t>” means, at any date of determination, any Subsidiary that represents 10% or more of the Company’s consolidated total assets at the end of the most recent fiscal quarter for which financial information is available or 10% or more of the Company’s consolidated net revenues or consolidated operating income for the most recent four quarters for which financial information is available.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128" w:name="page129"/>
    <w:bookmarkEnd w:id="12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Special Record Date</w:t>
      </w:r>
      <w:r>
        <w:rPr>
          <w:rFonts w:ascii="Arial" w:cs="Arial" w:eastAsia="Arial" w:hAnsi="Arial"/>
          <w:sz w:val="18"/>
          <w:szCs w:val="18"/>
          <w:color w:val="auto"/>
        </w:rPr>
        <w:t>” for the payment of any Defaulted Interest means a date fixed by the Trustee pursuant to Section 3.7.</w:t>
      </w:r>
    </w:p>
    <w:p>
      <w:pPr>
        <w:spacing w:after="0" w:line="225" w:lineRule="exact"/>
        <w:rPr>
          <w:sz w:val="20"/>
          <w:szCs w:val="20"/>
          <w:color w:val="auto"/>
        </w:rPr>
      </w:pPr>
    </w:p>
    <w:p>
      <w:pPr>
        <w:ind w:right="20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Stated Maturity</w:t>
      </w:r>
      <w:r>
        <w:rPr>
          <w:rFonts w:ascii="Arial" w:cs="Arial" w:eastAsia="Arial" w:hAnsi="Arial"/>
          <w:sz w:val="17"/>
          <w:szCs w:val="17"/>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4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means (1) a corporation more than 50% of the combined voting power of the outstanding Voting Stock of which is owned, directly or indirectly, by such Person or by one or more other Subsidiaries of such Person or by such Person and one or more Subsidiaries thereof or (2) any other Person (other than a corporation) in which such Person, or one or more other Subsidiaries of such Person or such Person and one or more other Subsidiaries thereof, directly or indirectly, has at least a majority ownership and power to direct the policies, management and affairs thereof.</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Guarantees</w:t>
      </w:r>
      <w:r>
        <w:rPr>
          <w:rFonts w:ascii="Arial" w:cs="Arial" w:eastAsia="Arial" w:hAnsi="Arial"/>
          <w:sz w:val="18"/>
          <w:szCs w:val="18"/>
          <w:color w:val="auto"/>
        </w:rPr>
        <w:t>” means the guarantees of each Subsidiary Guarantor as provided in Article XIII.</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Guarantors</w:t>
      </w:r>
      <w:r>
        <w:rPr>
          <w:rFonts w:ascii="Arial" w:cs="Arial" w:eastAsia="Arial" w:hAnsi="Arial"/>
          <w:sz w:val="18"/>
          <w:szCs w:val="18"/>
          <w:color w:val="auto"/>
        </w:rPr>
        <w:t>” means (i) the subsidiaries listed in Schedule I hereto; (ii) each other Subsidiary of the Company that becomes a Subsidiary Guarantor in accordance with Section 13.5 hereof, and (iii) any successor of the foregoing, in each case (i), (ii) and (iii) until such Subsidiary Guarantor ceases to be such in accordance with Section 13.4 hereof.</w:t>
      </w:r>
    </w:p>
    <w:p>
      <w:pPr>
        <w:spacing w:after="0" w:line="18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means the Trust Indenture Act of 1939 as in force at the date as of which this instrument was executed; provided, however, that in the event the Trust Indenture Act of 1939 is amended after such date, “Trust Indenture Act” means, to the extent required by any such amendment, the Trust Indenture Act of 1939 as so amended.</w:t>
      </w:r>
    </w:p>
    <w:p>
      <w:pPr>
        <w:spacing w:after="0" w:line="18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Obligation</w:t>
      </w:r>
      <w:r>
        <w:rPr>
          <w:rFonts w:ascii="Arial" w:cs="Arial" w:eastAsia="Arial" w:hAnsi="Arial"/>
          <w:sz w:val="18"/>
          <w:szCs w:val="18"/>
          <w:color w:val="auto"/>
        </w:rPr>
        <w:t>” has the meaning specified in Section 15.4.</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Vice President</w:t>
      </w:r>
      <w:r>
        <w:rPr>
          <w:rFonts w:ascii="Arial" w:cs="Arial" w:eastAsia="Arial" w:hAnsi="Arial"/>
          <w:sz w:val="18"/>
          <w:szCs w:val="18"/>
          <w:color w:val="auto"/>
        </w:rPr>
        <w:t>”, when used with respect to the Company or the Trustee, means any vice president, whether or not designated by a number or a word or words added before or after the title “vice president”.</w:t>
      </w:r>
    </w:p>
    <w:p>
      <w:pPr>
        <w:spacing w:after="0" w:line="17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of any Person means Capital Stock of such Person which ordinarily has voting power for the election of directors (or persons performing similar functions) of such Person, whether at all times or only so long as no senior class of securities has such voting power by reason of any contingency.</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of any Person means a Subsidiary of such Person all of the outstanding Capital Stock of which (other than directors’ qualifying shares) shall at the time be owned by such Person or by one or more Wholly Owned Subsidiaries of such Person or by such Person and one or more Wholly Owned Subsidiaries of such Person.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29" w:name="page130"/>
    <w:bookmarkEnd w:id="129"/>
    <w:p>
      <w:pPr>
        <w:ind w:left="44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1.2.</w:t>
      </w:r>
      <w:r>
        <w:rPr>
          <w:sz w:val="20"/>
          <w:szCs w:val="20"/>
          <w:color w:val="auto"/>
        </w:rPr>
        <w:tab/>
      </w:r>
      <w:r>
        <w:rPr>
          <w:rFonts w:ascii="Arial" w:cs="Arial" w:eastAsia="Arial" w:hAnsi="Arial"/>
          <w:sz w:val="16"/>
          <w:szCs w:val="16"/>
          <w:u w:val="single" w:color="auto"/>
          <w:color w:val="auto"/>
        </w:rPr>
        <w:t>Compliance Certificates and Opinions</w:t>
      </w:r>
      <w:r>
        <w:rPr>
          <w:rFonts w:ascii="Arial" w:cs="Arial" w:eastAsia="Arial" w:hAnsi="Arial"/>
          <w:sz w:val="16"/>
          <w:szCs w:val="16"/>
          <w:color w:val="auto"/>
        </w:rPr>
        <w:t>.</w:t>
      </w:r>
    </w:p>
    <w:p>
      <w:pPr>
        <w:spacing w:after="0" w:line="225"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Upon any application or request by the Company or any Subsidiary Guarantor to the Trustee to take any action under any provision of this Indenture, the Company and/or such Subsidiary Guarantor, as appropriate, shall furnish to the Trustee such certificates and opinions as may be required under the Trust Indenture Act. Each such certificate or opinion shall be given in the form of an Officers’ Certificate, if to be given by an officer of the Company or a Subsidiary Guarantor, or an Opinion of Counsel, if to be given by counsel, and shall comply with the requirements of the Trust Indenture Act and any other requirements set forth in this Indenture.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shall include:</w:t>
      </w:r>
    </w:p>
    <w:p>
      <w:pPr>
        <w:spacing w:after="0" w:line="117" w:lineRule="exact"/>
        <w:rPr>
          <w:sz w:val="20"/>
          <w:szCs w:val="20"/>
          <w:color w:val="auto"/>
        </w:rPr>
      </w:pPr>
    </w:p>
    <w:p>
      <w:pPr>
        <w:ind w:left="840" w:hanging="396"/>
        <w:spacing w:after="0"/>
        <w:tabs>
          <w:tab w:leader="none" w:pos="8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covenant or condition and the definitions herein relating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102" w:lineRule="exact"/>
        <w:rPr>
          <w:rFonts w:ascii="Arial" w:cs="Arial" w:eastAsia="Arial" w:hAnsi="Arial"/>
          <w:sz w:val="16"/>
          <w:szCs w:val="16"/>
          <w:color w:val="auto"/>
        </w:rPr>
      </w:pPr>
    </w:p>
    <w:p>
      <w:pPr>
        <w:ind w:right="380" w:firstLine="444"/>
        <w:spacing w:after="0" w:line="277" w:lineRule="auto"/>
        <w:tabs>
          <w:tab w:leader="none" w:pos="831"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right="460" w:firstLine="444"/>
        <w:spacing w:after="0" w:line="277" w:lineRule="auto"/>
        <w:tabs>
          <w:tab w:leader="none" w:pos="831"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62" w:lineRule="exact"/>
        <w:rPr>
          <w:rFonts w:ascii="Arial" w:cs="Arial" w:eastAsia="Arial" w:hAnsi="Arial"/>
          <w:sz w:val="18"/>
          <w:szCs w:val="18"/>
          <w:color w:val="auto"/>
        </w:rPr>
      </w:pPr>
    </w:p>
    <w:p>
      <w:pPr>
        <w:ind w:left="840" w:hanging="396"/>
        <w:spacing w:after="0"/>
        <w:tabs>
          <w:tab w:leader="none" w:pos="8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Form of Documents Delivered to Trustee</w:t>
      </w:r>
      <w:r>
        <w:rPr>
          <w:rFonts w:ascii="Arial" w:cs="Arial" w:eastAsia="Arial" w:hAnsi="Arial"/>
          <w:sz w:val="16"/>
          <w:szCs w:val="16"/>
          <w:color w:val="auto"/>
        </w:rPr>
        <w:t>.</w:t>
      </w:r>
    </w:p>
    <w:p>
      <w:pPr>
        <w:spacing w:after="0" w:line="22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Any certificate or opinion of an officer of the Company or a Subsidiary Guarantor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or such Subsidiary Guarantor stating that the information with respect to such factual matters is in the possession of the Company or such Subsidiary Guarantor, unless such counsel knows, or in the exercise of reasonable care should know, that the certificate or opinion or representations with respect to such matters are erroneous.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30" w:name="page131"/>
    <w:bookmarkEnd w:id="130"/>
    <w:p>
      <w:pPr>
        <w:ind w:right="3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 any Person is required to make, give or execute two or more applications, requests, consents, certificates, statements, opinions or other instruments under this Indenture, they may, but need not, be consolidated and form one instrument.</w:t>
      </w:r>
    </w:p>
    <w:p>
      <w:pPr>
        <w:spacing w:after="0" w:line="170"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Acts of Holders; Record Dates</w:t>
      </w:r>
      <w:r>
        <w:rPr>
          <w:rFonts w:ascii="Arial" w:cs="Arial" w:eastAsia="Arial" w:hAnsi="Arial"/>
          <w:sz w:val="16"/>
          <w:szCs w:val="16"/>
          <w:color w:val="auto"/>
        </w:rPr>
        <w:t>.</w:t>
      </w:r>
    </w:p>
    <w:p>
      <w:pPr>
        <w:spacing w:after="0" w:line="225" w:lineRule="exact"/>
        <w:rPr>
          <w:sz w:val="20"/>
          <w:szCs w:val="20"/>
          <w:color w:val="auto"/>
        </w:rPr>
      </w:pPr>
    </w:p>
    <w:p>
      <w:pPr>
        <w:ind w:right="80" w:firstLine="441"/>
        <w:spacing w:after="0" w:line="288" w:lineRule="auto"/>
        <w:rPr>
          <w:sz w:val="20"/>
          <w:szCs w:val="20"/>
          <w:color w:val="auto"/>
        </w:rPr>
      </w:pPr>
      <w:r>
        <w:rPr>
          <w:rFonts w:ascii="Arial" w:cs="Arial" w:eastAsia="Arial" w:hAnsi="Arial"/>
          <w:sz w:val="16"/>
          <w:szCs w:val="16"/>
          <w:color w:val="auto"/>
        </w:rPr>
        <w:t>Whenever in this Indenture it is provided that the Holders of a specified percentage in aggregate principal amount of the Securities of any or all series may take action (including the making of any demand or request, the giving of any direction,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(b) by the record of the Holders voting in favor thereof at any meeting of Holders duly called and held in accordance with procedures approved by the Trustee, (c) by a combination of such instrument or instruments and any such record of such a meeting of Holders or (d) in the case of Securities evidenced by a Global Security, by any electronic transmission or other message, whether or not in written format, that complies with the Depositary’s applicable procedures. Such evidence (and the action embodied therein and evidenced thereby) are herein sometimes referred to as the “Act” of the relevant Holders. Proof of execution of any such instrument or of a writing appointing any such agent or proxy shall be sufficient for any purpose of this Indenture and (subject to Section 6.1) conclusive in favor of the Trustee and the Company, if made in the manner provided in this Section.</w:t>
      </w:r>
    </w:p>
    <w:p>
      <w:pPr>
        <w:spacing w:after="0" w:line="169"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that the Trustee deems sufficient. The ownership of Securities shall be proved by the Security Register.</w:t>
      </w:r>
    </w:p>
    <w:p>
      <w:pPr>
        <w:spacing w:after="0" w:line="193"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31" w:name="page132"/>
    <w:bookmarkEnd w:id="131"/>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1.6.</w:t>
      </w:r>
    </w:p>
    <w:p>
      <w:pPr>
        <w:spacing w:after="0" w:line="166"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The Trustee may set any day as a record date for the purpose of determining the Holders of Outstanding Securities of any series entitled to join in the giving or making of (i) any Notice of Default, (ii) any declaration of acceleration referred to in Section 5.2, (iii) any request to institute proceedings referred to in Section 5.7(2)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1.6.</w:t>
      </w:r>
    </w:p>
    <w:p>
      <w:pPr>
        <w:spacing w:after="0" w:line="169"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With respect to any record date set pursuant to this Section, the party hereto which sets such record dates may designate any day as the “Expiration Date” and from time to time may change the Expiration Date to any earlier or later day; provided that no such change shall be effective unless notice of the proposed new Expiration Date is given to the other party hereto in writing, and to each Holder of Securities of the relevant series in the manner set forth in Section 1.6,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78" w:lineRule="exact"/>
        <w:rPr>
          <w:sz w:val="20"/>
          <w:szCs w:val="20"/>
          <w:color w:val="auto"/>
        </w:rPr>
      </w:pPr>
    </w:p>
    <w:p>
      <w:pPr>
        <w:jc w:val="both"/>
        <w:ind w:right="340" w:firstLine="441"/>
        <w:spacing w:after="0" w:line="264" w:lineRule="auto"/>
        <w:rPr>
          <w:sz w:val="20"/>
          <w:szCs w:val="20"/>
          <w:color w:val="auto"/>
        </w:rPr>
      </w:pPr>
      <w:r>
        <w:rPr>
          <w:rFonts w:ascii="Arial" w:cs="Arial" w:eastAsia="Arial" w:hAnsi="Arial"/>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132" w:name="page133"/>
    <w:bookmarkEnd w:id="132"/>
    <w:p>
      <w:pPr>
        <w:ind w:left="44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1.5.</w:t>
      </w:r>
      <w:r>
        <w:rPr>
          <w:sz w:val="20"/>
          <w:szCs w:val="20"/>
          <w:color w:val="auto"/>
        </w:rPr>
        <w:tab/>
      </w:r>
      <w:r>
        <w:rPr>
          <w:rFonts w:ascii="Arial" w:cs="Arial" w:eastAsia="Arial" w:hAnsi="Arial"/>
          <w:sz w:val="16"/>
          <w:szCs w:val="16"/>
          <w:u w:val="single" w:color="auto"/>
          <w:color w:val="auto"/>
        </w:rPr>
        <w:t>Notices, Etc., to Trustee and Company</w:t>
      </w:r>
      <w:r>
        <w:rPr>
          <w:rFonts w:ascii="Arial" w:cs="Arial" w:eastAsia="Arial" w:hAnsi="Arial"/>
          <w:sz w:val="16"/>
          <w:szCs w:val="16"/>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Any request, demand, authorization, direction, notice, consent, waiver or Act of Holders or other document provided or permitted by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 to be made upon, given or furnished to, or filed with:</w:t>
      </w:r>
    </w:p>
    <w:p>
      <w:pPr>
        <w:spacing w:after="0" w:line="103" w:lineRule="exact"/>
        <w:rPr>
          <w:sz w:val="20"/>
          <w:szCs w:val="20"/>
          <w:color w:val="auto"/>
        </w:rPr>
      </w:pPr>
    </w:p>
    <w:p>
      <w:pPr>
        <w:ind w:right="260" w:firstLine="444"/>
        <w:spacing w:after="0" w:line="342" w:lineRule="auto"/>
        <w:tabs>
          <w:tab w:leader="none" w:pos="831"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Trustee by any Holder or by the Company or any Subsidiary Guarantor shall be sufficient for every purpose hereunder if made, given, furnished or filed in writing in the English language to or with the Trustee at its Corporate Trust Office, Attention: Corporate Trust Department; or</w:t>
      </w:r>
    </w:p>
    <w:p>
      <w:pPr>
        <w:spacing w:after="0" w:line="15" w:lineRule="exact"/>
        <w:rPr>
          <w:rFonts w:ascii="Arial" w:cs="Arial" w:eastAsia="Arial" w:hAnsi="Arial"/>
          <w:sz w:val="16"/>
          <w:szCs w:val="16"/>
          <w:color w:val="auto"/>
        </w:rPr>
      </w:pPr>
    </w:p>
    <w:p>
      <w:pPr>
        <w:jc w:val="both"/>
        <w:ind w:right="60" w:firstLine="444"/>
        <w:spacing w:after="0" w:line="297" w:lineRule="auto"/>
        <w:tabs>
          <w:tab w:leader="none" w:pos="831"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Company or any Subsidiary Guarantor by the Trustee or by any Holder shall be sufficient for every purpose hereunder (unless otherwise herein expressly provided) if in writing in the English language and mailed, first-class postage prepaid, in the case of the Company addressed to it at the address of its principal office specified in the first paragraph of this instrument or at any other address previously furnished in writing to the Trustee by the Company and, in the case of any Subsidiary Guarantor, to it at the address of the Company’s principal office specified in the first paragraph of this instrument, Attention: Chief Financial Officer, or at any other address previously furnished in writing to the Trustee by such Subsidiary Guarantor.</w:t>
      </w:r>
    </w:p>
    <w:p>
      <w:pPr>
        <w:spacing w:after="0" w:line="158"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6"/>
          <w:szCs w:val="16"/>
          <w:u w:val="single" w:color="auto"/>
          <w:color w:val="auto"/>
        </w:rPr>
        <w:t>Notice to Holders; Waiver</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Where this Indenture provides for notice to Holders of any event, such notice shall be sufficiently given (unless otherwise herein expressly provided) if in writing in the English language and mailed, first-class postage prepaid, to each Holder affected by such event, at his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92" w:lineRule="exact"/>
        <w:rPr>
          <w:sz w:val="20"/>
          <w:szCs w:val="20"/>
          <w:color w:val="auto"/>
        </w:rPr>
      </w:pPr>
    </w:p>
    <w:p>
      <w:pPr>
        <w:ind w:right="260" w:firstLine="441"/>
        <w:spacing w:after="0" w:line="342" w:lineRule="auto"/>
        <w:rPr>
          <w:sz w:val="20"/>
          <w:szCs w:val="20"/>
          <w:color w:val="auto"/>
        </w:rPr>
      </w:pPr>
      <w:r>
        <w:rPr>
          <w:rFonts w:ascii="Arial" w:cs="Arial" w:eastAsia="Arial" w:hAnsi="Arial"/>
          <w:sz w:val="16"/>
          <w:szCs w:val="16"/>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24"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7"/>
          <w:szCs w:val="17"/>
          <w:u w:val="single" w:color="auto"/>
          <w:color w:val="auto"/>
        </w:rPr>
        <w:t>Conflict with Trust Indenture Act</w:t>
      </w:r>
      <w:r>
        <w:rPr>
          <w:rFonts w:ascii="Arial" w:cs="Arial" w:eastAsia="Arial" w:hAnsi="Arial"/>
          <w:sz w:val="17"/>
          <w:szCs w:val="17"/>
          <w:color w:val="auto"/>
        </w:rPr>
        <w:t>.</w:t>
      </w:r>
    </w:p>
    <w:p>
      <w:pPr>
        <w:spacing w:after="0" w:line="225"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33" w:name="page134"/>
    <w:bookmarkEnd w:id="133"/>
    <w:p>
      <w:pPr>
        <w:ind w:left="44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1.8.</w:t>
      </w:r>
      <w:r>
        <w:rPr>
          <w:sz w:val="20"/>
          <w:szCs w:val="20"/>
          <w:color w:val="auto"/>
        </w:rPr>
        <w:tab/>
      </w:r>
      <w:r>
        <w:rPr>
          <w:rFonts w:ascii="Arial" w:cs="Arial" w:eastAsia="Arial" w:hAnsi="Arial"/>
          <w:sz w:val="16"/>
          <w:szCs w:val="16"/>
          <w:u w:val="single" w:color="auto"/>
          <w:color w:val="auto"/>
        </w:rPr>
        <w:t>Effect of Headings and Table of Contents</w:t>
      </w:r>
      <w:r>
        <w:rPr>
          <w:rFonts w:ascii="Arial" w:cs="Arial" w:eastAsia="Arial" w:hAnsi="Arial"/>
          <w:sz w:val="16"/>
          <w:szCs w:val="16"/>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Article and Section headings herein and the Table of Contents are for convenience only and shall not affect the construction hereof.</w:t>
      </w:r>
    </w:p>
    <w:p>
      <w:pPr>
        <w:spacing w:after="0" w:line="237"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All covenants and agreements in this Indenture by the Company and any Subsidiary Guarantor shall bind their respective successors and assigns, whether so expressed or not.</w:t>
      </w:r>
    </w:p>
    <w:p>
      <w:pPr>
        <w:spacing w:after="0" w:line="170"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6"/>
          <w:szCs w:val="16"/>
          <w:u w:val="single" w:color="auto"/>
          <w:color w:val="auto"/>
        </w:rPr>
        <w:t>Separability Clause</w:t>
      </w:r>
      <w:r>
        <w:rPr>
          <w:rFonts w:ascii="Arial" w:cs="Arial" w:eastAsia="Arial" w:hAnsi="Arial"/>
          <w:sz w:val="16"/>
          <w:szCs w:val="16"/>
          <w:color w:val="auto"/>
        </w:rPr>
        <w:t>.</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In case any provision in this Indenture, the Securities or the Subsidiary Guarantees shall be invalid, illegal or unenforceable, the validity, legality and enforce ability of the remaining provisions shall not in any way be affected or impaired thereby.</w:t>
      </w:r>
    </w:p>
    <w:p>
      <w:pPr>
        <w:spacing w:after="0" w:line="170"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6"/>
          <w:szCs w:val="16"/>
          <w:u w:val="single" w:color="auto"/>
          <w:color w:val="auto"/>
        </w:rPr>
        <w:t>Benefits of Indenture</w:t>
      </w:r>
      <w:r>
        <w:rPr>
          <w:rFonts w:ascii="Arial" w:cs="Arial" w:eastAsia="Arial" w:hAnsi="Arial"/>
          <w:sz w:val="16"/>
          <w:szCs w:val="16"/>
          <w:color w:val="auto"/>
        </w:rPr>
        <w:t>.</w:t>
      </w:r>
    </w:p>
    <w:p>
      <w:pPr>
        <w:spacing w:after="0" w:line="22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Nothing in this Indenture, the Securities or the Subsidiary Guarantees, express or implied, shall give to any Person, other than the parties hereto and their successors hereunder, the holders of Senior Debt and the Holders, any benefit or any legal or equitable right, remedy or claim under this Indenture.</w:t>
      </w:r>
    </w:p>
    <w:p>
      <w:pPr>
        <w:spacing w:after="0" w:line="181"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Indenture, the Securities and the Subsidiary Guarantees shall be governed by and construed in accordance with the law of the State of New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11"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Legal Holidays</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In any case where any Interest Payment Date, Redemption Date, purchase date or Stated Maturity of any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Redemption Date or purchase date, or at the Stated Maturity.</w:t>
      </w:r>
    </w:p>
    <w:p>
      <w:pPr>
        <w:spacing w:after="0" w:line="173"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1.14.</w:t>
      </w:r>
      <w:r>
        <w:rPr>
          <w:sz w:val="20"/>
          <w:szCs w:val="20"/>
          <w:color w:val="auto"/>
        </w:rPr>
        <w:tab/>
      </w: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w:t>
      </w:r>
    </w:p>
    <w:p>
      <w:pPr>
        <w:spacing w:after="0" w:line="225" w:lineRule="exact"/>
        <w:rPr>
          <w:sz w:val="20"/>
          <w:szCs w:val="20"/>
          <w:color w:val="auto"/>
        </w:rPr>
      </w:pPr>
    </w:p>
    <w:p>
      <w:pPr>
        <w:jc w:val="both"/>
        <w:ind w:right="20" w:firstLine="441"/>
        <w:spacing w:after="0" w:line="302" w:lineRule="auto"/>
        <w:rPr>
          <w:sz w:val="20"/>
          <w:szCs w:val="20"/>
          <w:color w:val="auto"/>
        </w:rPr>
      </w:pPr>
      <w:r>
        <w:rPr>
          <w:rFonts w:ascii="Arial" w:cs="Arial" w:eastAsia="Arial" w:hAnsi="Arial"/>
          <w:sz w:val="16"/>
          <w:szCs w:val="16"/>
          <w:color w:val="auto"/>
        </w:rPr>
        <w:t>No director, officer, employee, incorporator, stockholder, member, partner or trustee of the Company or any Subsidiary Guarantor, as such, shall have any liability for any obligations of the Company or any Subsidiary Guarantor under the Securities, this Indenture or any Subsidiary Guarantees or for any claim based on, in respect of, or by reason of, such obligations or their creation. By accepting a Security, each Holder shall be deemed to have waived and released all such liability. The waiver and release shall be a party of the consideration for the issue of the Securities.</w:t>
      </w:r>
    </w:p>
    <w:p>
      <w:pPr>
        <w:spacing w:after="0" w:line="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440" w:top="274" w:right="55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FORMS</w:t>
      </w:r>
    </w:p>
    <w:p>
      <w:pPr>
        <w:spacing w:after="0" w:line="22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Forms Generally</w:t>
      </w:r>
      <w:r>
        <w:rPr>
          <w:rFonts w:ascii="Arial" w:cs="Arial" w:eastAsia="Arial" w:hAnsi="Arial"/>
          <w:sz w:val="16"/>
          <w:szCs w:val="16"/>
          <w:color w:val="auto"/>
        </w:rPr>
        <w:t>.</w:t>
      </w:r>
    </w:p>
    <w:p>
      <w:pPr>
        <w:spacing w:after="0" w:line="225"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The Securities of each series and, if applicable, the notations of Subsidiary Guarantees to be endorsed thereon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or notations of Subsidiary Guarantees, as the case may be,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3.3 for the authentication and delivery of such Securities.</w:t>
      </w:r>
    </w:p>
    <w:p>
      <w:pPr>
        <w:spacing w:after="0" w:line="182"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70"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Form of Face of Security</w:t>
      </w:r>
      <w:r>
        <w:rPr>
          <w:rFonts w:ascii="Arial" w:cs="Arial" w:eastAsia="Arial" w:hAnsi="Arial"/>
          <w:sz w:val="16"/>
          <w:szCs w:val="16"/>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[Insert any legend required by the Internal Revenue Code and the regulations thereunder.]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80" w:type="dxa"/>
            <w:vAlign w:val="bottom"/>
            <w:gridSpan w:val="8"/>
          </w:tcPr>
          <w:p>
            <w:pPr>
              <w:ind w:left="220"/>
              <w:spacing w:after="0"/>
              <w:rPr>
                <w:sz w:val="20"/>
                <w:szCs w:val="20"/>
                <w:color w:val="auto"/>
              </w:rPr>
            </w:pPr>
            <w:r>
              <w:rPr>
                <w:rFonts w:ascii="Arial" w:cs="Arial" w:eastAsia="Arial" w:hAnsi="Arial"/>
                <w:sz w:val="18"/>
                <w:szCs w:val="18"/>
                <w:color w:val="auto"/>
              </w:rPr>
              <w:t>California Resources Corporation</w:t>
            </w:r>
          </w:p>
        </w:tc>
        <w:tc>
          <w:tcPr>
            <w:tcW w:w="460" w:type="dxa"/>
            <w:vAlign w:val="bottom"/>
          </w:tcPr>
          <w:p>
            <w:pPr>
              <w:spacing w:after="0"/>
              <w:rPr>
                <w:sz w:val="20"/>
                <w:szCs w:val="20"/>
                <w:color w:val="auto"/>
              </w:rPr>
            </w:pPr>
          </w:p>
        </w:tc>
      </w:tr>
      <w:tr>
        <w:trPr>
          <w:trHeight w:val="419"/>
        </w:trPr>
        <w:tc>
          <w:tcPr>
            <w:tcW w:w="320" w:type="dxa"/>
            <w:vAlign w:val="bottom"/>
          </w:tcPr>
          <w:p>
            <w:pPr>
              <w:spacing w:after="0"/>
              <w:rPr>
                <w:sz w:val="20"/>
                <w:szCs w:val="20"/>
                <w:color w:val="auto"/>
              </w:rPr>
            </w:pPr>
            <w:r>
              <w:rPr>
                <w:rFonts w:ascii="Arial" w:cs="Arial" w:eastAsia="Arial" w:hAnsi="Arial"/>
                <w:sz w:val="18"/>
                <w:szCs w:val="18"/>
                <w:color w:val="auto"/>
              </w:rPr>
              <w:t>No.</w:t>
            </w:r>
          </w:p>
        </w:tc>
        <w:tc>
          <w:tcPr>
            <w:tcW w:w="900" w:type="dxa"/>
            <w:vAlign w:val="bottom"/>
            <w:tcBorders>
              <w:bottom w:val="single" w:sz="8" w:color="auto"/>
            </w:tcBorders>
            <w:gridSpan w:val="2"/>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438"/>
        </w:trPr>
        <w:tc>
          <w:tcPr>
            <w:tcW w:w="320" w:type="dxa"/>
            <w:vAlign w:val="bottom"/>
          </w:tcPr>
          <w:p>
            <w:pPr>
              <w:spacing w:after="0"/>
              <w:rPr>
                <w:sz w:val="24"/>
                <w:szCs w:val="24"/>
                <w:color w:val="auto"/>
              </w:rPr>
            </w:pPr>
          </w:p>
        </w:tc>
        <w:tc>
          <w:tcPr>
            <w:tcW w:w="10700" w:type="dxa"/>
            <w:vAlign w:val="bottom"/>
            <w:gridSpan w:val="17"/>
          </w:tcPr>
          <w:p>
            <w:pPr>
              <w:ind w:left="120"/>
              <w:spacing w:after="0"/>
              <w:rPr>
                <w:sz w:val="20"/>
                <w:szCs w:val="20"/>
                <w:color w:val="auto"/>
              </w:rPr>
            </w:pPr>
            <w:r>
              <w:rPr>
                <w:rFonts w:ascii="Arial" w:cs="Arial" w:eastAsia="Arial" w:hAnsi="Arial"/>
                <w:sz w:val="18"/>
                <w:szCs w:val="18"/>
                <w:color w:val="auto"/>
                <w:w w:val="94"/>
              </w:rPr>
              <w:t>California Resources Corporation, a corporation duly organized and existing under the laws of Delaware (herein called the “Company,” which</w:t>
            </w:r>
          </w:p>
        </w:tc>
      </w:tr>
      <w:tr>
        <w:trPr>
          <w:trHeight w:val="190"/>
        </w:trPr>
        <w:tc>
          <w:tcPr>
            <w:tcW w:w="9080" w:type="dxa"/>
            <w:vAlign w:val="bottom"/>
            <w:gridSpan w:val="15"/>
          </w:tcPr>
          <w:p>
            <w:pPr>
              <w:spacing w:after="0" w:line="190" w:lineRule="exact"/>
              <w:rPr>
                <w:sz w:val="20"/>
                <w:szCs w:val="20"/>
                <w:color w:val="auto"/>
              </w:rPr>
            </w:pPr>
            <w:r>
              <w:rPr>
                <w:rFonts w:ascii="Arial" w:cs="Arial" w:eastAsia="Arial" w:hAnsi="Arial"/>
                <w:sz w:val="18"/>
                <w:szCs w:val="18"/>
                <w:color w:val="auto"/>
                <w:w w:val="90"/>
              </w:rPr>
              <w:t>term includes any successor Person under the Indenture hereinafter referred to), for value received, hereby promises to pay to</w:t>
            </w:r>
          </w:p>
        </w:tc>
        <w:tc>
          <w:tcPr>
            <w:tcW w:w="1480" w:type="dxa"/>
            <w:vAlign w:val="bottom"/>
            <w:tcBorders>
              <w:bottom w:val="single" w:sz="8" w:color="auto"/>
            </w:tcBorders>
            <w:gridSpan w:val="2"/>
          </w:tcPr>
          <w:p>
            <w:pPr>
              <w:spacing w:after="0"/>
              <w:rPr>
                <w:sz w:val="16"/>
                <w:szCs w:val="16"/>
                <w:color w:val="auto"/>
              </w:rPr>
            </w:pPr>
          </w:p>
        </w:tc>
        <w:tc>
          <w:tcPr>
            <w:tcW w:w="460" w:type="dxa"/>
            <w:vAlign w:val="bottom"/>
          </w:tcPr>
          <w:p>
            <w:pPr>
              <w:spacing w:after="0" w:line="190" w:lineRule="exact"/>
              <w:rPr>
                <w:sz w:val="20"/>
                <w:szCs w:val="20"/>
                <w:color w:val="auto"/>
              </w:rPr>
            </w:pPr>
            <w:r>
              <w:rPr>
                <w:rFonts w:ascii="Arial" w:cs="Arial" w:eastAsia="Arial" w:hAnsi="Arial"/>
                <w:sz w:val="18"/>
                <w:szCs w:val="18"/>
                <w:color w:val="auto"/>
              </w:rPr>
              <w:t>, or</w:t>
            </w:r>
          </w:p>
        </w:tc>
      </w:tr>
      <w:tr>
        <w:trPr>
          <w:trHeight w:val="196"/>
        </w:trPr>
        <w:tc>
          <w:tcPr>
            <w:tcW w:w="2860" w:type="dxa"/>
            <w:vAlign w:val="bottom"/>
            <w:gridSpan w:val="6"/>
          </w:tcPr>
          <w:p>
            <w:pPr>
              <w:spacing w:after="0" w:line="196" w:lineRule="exact"/>
              <w:rPr>
                <w:sz w:val="20"/>
                <w:szCs w:val="20"/>
                <w:color w:val="auto"/>
              </w:rPr>
            </w:pPr>
            <w:r>
              <w:rPr>
                <w:rFonts w:ascii="Arial" w:cs="Arial" w:eastAsia="Arial" w:hAnsi="Arial"/>
                <w:sz w:val="18"/>
                <w:szCs w:val="18"/>
                <w:color w:val="auto"/>
                <w:w w:val="90"/>
              </w:rPr>
              <w:t>registered assigns, the principal sum of</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40" w:type="dxa"/>
            <w:vAlign w:val="bottom"/>
            <w:gridSpan w:val="2"/>
          </w:tcPr>
          <w:p>
            <w:pPr>
              <w:ind w:left="40"/>
              <w:spacing w:after="0" w:line="196" w:lineRule="exact"/>
              <w:rPr>
                <w:sz w:val="20"/>
                <w:szCs w:val="20"/>
                <w:color w:val="auto"/>
              </w:rPr>
            </w:pPr>
            <w:r>
              <w:rPr>
                <w:rFonts w:ascii="Arial" w:cs="Arial" w:eastAsia="Arial" w:hAnsi="Arial"/>
                <w:sz w:val="18"/>
                <w:szCs w:val="18"/>
                <w:color w:val="auto"/>
                <w:w w:val="96"/>
              </w:rPr>
              <w:t>Dollars on</w:t>
            </w:r>
          </w:p>
        </w:tc>
        <w:tc>
          <w:tcPr>
            <w:tcW w:w="5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700" w:type="dxa"/>
            <w:vAlign w:val="bottom"/>
            <w:gridSpan w:val="6"/>
          </w:tcPr>
          <w:p>
            <w:pPr>
              <w:ind w:left="40"/>
              <w:spacing w:after="0" w:line="196" w:lineRule="exact"/>
              <w:rPr>
                <w:sz w:val="20"/>
                <w:szCs w:val="20"/>
                <w:color w:val="auto"/>
              </w:rPr>
            </w:pPr>
            <w:r>
              <w:rPr>
                <w:rFonts w:ascii="Arial" w:cs="Arial" w:eastAsia="Arial" w:hAnsi="Arial"/>
                <w:sz w:val="18"/>
                <w:szCs w:val="18"/>
                <w:color w:val="auto"/>
              </w:rPr>
              <w:t>[if the Security is to bear interest prior to Maturity, insert — , and to pay</w:t>
            </w:r>
          </w:p>
        </w:tc>
      </w:tr>
      <w:tr>
        <w:trPr>
          <w:trHeight w:val="196"/>
        </w:trPr>
        <w:tc>
          <w:tcPr>
            <w:tcW w:w="1560" w:type="dxa"/>
            <w:vAlign w:val="bottom"/>
            <w:gridSpan w:val="4"/>
          </w:tcPr>
          <w:p>
            <w:pPr>
              <w:spacing w:after="0" w:line="196" w:lineRule="exact"/>
              <w:rPr>
                <w:sz w:val="20"/>
                <w:szCs w:val="20"/>
                <w:color w:val="auto"/>
              </w:rPr>
            </w:pPr>
            <w:r>
              <w:rPr>
                <w:rFonts w:ascii="Arial" w:cs="Arial" w:eastAsia="Arial" w:hAnsi="Arial"/>
                <w:sz w:val="18"/>
                <w:szCs w:val="18"/>
                <w:color w:val="auto"/>
                <w:w w:val="92"/>
              </w:rPr>
              <w:t>interest thereon from</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980" w:type="dxa"/>
            <w:vAlign w:val="bottom"/>
            <w:gridSpan w:val="11"/>
          </w:tcPr>
          <w:p>
            <w:pPr>
              <w:ind w:left="40"/>
              <w:spacing w:after="0" w:line="196" w:lineRule="exact"/>
              <w:rPr>
                <w:sz w:val="20"/>
                <w:szCs w:val="20"/>
                <w:color w:val="auto"/>
              </w:rPr>
            </w:pPr>
            <w:r>
              <w:rPr>
                <w:rFonts w:ascii="Arial" w:cs="Arial" w:eastAsia="Arial" w:hAnsi="Arial"/>
                <w:sz w:val="18"/>
                <w:szCs w:val="18"/>
                <w:color w:val="auto"/>
                <w:w w:val="94"/>
              </w:rPr>
              <w:t>or from the most recent Interest Payment Date to which interest has been paid or duly provided for, semi-</w:t>
            </w:r>
          </w:p>
        </w:tc>
      </w:tr>
      <w:tr>
        <w:trPr>
          <w:trHeight w:val="196"/>
        </w:trPr>
        <w:tc>
          <w:tcPr>
            <w:tcW w:w="900" w:type="dxa"/>
            <w:vAlign w:val="bottom"/>
            <w:gridSpan w:val="2"/>
          </w:tcPr>
          <w:p>
            <w:pPr>
              <w:spacing w:after="0" w:line="196" w:lineRule="exact"/>
              <w:rPr>
                <w:sz w:val="20"/>
                <w:szCs w:val="20"/>
                <w:color w:val="auto"/>
              </w:rPr>
            </w:pPr>
            <w:r>
              <w:rPr>
                <w:rFonts w:ascii="Arial" w:cs="Arial" w:eastAsia="Arial" w:hAnsi="Arial"/>
                <w:sz w:val="18"/>
                <w:szCs w:val="18"/>
                <w:color w:val="auto"/>
                <w:w w:val="95"/>
              </w:rPr>
              <w:t>annually on</w:t>
            </w:r>
          </w:p>
        </w:tc>
        <w:tc>
          <w:tcPr>
            <w:tcW w:w="6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4"/>
          </w:tcPr>
          <w:p>
            <w:pPr>
              <w:ind w:left="40"/>
              <w:spacing w:after="0" w:line="196" w:lineRule="exact"/>
              <w:rPr>
                <w:sz w:val="20"/>
                <w:szCs w:val="20"/>
                <w:color w:val="auto"/>
              </w:rPr>
            </w:pPr>
            <w:r>
              <w:rPr>
                <w:rFonts w:ascii="Arial" w:cs="Arial" w:eastAsia="Arial" w:hAnsi="Arial"/>
                <w:sz w:val="18"/>
                <w:szCs w:val="18"/>
                <w:color w:val="auto"/>
                <w:w w:val="90"/>
              </w:rPr>
              <w:t>and in each year, commencing</w:t>
            </w:r>
          </w:p>
        </w:tc>
        <w:tc>
          <w:tcPr>
            <w:tcW w:w="340" w:type="dxa"/>
            <w:vAlign w:val="bottom"/>
          </w:tcPr>
          <w:p>
            <w:pPr>
              <w:spacing w:after="0"/>
              <w:rPr>
                <w:sz w:val="17"/>
                <w:szCs w:val="17"/>
                <w:color w:val="auto"/>
              </w:rPr>
            </w:pPr>
          </w:p>
        </w:tc>
        <w:tc>
          <w:tcPr>
            <w:tcW w:w="1580" w:type="dxa"/>
            <w:vAlign w:val="bottom"/>
            <w:gridSpan w:val="3"/>
          </w:tcPr>
          <w:p>
            <w:pPr>
              <w:ind w:left="560"/>
              <w:spacing w:after="0" w:line="196" w:lineRule="exact"/>
              <w:rPr>
                <w:sz w:val="20"/>
                <w:szCs w:val="20"/>
                <w:color w:val="auto"/>
              </w:rPr>
            </w:pPr>
            <w:r>
              <w:rPr>
                <w:rFonts w:ascii="Arial" w:cs="Arial" w:eastAsia="Arial" w:hAnsi="Arial"/>
                <w:sz w:val="18"/>
                <w:szCs w:val="18"/>
                <w:color w:val="auto"/>
                <w:w w:val="89"/>
              </w:rPr>
              <w:t>, at the rate of</w:t>
            </w:r>
          </w:p>
        </w:tc>
        <w:tc>
          <w:tcPr>
            <w:tcW w:w="4560" w:type="dxa"/>
            <w:vAlign w:val="bottom"/>
            <w:gridSpan w:val="4"/>
          </w:tcPr>
          <w:p>
            <w:pPr>
              <w:ind w:left="360"/>
              <w:spacing w:after="0" w:line="196" w:lineRule="exact"/>
              <w:rPr>
                <w:sz w:val="20"/>
                <w:szCs w:val="20"/>
                <w:color w:val="auto"/>
              </w:rPr>
            </w:pPr>
            <w:r>
              <w:rPr>
                <w:rFonts w:ascii="Arial" w:cs="Arial" w:eastAsia="Arial" w:hAnsi="Arial"/>
                <w:sz w:val="18"/>
                <w:szCs w:val="18"/>
                <w:color w:val="auto"/>
                <w:w w:val="95"/>
              </w:rPr>
              <w:t>% per annum, until the principal hereof is paid or made</w:t>
            </w:r>
          </w:p>
        </w:tc>
        <w:tc>
          <w:tcPr>
            <w:tcW w:w="46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available for payment, provided that any principal and premium, and any such installment of interest, which is overdue shall bear interest at the rate of ___% per annum (to the extent that the payment of such interest shall be legally enforceable), from the dates such amounts are due until they are paid or made available for payment, and such interest shall be payable on demand. The interest so payable,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135" w:name="page136"/>
    <w:bookmarkEnd w:id="135"/>
    <w:p>
      <w:pPr>
        <w:ind w:right="2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w:t>
      </w:r>
    </w:p>
    <w:p>
      <w:pPr>
        <w:ind w:right="20" w:firstLine="945"/>
        <w:spacing w:after="0" w:line="290" w:lineRule="auto"/>
        <w:rPr>
          <w:sz w:val="20"/>
          <w:szCs w:val="20"/>
          <w:color w:val="auto"/>
        </w:rPr>
      </w:pPr>
      <w:r>
        <w:rPr>
          <w:rFonts w:ascii="Arial" w:cs="Arial" w:eastAsia="Arial" w:hAnsi="Arial"/>
          <w:sz w:val="16"/>
          <w:szCs w:val="16"/>
          <w:color w:val="auto"/>
        </w:rPr>
        <w:t>or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-734695</wp:posOffset>
            </wp:positionV>
            <wp:extent cx="12954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44"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[If the Security is not to bear interest prior to Maturity, insert — The principal of this Security shall not bear interest except in the case of a default in payment of principal upon acceleration, upon redemption or at Stated Maturity and in such case the overdue principal and any overdue premium shall</w:t>
      </w:r>
    </w:p>
    <w:p>
      <w:pPr>
        <w:spacing w:after="0"/>
        <w:tabs>
          <w:tab w:leader="none" w:pos="2220" w:val="left"/>
        </w:tabs>
        <w:rPr>
          <w:sz w:val="20"/>
          <w:szCs w:val="20"/>
          <w:color w:val="auto"/>
        </w:rPr>
      </w:pPr>
      <w:r>
        <w:rPr>
          <w:rFonts w:ascii="Arial" w:cs="Arial" w:eastAsia="Arial" w:hAnsi="Arial"/>
          <w:sz w:val="18"/>
          <w:szCs w:val="18"/>
          <w:color w:val="auto"/>
        </w:rPr>
        <w:t>bear interest at the rate of</w:t>
      </w:r>
      <w:r>
        <w:rPr>
          <w:sz w:val="20"/>
          <w:szCs w:val="20"/>
          <w:color w:val="auto"/>
        </w:rPr>
        <w:tab/>
      </w:r>
      <w:r>
        <w:rPr>
          <w:rFonts w:ascii="Arial" w:cs="Arial" w:eastAsia="Arial" w:hAnsi="Arial"/>
          <w:sz w:val="16"/>
          <w:szCs w:val="16"/>
          <w:color w:val="auto"/>
        </w:rPr>
        <w:t>% per annum (to the extent that the payment of such interest shall be legally enforceable), from the dates such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1195705</wp:posOffset>
            </wp:positionH>
            <wp:positionV relativeFrom="paragraph">
              <wp:posOffset>-19050</wp:posOffset>
            </wp:positionV>
            <wp:extent cx="2286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are due until they are paid or made available for payment. Interest on any overdue principal or premium shall be payable on demand. Any such interest</w:t>
      </w:r>
    </w:p>
    <w:p>
      <w:pPr>
        <w:spacing w:after="0" w:line="32" w:lineRule="exact"/>
        <w:rPr>
          <w:sz w:val="20"/>
          <w:szCs w:val="20"/>
          <w:color w:val="auto"/>
        </w:rPr>
      </w:pPr>
    </w:p>
    <w:p>
      <w:pPr>
        <w:spacing w:after="0"/>
        <w:tabs>
          <w:tab w:leader="none" w:pos="7160" w:val="left"/>
        </w:tabs>
        <w:rPr>
          <w:sz w:val="20"/>
          <w:szCs w:val="20"/>
          <w:color w:val="auto"/>
        </w:rPr>
      </w:pPr>
      <w:r>
        <w:rPr>
          <w:rFonts w:ascii="Arial" w:cs="Arial" w:eastAsia="Arial" w:hAnsi="Arial"/>
          <w:sz w:val="18"/>
          <w:szCs w:val="18"/>
          <w:color w:val="auto"/>
        </w:rPr>
        <w:t>on overdue principal or premium which is not paid on demand shall bear interest at the rate of</w:t>
      </w:r>
      <w:r>
        <w:rPr>
          <w:sz w:val="20"/>
          <w:szCs w:val="20"/>
          <w:color w:val="auto"/>
        </w:rPr>
        <w:tab/>
      </w:r>
      <w:r>
        <w:rPr>
          <w:rFonts w:ascii="Arial" w:cs="Arial" w:eastAsia="Arial" w:hAnsi="Arial"/>
          <w:sz w:val="16"/>
          <w:szCs w:val="16"/>
          <w:color w:val="auto"/>
        </w:rPr>
        <w:t>% per annum (to the extent that the payment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-19050</wp:posOffset>
            </wp:positionV>
            <wp:extent cx="2286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ind w:right="300"/>
        <w:spacing w:after="0" w:line="261" w:lineRule="auto"/>
        <w:rPr>
          <w:sz w:val="20"/>
          <w:szCs w:val="20"/>
          <w:color w:val="auto"/>
        </w:rPr>
      </w:pPr>
      <w:r>
        <w:rPr>
          <w:rFonts w:ascii="Arial" w:cs="Arial" w:eastAsia="Arial" w:hAnsi="Arial"/>
          <w:sz w:val="18"/>
          <w:szCs w:val="18"/>
          <w:color w:val="auto"/>
        </w:rPr>
        <w:t>interest on interest shall be legally enforceable), from the date of such demand until the amount so demanded is paid or made available for payment. Interest on any overdue interest shall be payable on demand.]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Payment of the principal of (and premium, if any) and [if applicable, insert — any such] interest on this Security will be made at the office or</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agency of the Company maintained for that purpose in ,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-306705</wp:posOffset>
            </wp:positionV>
            <wp:extent cx="571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70"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-10160</wp:posOffset>
            </wp:positionV>
            <wp:extent cx="571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CALIFORNIA RESOURCES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14605</wp:posOffset>
            </wp:positionV>
            <wp:extent cx="261556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82"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136" w:name="page137"/>
    <w:bookmarkEnd w:id="136"/>
    <w:p>
      <w:pPr>
        <w:ind w:left="44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2.3.</w:t>
      </w:r>
      <w:r>
        <w:rPr>
          <w:sz w:val="20"/>
          <w:szCs w:val="20"/>
          <w:color w:val="auto"/>
        </w:rPr>
        <w:tab/>
      </w:r>
      <w:r>
        <w:rPr>
          <w:rFonts w:ascii="Arial" w:cs="Arial" w:eastAsia="Arial" w:hAnsi="Arial"/>
          <w:sz w:val="16"/>
          <w:szCs w:val="16"/>
          <w:u w:val="single" w:color="auto"/>
          <w:color w:val="auto"/>
        </w:rPr>
        <w:t>Form of Reverse of Security</w:t>
      </w:r>
      <w:r>
        <w:rPr>
          <w:rFonts w:ascii="Arial" w:cs="Arial" w:eastAsia="Arial" w:hAnsi="Arial"/>
          <w:sz w:val="16"/>
          <w:szCs w:val="16"/>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Security is one of a duly authorized issue of securities of the Company (herein called the “Securities”), issued and to be issued in one or more</w:t>
      </w:r>
    </w:p>
    <w:p>
      <w:pPr>
        <w:spacing w:after="0" w:line="46" w:lineRule="exact"/>
        <w:rPr>
          <w:sz w:val="20"/>
          <w:szCs w:val="20"/>
          <w:color w:val="auto"/>
        </w:rPr>
      </w:pPr>
    </w:p>
    <w:p>
      <w:pPr>
        <w:spacing w:after="0"/>
        <w:tabs>
          <w:tab w:leader="none" w:pos="3620" w:val="left"/>
          <w:tab w:leader="none" w:pos="4200" w:val="left"/>
        </w:tabs>
        <w:rPr>
          <w:sz w:val="20"/>
          <w:szCs w:val="20"/>
          <w:color w:val="auto"/>
        </w:rPr>
      </w:pPr>
      <w:r>
        <w:rPr>
          <w:rFonts w:ascii="Arial" w:cs="Arial" w:eastAsia="Arial" w:hAnsi="Arial"/>
          <w:sz w:val="18"/>
          <w:szCs w:val="18"/>
          <w:color w:val="auto"/>
        </w:rPr>
        <w:t>series under an Indenture, dated as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(herein called the “Indenture”, which term shall have the meaning assigned to it in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1735455</wp:posOffset>
            </wp:positionH>
            <wp:positionV relativeFrom="paragraph">
              <wp:posOffset>-19050</wp:posOffset>
            </wp:positionV>
            <wp:extent cx="9144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ind w:right="220"/>
        <w:spacing w:after="0" w:line="281" w:lineRule="auto"/>
        <w:rPr>
          <w:sz w:val="20"/>
          <w:szCs w:val="20"/>
          <w:color w:val="auto"/>
        </w:rPr>
      </w:pPr>
      <w:r>
        <w:rPr>
          <w:rFonts w:ascii="Arial" w:cs="Arial" w:eastAsia="Arial" w:hAnsi="Arial"/>
          <w:sz w:val="16"/>
          <w:szCs w:val="16"/>
          <w:color w:val="auto"/>
        </w:rPr>
        <w:t>instrument), among the Company, the Subsidiary Guarantors named therein and [TRUSTEE’S NAME], as Trustee (herein called the “Trustee”, which term includes any successor trustee under the Indenture), and reference is hereby made to the Indenture for a statement of the respective rights, limitations of rights, duties and immunities thereunder of the Company, the Subsidiary Guarantors, the Trustee, the holders of Senior Debt and the Holders of the Securities and of the terms upon which the Securities are, and are to be, authenticated and delivered. This Security is one of the series</w:t>
      </w:r>
    </w:p>
    <w:p>
      <w:pPr>
        <w:spacing w:after="0" w:line="3" w:lineRule="exact"/>
        <w:rPr>
          <w:sz w:val="20"/>
          <w:szCs w:val="20"/>
          <w:color w:val="auto"/>
        </w:rPr>
      </w:pPr>
    </w:p>
    <w:p>
      <w:pPr>
        <w:spacing w:after="0"/>
        <w:tabs>
          <w:tab w:leader="none" w:pos="7520" w:val="left"/>
        </w:tabs>
        <w:rPr>
          <w:sz w:val="20"/>
          <w:szCs w:val="20"/>
          <w:color w:val="auto"/>
        </w:rPr>
      </w:pPr>
      <w:r>
        <w:rPr>
          <w:rFonts w:ascii="Arial" w:cs="Arial" w:eastAsia="Arial" w:hAnsi="Arial"/>
          <w:sz w:val="17"/>
          <w:szCs w:val="17"/>
          <w:color w:val="auto"/>
        </w:rPr>
        <w:t>designated on the face hereof [if applicable, insert — , limited in aggregate principal amount to $</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-12065</wp:posOffset>
            </wp:positionV>
            <wp:extent cx="3429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applicable, insert — The Securities of this series are subject to redemption upon not less than 30 nor more than 60 days’ notice by mail, [if</w:t>
      </w:r>
    </w:p>
    <w:p>
      <w:pPr>
        <w:spacing w:after="0" w:line="35" w:lineRule="exact"/>
        <w:rPr>
          <w:sz w:val="20"/>
          <w:szCs w:val="20"/>
          <w:color w:val="auto"/>
        </w:rPr>
      </w:pPr>
    </w:p>
    <w:p>
      <w:pPr>
        <w:spacing w:after="0"/>
        <w:tabs>
          <w:tab w:leader="none" w:pos="2900" w:val="left"/>
          <w:tab w:leader="none" w:pos="6300" w:val="left"/>
          <w:tab w:leader="none" w:pos="8700" w:val="left"/>
        </w:tabs>
        <w:rPr>
          <w:sz w:val="20"/>
          <w:szCs w:val="20"/>
          <w:color w:val="auto"/>
        </w:rPr>
      </w:pPr>
      <w:r>
        <w:rPr>
          <w:rFonts w:ascii="Arial" w:cs="Arial" w:eastAsia="Arial" w:hAnsi="Arial"/>
          <w:sz w:val="18"/>
          <w:szCs w:val="18"/>
          <w:color w:val="auto"/>
        </w:rPr>
        <w:t>applicable, insert — (1) on</w:t>
      </w:r>
      <w:r>
        <w:rPr>
          <w:sz w:val="20"/>
          <w:szCs w:val="20"/>
          <w:color w:val="auto"/>
        </w:rPr>
        <w:tab/>
      </w:r>
      <w:r>
        <w:rPr>
          <w:rFonts w:ascii="Arial" w:cs="Arial" w:eastAsia="Arial" w:hAnsi="Arial"/>
          <w:sz w:val="18"/>
          <w:szCs w:val="18"/>
          <w:color w:val="auto"/>
        </w:rPr>
        <w:t>in any year commencing with the year</w:t>
      </w:r>
      <w:r>
        <w:rPr>
          <w:sz w:val="20"/>
          <w:szCs w:val="20"/>
          <w:color w:val="auto"/>
        </w:rPr>
        <w:tab/>
      </w:r>
      <w:r>
        <w:rPr>
          <w:rFonts w:ascii="Arial" w:cs="Arial" w:eastAsia="Arial" w:hAnsi="Arial"/>
          <w:sz w:val="18"/>
          <w:szCs w:val="18"/>
          <w:color w:val="auto"/>
        </w:rPr>
        <w:t>and ending with the year</w:t>
      </w:r>
      <w:r>
        <w:rPr>
          <w:sz w:val="20"/>
          <w:szCs w:val="20"/>
          <w:color w:val="auto"/>
        </w:rPr>
        <w:tab/>
      </w:r>
      <w:r>
        <w:rPr>
          <w:rFonts w:ascii="Arial" w:cs="Arial" w:eastAsia="Arial" w:hAnsi="Arial"/>
          <w:sz w:val="16"/>
          <w:szCs w:val="16"/>
          <w:color w:val="auto"/>
        </w:rPr>
        <w:t>through operation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1259205</wp:posOffset>
            </wp:positionH>
            <wp:positionV relativeFrom="paragraph">
              <wp:posOffset>-19050</wp:posOffset>
            </wp:positionV>
            <wp:extent cx="571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-19050</wp:posOffset>
            </wp:positionV>
            <wp:extent cx="3429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5169535</wp:posOffset>
            </wp:positionH>
            <wp:positionV relativeFrom="paragraph">
              <wp:posOffset>-19050</wp:posOffset>
            </wp:positionV>
            <wp:extent cx="3429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sinking fund for this series at a Redemption Price equal to 100% of the principal amount, and (2)] at any time [if applicable, insert — on or after</w:t>
      </w:r>
    </w:p>
    <w:tbl>
      <w:tblPr>
        <w:tblLayout w:type="fixed"/>
        <w:tblInd w:w="0" w:type="dxa"/>
        <w:tblCellMar>
          <w:top w:w="0" w:type="dxa"/>
          <w:left w:w="0" w:type="dxa"/>
          <w:bottom w:w="0" w:type="dxa"/>
          <w:right w:w="0" w:type="dxa"/>
        </w:tblCellMar>
      </w:tblPr>
      <w:tr>
        <w:trPr>
          <w:trHeight w:val="196"/>
        </w:trPr>
        <w:tc>
          <w:tcPr>
            <w:tcW w:w="900" w:type="dxa"/>
            <w:vAlign w:val="bottom"/>
            <w:tcBorders>
              <w:bottom w:val="single" w:sz="8" w:color="auto"/>
            </w:tcBorders>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86"/>
              </w:rPr>
              <w:t>, 20</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0" w:type="dxa"/>
            <w:vAlign w:val="bottom"/>
            <w:gridSpan w:val="14"/>
          </w:tcPr>
          <w:p>
            <w:pPr>
              <w:spacing w:after="0" w:line="196" w:lineRule="exact"/>
              <w:rPr>
                <w:sz w:val="20"/>
                <w:szCs w:val="20"/>
                <w:color w:val="auto"/>
              </w:rPr>
            </w:pPr>
            <w:r>
              <w:rPr>
                <w:rFonts w:ascii="Arial" w:cs="Arial" w:eastAsia="Arial" w:hAnsi="Arial"/>
                <w:sz w:val="18"/>
                <w:szCs w:val="18"/>
                <w:color w:val="auto"/>
                <w:w w:val="96"/>
              </w:rPr>
              <w:t>], as a whole or in part, at the election of the Company, at the following Redemption Prices (expressed as percentages of the</w:t>
            </w:r>
          </w:p>
        </w:tc>
      </w:tr>
      <w:tr>
        <w:trPr>
          <w:trHeight w:val="196"/>
        </w:trPr>
        <w:tc>
          <w:tcPr>
            <w:tcW w:w="5800" w:type="dxa"/>
            <w:vAlign w:val="bottom"/>
            <w:gridSpan w:val="12"/>
          </w:tcPr>
          <w:p>
            <w:pPr>
              <w:spacing w:after="0" w:line="196" w:lineRule="exact"/>
              <w:rPr>
                <w:sz w:val="20"/>
                <w:szCs w:val="20"/>
                <w:color w:val="auto"/>
              </w:rPr>
            </w:pPr>
            <w:r>
              <w:rPr>
                <w:rFonts w:ascii="Arial" w:cs="Arial" w:eastAsia="Arial" w:hAnsi="Arial"/>
                <w:sz w:val="18"/>
                <w:szCs w:val="18"/>
                <w:color w:val="auto"/>
              </w:rPr>
              <w:t>principal amount): If redeemed [if applicable, insert — on or before</w:t>
            </w:r>
          </w:p>
        </w:tc>
        <w:tc>
          <w:tcPr>
            <w:tcW w:w="1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5120" w:type="dxa"/>
            <w:vAlign w:val="bottom"/>
            <w:gridSpan w:val="5"/>
          </w:tcPr>
          <w:p>
            <w:pPr>
              <w:jc w:val="center"/>
              <w:ind w:right="68"/>
              <w:spacing w:after="0" w:line="196" w:lineRule="exact"/>
              <w:rPr>
                <w:sz w:val="20"/>
                <w:szCs w:val="20"/>
                <w:color w:val="auto"/>
              </w:rPr>
            </w:pPr>
            <w:r>
              <w:rPr>
                <w:rFonts w:ascii="Arial" w:cs="Arial" w:eastAsia="Arial" w:hAnsi="Arial"/>
                <w:sz w:val="18"/>
                <w:szCs w:val="18"/>
                <w:color w:val="auto"/>
                <w:w w:val="91"/>
              </w:rPr>
              <w:t>%, and if redeemed] during the 12-month period beginning</w:t>
            </w:r>
          </w:p>
        </w:tc>
      </w:tr>
      <w:tr>
        <w:trPr>
          <w:trHeight w:val="196"/>
        </w:trPr>
        <w:tc>
          <w:tcPr>
            <w:tcW w:w="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0" w:type="dxa"/>
            <w:vAlign w:val="bottom"/>
            <w:gridSpan w:val="6"/>
          </w:tcPr>
          <w:p>
            <w:pPr>
              <w:ind w:left="40"/>
              <w:spacing w:after="0" w:line="196" w:lineRule="exact"/>
              <w:rPr>
                <w:sz w:val="20"/>
                <w:szCs w:val="20"/>
                <w:color w:val="auto"/>
              </w:rPr>
            </w:pPr>
            <w:r>
              <w:rPr>
                <w:rFonts w:ascii="Arial" w:cs="Arial" w:eastAsia="Arial" w:hAnsi="Arial"/>
                <w:sz w:val="18"/>
                <w:szCs w:val="18"/>
                <w:color w:val="auto"/>
              </w:rPr>
              <w:t>of the years indicated,</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26"/>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w w:val="98"/>
              </w:rPr>
              <w:t>Redemption</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3"/>
          </w:tcPr>
          <w:p>
            <w:pPr>
              <w:jc w:val="center"/>
              <w:ind w:right="1828"/>
              <w:spacing w:after="0"/>
              <w:rPr>
                <w:sz w:val="20"/>
                <w:szCs w:val="20"/>
                <w:color w:val="auto"/>
              </w:rPr>
            </w:pPr>
            <w:r>
              <w:rPr>
                <w:rFonts w:ascii="Arial" w:cs="Arial" w:eastAsia="Arial" w:hAnsi="Arial"/>
                <w:sz w:val="14"/>
                <w:szCs w:val="14"/>
                <w:b w:val="1"/>
                <w:bCs w:val="1"/>
                <w:color w:val="auto"/>
                <w:w w:val="91"/>
              </w:rPr>
              <w:t>Redemption</w:t>
            </w:r>
          </w:p>
        </w:tc>
      </w:tr>
      <w:tr>
        <w:trPr>
          <w:trHeight w:val="156"/>
        </w:trPr>
        <w:tc>
          <w:tcPr>
            <w:tcW w:w="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2"/>
          </w:tcPr>
          <w:p>
            <w:pPr>
              <w:ind w:left="560"/>
              <w:spacing w:after="0" w:line="155" w:lineRule="exact"/>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ind w:left="760"/>
              <w:spacing w:after="0" w:line="155" w:lineRule="exact"/>
              <w:rPr>
                <w:sz w:val="20"/>
                <w:szCs w:val="20"/>
                <w:color w:val="auto"/>
              </w:rPr>
            </w:pPr>
            <w:r>
              <w:rPr>
                <w:rFonts w:ascii="Arial" w:cs="Arial" w:eastAsia="Arial" w:hAnsi="Arial"/>
                <w:sz w:val="14"/>
                <w:szCs w:val="14"/>
                <w:b w:val="1"/>
                <w:bCs w:val="1"/>
                <w:color w:val="auto"/>
              </w:rPr>
              <w:t>Year</w:t>
            </w:r>
          </w:p>
        </w:tc>
        <w:tc>
          <w:tcPr>
            <w:tcW w:w="8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tcBorders>
              <w:bottom w:val="single" w:sz="8" w:color="auto"/>
            </w:tcBorders>
          </w:tcPr>
          <w:p>
            <w:pPr>
              <w:ind w:left="980"/>
              <w:spacing w:after="0" w:line="155" w:lineRule="exact"/>
              <w:rPr>
                <w:sz w:val="20"/>
                <w:szCs w:val="20"/>
                <w:color w:val="auto"/>
              </w:rPr>
            </w:pPr>
            <w:r>
              <w:rPr>
                <w:rFonts w:ascii="Arial" w:cs="Arial" w:eastAsia="Arial" w:hAnsi="Arial"/>
                <w:sz w:val="14"/>
                <w:szCs w:val="14"/>
                <w:b w:val="1"/>
                <w:bCs w:val="1"/>
                <w:color w:val="auto"/>
              </w:rPr>
              <w:t>Price</w:t>
            </w:r>
          </w:p>
        </w:tc>
      </w:tr>
      <w:tr>
        <w:trPr>
          <w:trHeight w:val="588"/>
        </w:trPr>
        <w:tc>
          <w:tcPr>
            <w:tcW w:w="3300" w:type="dxa"/>
            <w:vAlign w:val="bottom"/>
            <w:gridSpan w:val="8"/>
          </w:tcPr>
          <w:p>
            <w:pPr>
              <w:spacing w:after="0"/>
              <w:rPr>
                <w:sz w:val="20"/>
                <w:szCs w:val="20"/>
                <w:color w:val="auto"/>
              </w:rPr>
            </w:pPr>
            <w:r>
              <w:rPr>
                <w:rFonts w:ascii="Arial" w:cs="Arial" w:eastAsia="Arial" w:hAnsi="Arial"/>
                <w:sz w:val="18"/>
                <w:szCs w:val="18"/>
                <w:color w:val="auto"/>
                <w:w w:val="90"/>
              </w:rPr>
              <w:t>and thereafter at a Redemption Price equal to</w:t>
            </w:r>
          </w:p>
        </w:tc>
        <w:tc>
          <w:tcPr>
            <w:tcW w:w="360" w:type="dxa"/>
            <w:vAlign w:val="bottom"/>
            <w:tcBorders>
              <w:bottom w:val="single" w:sz="8" w:color="auto"/>
            </w:tcBorders>
          </w:tcPr>
          <w:p>
            <w:pPr>
              <w:spacing w:after="0"/>
              <w:rPr>
                <w:sz w:val="24"/>
                <w:szCs w:val="24"/>
                <w:color w:val="auto"/>
              </w:rPr>
            </w:pPr>
          </w:p>
        </w:tc>
        <w:tc>
          <w:tcPr>
            <w:tcW w:w="7380" w:type="dxa"/>
            <w:vAlign w:val="bottom"/>
            <w:gridSpan w:val="10"/>
          </w:tcPr>
          <w:p>
            <w:pPr>
              <w:spacing w:after="0"/>
              <w:rPr>
                <w:sz w:val="20"/>
                <w:szCs w:val="20"/>
                <w:color w:val="auto"/>
              </w:rPr>
            </w:pPr>
            <w:r>
              <w:rPr>
                <w:rFonts w:ascii="Arial" w:cs="Arial" w:eastAsia="Arial" w:hAnsi="Arial"/>
                <w:sz w:val="18"/>
                <w:szCs w:val="18"/>
                <w:color w:val="auto"/>
                <w:w w:val="98"/>
              </w:rPr>
              <w:t>% of the principal amount, together in the case of any such redemption [if applicable, insert —</w:t>
            </w:r>
          </w:p>
        </w:tc>
      </w:tr>
    </w:tbl>
    <w:p>
      <w:pPr>
        <w:spacing w:after="0" w:line="1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applicable, insert — The Securities of this series are subject to redemption upon not less than 30 nor more than 60 days’ notice by mail, (1) on</w:t>
      </w:r>
    </w:p>
    <w:p>
      <w:pPr>
        <w:spacing w:after="0" w:line="15"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2820" w:type="dxa"/>
            <w:vAlign w:val="bottom"/>
          </w:tcPr>
          <w:p>
            <w:pPr>
              <w:spacing w:after="0"/>
              <w:rPr>
                <w:sz w:val="20"/>
                <w:szCs w:val="20"/>
                <w:color w:val="auto"/>
              </w:rPr>
            </w:pPr>
            <w:r>
              <w:rPr>
                <w:rFonts w:ascii="Arial" w:cs="Arial" w:eastAsia="Arial" w:hAnsi="Arial"/>
                <w:sz w:val="18"/>
                <w:szCs w:val="18"/>
                <w:color w:val="auto"/>
                <w:w w:val="92"/>
              </w:rPr>
              <w:t>in any year commencing with the year</w:t>
            </w:r>
          </w:p>
        </w:tc>
        <w:tc>
          <w:tcPr>
            <w:tcW w:w="540" w:type="dxa"/>
            <w:vAlign w:val="bottom"/>
            <w:tcBorders>
              <w:bottom w:val="single" w:sz="8" w:color="auto"/>
            </w:tcBorders>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w w:val="91"/>
              </w:rPr>
              <w:t>and ending with the year</w:t>
            </w:r>
          </w:p>
        </w:tc>
        <w:tc>
          <w:tcPr>
            <w:tcW w:w="540" w:type="dxa"/>
            <w:vAlign w:val="bottom"/>
            <w:tcBorders>
              <w:bottom w:val="single" w:sz="8" w:color="auto"/>
            </w:tcBorders>
          </w:tcPr>
          <w:p>
            <w:pPr>
              <w:spacing w:after="0"/>
              <w:rPr>
                <w:sz w:val="17"/>
                <w:szCs w:val="17"/>
                <w:color w:val="auto"/>
              </w:rPr>
            </w:pPr>
          </w:p>
        </w:tc>
        <w:tc>
          <w:tcPr>
            <w:tcW w:w="3300" w:type="dxa"/>
            <w:vAlign w:val="bottom"/>
          </w:tcPr>
          <w:p>
            <w:pPr>
              <w:ind w:left="40"/>
              <w:spacing w:after="0"/>
              <w:rPr>
                <w:sz w:val="20"/>
                <w:szCs w:val="20"/>
                <w:color w:val="auto"/>
              </w:rPr>
            </w:pPr>
            <w:r>
              <w:rPr>
                <w:rFonts w:ascii="Arial" w:cs="Arial" w:eastAsia="Arial" w:hAnsi="Arial"/>
                <w:sz w:val="18"/>
                <w:szCs w:val="18"/>
                <w:color w:val="auto"/>
                <w:w w:val="92"/>
              </w:rPr>
              <w:t>through operation of the sinking fund for this</w:t>
            </w:r>
          </w:p>
        </w:tc>
      </w:tr>
      <w:tr>
        <w:trPr>
          <w:trHeight w:val="385"/>
        </w:trPr>
        <w:tc>
          <w:tcPr>
            <w:tcW w:w="2820" w:type="dxa"/>
            <w:vAlign w:val="bottom"/>
          </w:tcPr>
          <w:p>
            <w:pPr>
              <w:spacing w:after="0"/>
              <w:rPr>
                <w:sz w:val="24"/>
                <w:szCs w:val="24"/>
                <w:color w:val="auto"/>
              </w:rPr>
            </w:pPr>
          </w:p>
        </w:tc>
        <w:tc>
          <w:tcPr>
            <w:tcW w:w="2400" w:type="dxa"/>
            <w:vAlign w:val="bottom"/>
            <w:gridSpan w:val="2"/>
          </w:tcPr>
          <w:p>
            <w:pPr>
              <w:jc w:val="right"/>
              <w:ind w:right="470"/>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-256540</wp:posOffset>
            </wp:positionV>
            <wp:extent cx="571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1040"/>
          </w:cols>
          <w:pgMar w:left="440" w:top="274" w:right="41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series at the Redemption Prices for redemption through operation of the sinking fund (expressed as percentages of the principal amount) set forth in the</w:t>
      </w:r>
    </w:p>
    <w:p>
      <w:pPr>
        <w:spacing w:after="0" w:line="4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table below, and (2) at any time [if applicable, insert — on or after ], as a whole or in part, at the election of the Company, at the Redemption Prices for redemption otherwise than through operation of the sinking fund (expressed as percentages of the principal amount) set forth in the table below: If redeemed during the 12-month period beginning of the years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-306705</wp:posOffset>
            </wp:positionV>
            <wp:extent cx="571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4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4"/>
                <w:szCs w:val="14"/>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Redemption Price For Redemption Through</w:t>
            </w:r>
          </w:p>
        </w:tc>
        <w:tc>
          <w:tcPr>
            <w:tcW w:w="3540" w:type="dxa"/>
            <w:vAlign w:val="bottom"/>
          </w:tcPr>
          <w:p>
            <w:pPr>
              <w:ind w:left="360"/>
              <w:spacing w:after="0"/>
              <w:rPr>
                <w:sz w:val="20"/>
                <w:szCs w:val="20"/>
                <w:color w:val="auto"/>
              </w:rPr>
            </w:pPr>
            <w:r>
              <w:rPr>
                <w:rFonts w:ascii="Arial" w:cs="Arial" w:eastAsia="Arial" w:hAnsi="Arial"/>
                <w:sz w:val="14"/>
                <w:szCs w:val="14"/>
                <w:b w:val="1"/>
                <w:bCs w:val="1"/>
                <w:color w:val="auto"/>
              </w:rPr>
              <w:t>Redemption Price For Redemption Otherwise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Operation of the Sinking Fund</w:t>
            </w:r>
          </w:p>
        </w:tc>
        <w:tc>
          <w:tcPr>
            <w:tcW w:w="100" w:type="dxa"/>
            <w:vAlign w:val="bottom"/>
          </w:tcPr>
          <w:p>
            <w:pPr>
              <w:spacing w:after="0"/>
              <w:rPr>
                <w:sz w:val="16"/>
                <w:szCs w:val="16"/>
                <w:color w:val="auto"/>
              </w:rPr>
            </w:pPr>
          </w:p>
        </w:tc>
        <w:tc>
          <w:tcPr>
            <w:tcW w:w="35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Than Through Operation of the Sinking Fund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auto"/>
        </w:rPr>
        <w:t>and thereafter at a Redemption Price equal to</w:t>
      </w:r>
      <w:r>
        <w:rPr>
          <w:sz w:val="20"/>
          <w:szCs w:val="20"/>
          <w:color w:val="auto"/>
        </w:rPr>
        <w:tab/>
      </w:r>
      <w:r>
        <w:rPr>
          <w:rFonts w:ascii="Arial" w:cs="Arial" w:eastAsia="Arial" w:hAnsi="Arial"/>
          <w:sz w:val="16"/>
          <w:szCs w:val="16"/>
          <w:color w:val="auto"/>
        </w:rPr>
        <w:t>% of the principal amount, together in the case of any such redemption (whether through operation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-10160</wp:posOffset>
            </wp:positionV>
            <wp:extent cx="2286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3" w:lineRule="exact"/>
        <w:rPr>
          <w:sz w:val="20"/>
          <w:szCs w:val="20"/>
          <w:color w:val="auto"/>
        </w:rPr>
      </w:pPr>
    </w:p>
    <w:p>
      <w:pPr>
        <w:jc w:val="both"/>
        <w:ind w:right="480"/>
        <w:spacing w:after="0" w:line="255" w:lineRule="auto"/>
        <w:rPr>
          <w:sz w:val="20"/>
          <w:szCs w:val="20"/>
          <w:color w:val="auto"/>
        </w:rPr>
      </w:pPr>
      <w:r>
        <w:rPr>
          <w:rFonts w:ascii="Arial" w:cs="Arial" w:eastAsia="Arial" w:hAnsi="Arial"/>
          <w:sz w:val="18"/>
          <w:szCs w:val="18"/>
          <w:color w:val="auto"/>
        </w:rPr>
        <w:t>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90" w:lineRule="exact"/>
        <w:rPr>
          <w:sz w:val="20"/>
          <w:szCs w:val="20"/>
          <w:color w:val="auto"/>
        </w:rPr>
      </w:pPr>
    </w:p>
    <w:p>
      <w:pPr>
        <w:ind w:left="440"/>
        <w:spacing w:after="0"/>
        <w:tabs>
          <w:tab w:leader="none" w:pos="7620" w:val="left"/>
        </w:tabs>
        <w:rPr>
          <w:sz w:val="20"/>
          <w:szCs w:val="20"/>
          <w:color w:val="auto"/>
        </w:rPr>
      </w:pPr>
      <w:r>
        <w:rPr>
          <w:rFonts w:ascii="Arial" w:cs="Arial" w:eastAsia="Arial" w:hAnsi="Arial"/>
          <w:sz w:val="18"/>
          <w:szCs w:val="18"/>
          <w:color w:val="auto"/>
        </w:rPr>
        <w:t>[If applicable, insert — Notwithstanding the foregoing, the Company may not, prior to</w:t>
      </w:r>
      <w:r>
        <w:rPr>
          <w:sz w:val="20"/>
          <w:szCs w:val="20"/>
          <w:color w:val="auto"/>
        </w:rPr>
        <w:tab/>
      </w:r>
      <w:r>
        <w:rPr>
          <w:rFonts w:ascii="Arial" w:cs="Arial" w:eastAsia="Arial" w:hAnsi="Arial"/>
          <w:sz w:val="15"/>
          <w:szCs w:val="15"/>
          <w:color w:val="auto"/>
        </w:rPr>
        <w:t>, redeem any Securities of this series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-10160</wp:posOffset>
            </wp:positionV>
            <wp:extent cx="571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right="620"/>
        <w:spacing w:after="0" w:line="281" w:lineRule="auto"/>
        <w:rPr>
          <w:sz w:val="20"/>
          <w:szCs w:val="20"/>
          <w:color w:val="auto"/>
        </w:rPr>
      </w:pPr>
      <w:r>
        <w:rPr>
          <w:rFonts w:ascii="Arial" w:cs="Arial" w:eastAsia="Arial" w:hAnsi="Arial"/>
          <w:sz w:val="16"/>
          <w:szCs w:val="16"/>
          <w:color w:val="auto"/>
        </w:rPr>
        <w:t>contemplated by [if applicable, insert — clause (2) of] the preceding paragraph as a part of, or in anticipation of, any refunding operation by the application, directly or indirectly, of moneys borrowed having an interest cost to the Company (calculated in accordance with generally accepted</w:t>
      </w:r>
    </w:p>
    <w:tbl>
      <w:tblPr>
        <w:tblLayout w:type="fixed"/>
        <w:tblInd w:w="0" w:type="dxa"/>
        <w:tblCellMar>
          <w:top w:w="0" w:type="dxa"/>
          <w:left w:w="0" w:type="dxa"/>
          <w:bottom w:w="0" w:type="dxa"/>
          <w:right w:w="0" w:type="dxa"/>
        </w:tblCellMar>
      </w:tblPr>
      <w:tr>
        <w:trPr>
          <w:trHeight w:val="177"/>
        </w:trPr>
        <w:tc>
          <w:tcPr>
            <w:tcW w:w="2220" w:type="dxa"/>
            <w:vAlign w:val="bottom"/>
            <w:gridSpan w:val="2"/>
          </w:tcPr>
          <w:p>
            <w:pPr>
              <w:spacing w:after="0" w:line="177" w:lineRule="exact"/>
              <w:rPr>
                <w:sz w:val="20"/>
                <w:szCs w:val="20"/>
                <w:color w:val="auto"/>
              </w:rPr>
            </w:pPr>
            <w:r>
              <w:rPr>
                <w:rFonts w:ascii="Arial" w:cs="Arial" w:eastAsia="Arial" w:hAnsi="Arial"/>
                <w:sz w:val="18"/>
                <w:szCs w:val="18"/>
                <w:color w:val="auto"/>
                <w:w w:val="92"/>
              </w:rPr>
              <w:t>financial practice) of less than</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20" w:type="dxa"/>
            <w:vAlign w:val="bottom"/>
            <w:gridSpan w:val="2"/>
          </w:tcPr>
          <w:p>
            <w:pPr>
              <w:spacing w:after="0" w:line="177" w:lineRule="exact"/>
              <w:rPr>
                <w:sz w:val="20"/>
                <w:szCs w:val="20"/>
                <w:color w:val="auto"/>
              </w:rPr>
            </w:pPr>
            <w:r>
              <w:rPr>
                <w:rFonts w:ascii="Arial" w:cs="Arial" w:eastAsia="Arial" w:hAnsi="Arial"/>
                <w:sz w:val="18"/>
                <w:szCs w:val="18"/>
                <w:color w:val="auto"/>
              </w:rPr>
              <w:t>% per annum.]</w:t>
            </w: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412"/>
        </w:trPr>
        <w:tc>
          <w:tcPr>
            <w:tcW w:w="6740" w:type="dxa"/>
            <w:vAlign w:val="bottom"/>
            <w:gridSpan w:val="7"/>
          </w:tcPr>
          <w:p>
            <w:pPr>
              <w:ind w:left="440"/>
              <w:spacing w:after="0"/>
              <w:rPr>
                <w:sz w:val="20"/>
                <w:szCs w:val="20"/>
                <w:color w:val="auto"/>
              </w:rPr>
            </w:pPr>
            <w:r>
              <w:rPr>
                <w:rFonts w:ascii="Arial" w:cs="Arial" w:eastAsia="Arial" w:hAnsi="Arial"/>
                <w:sz w:val="18"/>
                <w:szCs w:val="18"/>
                <w:color w:val="auto"/>
                <w:w w:val="92"/>
              </w:rPr>
              <w:t>[If applicable, insert — The sinking fund for this series provides for the redemption on</w:t>
            </w:r>
          </w:p>
        </w:tc>
        <w:tc>
          <w:tcPr>
            <w:tcW w:w="900" w:type="dxa"/>
            <w:vAlign w:val="bottom"/>
            <w:tcBorders>
              <w:bottom w:val="single" w:sz="8" w:color="auto"/>
            </w:tcBorders>
          </w:tcPr>
          <w:p>
            <w:pPr>
              <w:spacing w:after="0"/>
              <w:rPr>
                <w:sz w:val="24"/>
                <w:szCs w:val="24"/>
                <w:color w:val="auto"/>
              </w:rPr>
            </w:pPr>
          </w:p>
        </w:tc>
        <w:tc>
          <w:tcPr>
            <w:tcW w:w="2700" w:type="dxa"/>
            <w:vAlign w:val="bottom"/>
            <w:gridSpan w:val="3"/>
          </w:tcPr>
          <w:p>
            <w:pPr>
              <w:ind w:left="40"/>
              <w:spacing w:after="0"/>
              <w:rPr>
                <w:sz w:val="20"/>
                <w:szCs w:val="20"/>
                <w:color w:val="auto"/>
              </w:rPr>
            </w:pPr>
            <w:r>
              <w:rPr>
                <w:rFonts w:ascii="Arial" w:cs="Arial" w:eastAsia="Arial" w:hAnsi="Arial"/>
                <w:sz w:val="18"/>
                <w:szCs w:val="18"/>
                <w:color w:val="auto"/>
                <w:w w:val="91"/>
              </w:rPr>
              <w:t>in each year beginning with the year</w:t>
            </w:r>
          </w:p>
        </w:tc>
        <w:tc>
          <w:tcPr>
            <w:tcW w:w="540" w:type="dxa"/>
            <w:vAlign w:val="bottom"/>
            <w:tcBorders>
              <w:bottom w:val="single" w:sz="8" w:color="auto"/>
            </w:tcBorders>
          </w:tcPr>
          <w:p>
            <w:pPr>
              <w:spacing w:after="0"/>
              <w:rPr>
                <w:sz w:val="24"/>
                <w:szCs w:val="24"/>
                <w:color w:val="auto"/>
              </w:rPr>
            </w:pPr>
          </w:p>
        </w:tc>
      </w:tr>
      <w:tr>
        <w:trPr>
          <w:trHeight w:val="196"/>
        </w:trPr>
        <w:tc>
          <w:tcPr>
            <w:tcW w:w="1820" w:type="dxa"/>
            <w:vAlign w:val="bottom"/>
          </w:tcPr>
          <w:p>
            <w:pPr>
              <w:spacing w:after="0" w:line="196" w:lineRule="exact"/>
              <w:rPr>
                <w:sz w:val="20"/>
                <w:szCs w:val="20"/>
                <w:color w:val="auto"/>
              </w:rPr>
            </w:pPr>
            <w:r>
              <w:rPr>
                <w:rFonts w:ascii="Arial" w:cs="Arial" w:eastAsia="Arial" w:hAnsi="Arial"/>
                <w:sz w:val="18"/>
                <w:szCs w:val="18"/>
                <w:color w:val="auto"/>
                <w:w w:val="91"/>
              </w:rPr>
              <w:t>and ending with the year</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1"/>
              </w:rPr>
              <w:t>of [if applicable, insert — not less than $</w:t>
            </w:r>
          </w:p>
        </w:tc>
        <w:tc>
          <w:tcPr>
            <w:tcW w:w="540" w:type="dxa"/>
            <w:vAlign w:val="bottom"/>
          </w:tcPr>
          <w:p>
            <w:pPr>
              <w:spacing w:after="0"/>
              <w:rPr>
                <w:sz w:val="17"/>
                <w:szCs w:val="17"/>
                <w:color w:val="auto"/>
              </w:rPr>
            </w:pPr>
          </w:p>
        </w:tc>
        <w:tc>
          <w:tcPr>
            <w:tcW w:w="412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(“mandatory sinking fund”) and not more than] $</w:t>
            </w:r>
          </w:p>
        </w:tc>
        <w:tc>
          <w:tcPr>
            <w:tcW w:w="86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aggregate</w:t>
            </w:r>
          </w:p>
        </w:tc>
      </w:tr>
      <w:tr>
        <w:trPr>
          <w:trHeight w:val="20"/>
        </w:trPr>
        <w:tc>
          <w:tcPr>
            <w:tcW w:w="1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Securities of this series. Securities of this series acquired or redeemed by the Company otherwise than through [if applicable, insert</w:t>
      </w:r>
    </w:p>
    <w:p>
      <w:pPr>
        <w:spacing w:after="0" w:line="4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mandatory] sinking fund payments may be credited against subsequent [if applicable, insert — mandatory] sinking fund payments otherwise required to be made [if applicable, insert — , in the inverse order in which they become due].]</w:t>
      </w:r>
    </w:p>
    <w:p>
      <w:pPr>
        <w:spacing w:after="0" w:line="184" w:lineRule="exact"/>
        <w:rPr>
          <w:sz w:val="20"/>
          <w:szCs w:val="20"/>
          <w:color w:val="auto"/>
        </w:rPr>
      </w:pPr>
    </w:p>
    <w:p>
      <w:pPr>
        <w:ind w:right="80" w:firstLine="441"/>
        <w:spacing w:after="0" w:line="342" w:lineRule="auto"/>
        <w:rPr>
          <w:sz w:val="20"/>
          <w:szCs w:val="20"/>
          <w:color w:val="auto"/>
        </w:rPr>
      </w:pPr>
      <w:r>
        <w:rPr>
          <w:rFonts w:ascii="Arial" w:cs="Arial" w:eastAsia="Arial" w:hAnsi="Arial"/>
          <w:sz w:val="16"/>
          <w:szCs w:val="16"/>
          <w:color w:val="auto"/>
        </w:rPr>
        <w:t>[If the Security is subject to redemption of any kind, insert — In the event of redemption of this Security in part only, a new Security or Securities of this series and of like tenor for the unredeemed portion hereof will be issued in the name of the Holder hereof upon the cancellation hereof.]</w:t>
      </w:r>
    </w:p>
    <w:p>
      <w:pPr>
        <w:spacing w:after="0" w:line="12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[If the Security is subject to conversion, insert — Subject to the provisions of the Indenture, the Holder has the right to convert the principal</w:t>
      </w:r>
    </w:p>
    <w:p>
      <w:pPr>
        <w:spacing w:after="0" w:line="3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amount of this Security into fully paid and nonassessable shares of Common Stock of the Company at the initial conversion price per share of Common</w:t>
      </w:r>
    </w:p>
    <w:p>
      <w:pPr>
        <w:spacing w:after="0" w:line="32"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Stock of $ (or $ in principal amount of Securities for each such share of Common Stock), or at the adjusted conversion price then in effect, if adjustment has been made as provided in the Indenture, upon surrender of the Security to the Conversion Agent, together with a fully executed notice in substantially the form attached hereto and, if required by the Indenture, an amount equal to accrued interest payable on this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-317500</wp:posOffset>
            </wp:positionV>
            <wp:extent cx="90487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904875" cy="8890"/>
                    </a:xfrm>
                    <a:prstGeom prst="rect">
                      <a:avLst/>
                    </a:prstGeom>
                    <a:noFill/>
                  </pic:spPr>
                </pic:pic>
              </a:graphicData>
            </a:graphic>
          </wp:anchor>
        </w:drawing>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40"/>
          </w:cols>
          <w:pgMar w:left="440" w:top="274" w:right="419" w:bottom="1440" w:gutter="0" w:footer="0" w:header="0"/>
        </w:sectPr>
      </w:pPr>
    </w:p>
    <w:bookmarkStart w:id="138" w:name="page139"/>
    <w:bookmarkEnd w:id="138"/>
    <w:p>
      <w:pPr>
        <w:ind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indebtedness evidenced by this Security is, to the extent provided in the Indenture, subordinate and subject in right of payment to the prior payment in full of all Senior Debt of the Company, and this Security is issued subject to the provisions of the Indenture with respect thereto. Each Holder of this Security, by accepting the same, (a) agrees to and shall be bound by such provisions, (b) authorizes and directs the Trustee on his behalf to take such action as may be necessary or appropriate to effectuate the subordination so provided and (c) appoints the Trustee his attorney-in-fact for any and all such purposes.</w:t>
      </w:r>
    </w:p>
    <w:p>
      <w:pPr>
        <w:spacing w:after="0" w:line="188"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[If applicable, insert — As provided in the Indenture and subject to certain limitations therein set forth, the obligations of the Company under this Security are guaranteed on a senior subordinated basis pursuant to the Indenture as indicated in the notation of Subsidiary Guarantee endorsed hereon. The Indenture provides that a Subsidiary Guarantor shall be released from its Subsidiary Guarantee upon compliance with certain conditions.]</w:t>
      </w:r>
    </w:p>
    <w:p>
      <w:pPr>
        <w:spacing w:after="0" w:line="147"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[If applicable, insert — 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181" w:lineRule="exact"/>
        <w:rPr>
          <w:sz w:val="20"/>
          <w:szCs w:val="20"/>
          <w:color w:val="auto"/>
        </w:rPr>
      </w:pPr>
    </w:p>
    <w:p>
      <w:pPr>
        <w:ind w:right="40" w:firstLine="441"/>
        <w:spacing w:after="0" w:line="342" w:lineRule="auto"/>
        <w:rPr>
          <w:sz w:val="20"/>
          <w:szCs w:val="20"/>
          <w:color w:val="auto"/>
        </w:rPr>
      </w:pPr>
      <w:r>
        <w:rPr>
          <w:rFonts w:ascii="Arial" w:cs="Arial" w:eastAsia="Arial" w:hAnsi="Arial"/>
          <w:sz w:val="16"/>
          <w:szCs w:val="16"/>
          <w:color w:val="auto"/>
        </w:rPr>
        <w:t>[If the Security is not an Original Issue Discount Security, insert — If an Event of Default with respect to Securities of this series shall occur and be continuing, the principal of the Securities of this series may be declared due and payable in the manner and with the effect provided in the Indenture.]</w:t>
      </w:r>
    </w:p>
    <w:p>
      <w:pPr>
        <w:spacing w:after="0" w:line="12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[If the Security is an Original Issue Discount Security, insert — If an Event of Default with respect to Securities of this series shall occur and be continuing, an amount of principal of the Securities of this series may be declared due and payable in the manner and with the effect provided in the Indenture. Such amount shall be equal to — insert formula for determining the 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193"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139" w:name="page140"/>
    <w:bookmarkEnd w:id="139"/>
    <w:p>
      <w:pPr>
        <w:ind w:firstLine="44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security or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provided however, that the Company will have 90 days following such written notice to remedy or receive a waiver for any failure to comply with the Company’s obligations under the Indenture so long as the Company is attempting to remedy any such failure as soon as reasonably practicable. The foregoing shall not apply to any suit instituted by the Holder of this Security for the enforcement of any payment of principal hereof or any premium or interest hereon on or after the respective due dates expressed herein [if applicable, insert — or the right to convert this Security in accordance with its terms].</w:t>
      </w:r>
    </w:p>
    <w:p>
      <w:pPr>
        <w:spacing w:after="0" w:line="173"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[if applicable, insert — and to convert this Security in accordance with its terms].</w:t>
      </w:r>
    </w:p>
    <w:p>
      <w:pPr>
        <w:spacing w:after="0" w:line="181"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93" w:lineRule="exact"/>
        <w:rPr>
          <w:sz w:val="20"/>
          <w:szCs w:val="20"/>
          <w:color w:val="auto"/>
        </w:rPr>
      </w:pPr>
    </w:p>
    <w:p>
      <w:pPr>
        <w:ind w:left="440"/>
        <w:spacing w:after="0"/>
        <w:tabs>
          <w:tab w:leader="none" w:pos="8440" w:val="left"/>
        </w:tabs>
        <w:rPr>
          <w:sz w:val="20"/>
          <w:szCs w:val="20"/>
          <w:color w:val="auto"/>
        </w:rPr>
      </w:pPr>
      <w:r>
        <w:rPr>
          <w:rFonts w:ascii="Arial" w:cs="Arial" w:eastAsia="Arial" w:hAnsi="Arial"/>
          <w:sz w:val="18"/>
          <w:szCs w:val="18"/>
          <w:color w:val="auto"/>
        </w:rPr>
        <w:t>The Securities of this series are issuable only in registered form without coupons in denominations of $</w:t>
      </w:r>
      <w:r>
        <w:rPr>
          <w:sz w:val="20"/>
          <w:szCs w:val="20"/>
          <w:color w:val="auto"/>
        </w:rPr>
        <w:tab/>
      </w:r>
      <w:r>
        <w:rPr>
          <w:rFonts w:ascii="Arial" w:cs="Arial" w:eastAsia="Arial" w:hAnsi="Arial"/>
          <w:sz w:val="16"/>
          <w:szCs w:val="16"/>
          <w:color w:val="auto"/>
        </w:rPr>
        <w:t>and any integral multiple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5005705</wp:posOffset>
            </wp:positionH>
            <wp:positionV relativeFrom="paragraph">
              <wp:posOffset>-10160</wp:posOffset>
            </wp:positionV>
            <wp:extent cx="3429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3"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39"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40" w:name="page141"/>
    <w:bookmarkEnd w:id="140"/>
    <w:p>
      <w:pPr>
        <w:jc w:val="both"/>
        <w:ind w:right="14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Form of Notation of Subsidiary Guarantee</w:t>
      </w:r>
      <w:r>
        <w:rPr>
          <w:rFonts w:ascii="Arial" w:cs="Arial" w:eastAsia="Arial" w:hAnsi="Arial"/>
          <w:sz w:val="16"/>
          <w:szCs w:val="16"/>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NOTATION OF SUBSIDIARY GUARANTEE</w:t>
      </w:r>
    </w:p>
    <w:p>
      <w:pPr>
        <w:spacing w:after="0" w:line="225" w:lineRule="exact"/>
        <w:rPr>
          <w:sz w:val="20"/>
          <w:szCs w:val="20"/>
          <w:color w:val="auto"/>
        </w:rPr>
      </w:pPr>
    </w:p>
    <w:p>
      <w:pPr>
        <w:ind w:right="160" w:firstLine="441"/>
        <w:spacing w:after="0" w:line="312" w:lineRule="auto"/>
        <w:rPr>
          <w:sz w:val="20"/>
          <w:szCs w:val="20"/>
          <w:color w:val="auto"/>
        </w:rPr>
      </w:pPr>
      <w:r>
        <w:rPr>
          <w:rFonts w:ascii="Arial" w:cs="Arial" w:eastAsia="Arial" w:hAnsi="Arial"/>
          <w:sz w:val="16"/>
          <w:szCs w:val="16"/>
          <w:color w:val="auto"/>
        </w:rPr>
        <w:t>Each of the Subsidiary Guarantors (which term includes any successor Person under the Indenture) has fully, unconditionally and absolutely guaranteed, to the extent set forth in the Indenture and subject to the provisions in the Indenture, the due and punctual payment of the principal of, and premium, if any, and interest on the Securities and all other amounts due and payable under the Indenture and the Securities by the Company.</w:t>
      </w:r>
    </w:p>
    <w:p>
      <w:pPr>
        <w:spacing w:after="0" w:line="147"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The obligations of the Subsidiary Guarantors to the Holders of Securities and to the Trustee pursuant to the Subsidiary Guarantee and the Indenture are expressly set forth in Article XIII of the Indenture and reference is hereby made to the Indenture for the precise terms of the Subsidiary Guarantee.</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[Insert Names of Subsidiary Guarantors]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14605</wp:posOffset>
            </wp:positionV>
            <wp:extent cx="25215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14605</wp:posOffset>
            </wp:positionV>
            <wp:extent cx="25215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Form of Legend for Global Securities</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Unless otherwise specified as contemplated by Section 3.1 for the Securities evidenced thereby, every Global Security authenticated and delivered hereunder shall bear a legend in substantially the following form:</w:t>
      </w:r>
    </w:p>
    <w:p>
      <w:pPr>
        <w:spacing w:after="0" w:line="62" w:lineRule="exact"/>
        <w:rPr>
          <w:sz w:val="20"/>
          <w:szCs w:val="20"/>
          <w:color w:val="auto"/>
        </w:rPr>
      </w:pPr>
    </w:p>
    <w:p>
      <w:pPr>
        <w:ind w:left="440" w:right="440"/>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141" w:name="page142"/>
    <w:bookmarkEnd w:id="141"/>
    <w:p>
      <w:pPr>
        <w:ind w:left="44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2.6.</w:t>
      </w:r>
      <w:r>
        <w:rPr>
          <w:sz w:val="20"/>
          <w:szCs w:val="20"/>
          <w:color w:val="auto"/>
        </w:rPr>
        <w:tab/>
      </w:r>
      <w:r>
        <w:rPr>
          <w:rFonts w:ascii="Arial" w:cs="Arial" w:eastAsia="Arial" w:hAnsi="Arial"/>
          <w:sz w:val="16"/>
          <w:szCs w:val="16"/>
          <w:u w:val="single" w:color="auto"/>
          <w:color w:val="auto"/>
        </w:rPr>
        <w:t>Form of Trustee’s Certificate of Authentication</w:t>
      </w:r>
      <w:r>
        <w:rPr>
          <w:rFonts w:ascii="Arial" w:cs="Arial" w:eastAsia="Arial" w:hAnsi="Arial"/>
          <w:sz w:val="16"/>
          <w:szCs w:val="16"/>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Trustee’s certificates of authentication shall be in substantially the following form: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[TRUSTEE’S NAME], As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4"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Form of Conversion Notice</w:t>
      </w:r>
      <w:r>
        <w:rPr>
          <w:rFonts w:ascii="Arial" w:cs="Arial" w:eastAsia="Arial" w:hAnsi="Arial"/>
          <w:sz w:val="16"/>
          <w:szCs w:val="16"/>
          <w:color w:val="auto"/>
        </w:rPr>
        <w:t>.</w:t>
      </w:r>
    </w:p>
    <w:p>
      <w:pPr>
        <w:spacing w:after="0" w:line="225"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Each convertible Security shall have attached thereto, or set forth on the reverse of the Security, a notice of conversion in substantially the following form:</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Conversion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California Resources Corporation</w:t>
      </w:r>
    </w:p>
    <w:p>
      <w:pPr>
        <w:spacing w:after="0" w:line="225"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The undersigned owner of this Security hereby: (i) irrevocably exercises the option to convert this Security, or the portion hereof below designated, for shares of Common Stock of California Resources Corporation in accordance with the terms of the Indenture referred to in this Security and (ii) directs that such shares of Common Stock deliverable upon the conversion, together with any check in payment for fractional shares and any Security(ies) representing any unconverted principal amount hereof, be issued and delivered to the registered holder hereof unless a different name has been indicated below. If shares are to be delivered registered in the name of a Person other than the undersigned, the undersigned will pay all transfer taxes payable with respect thereto. Any amount required to be paid by the undersigned on account of interest accompanies this Security.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-10160</wp:posOffset>
            </wp:positionV>
            <wp:extent cx="571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-130175</wp:posOffset>
            </wp:positionV>
            <wp:extent cx="279590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Fill in for registration of shares if to be delivered, and of Securities if to be issued, otherwise than to and in the name of the registered holder.</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Social Security or other Taxpayer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5941060</wp:posOffset>
            </wp:positionH>
            <wp:positionV relativeFrom="paragraph">
              <wp:posOffset>-130810</wp:posOffset>
            </wp:positionV>
            <wp:extent cx="10636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1063625" cy="8890"/>
                    </a:xfrm>
                    <a:prstGeom prst="rect">
                      <a:avLst/>
                    </a:prstGeom>
                    <a:noFill/>
                  </pic:spPr>
                </pic:pic>
              </a:graphicData>
            </a:graphic>
          </wp:anchor>
        </w:drawing>
        <w:drawing>
          <wp:anchor simplePos="0" relativeHeight="251657728" behindDoc="1" locked="0" layoutInCell="0" allowOverlap="1">
            <wp:simplePos x="0" y="0"/>
            <wp:positionH relativeFrom="column">
              <wp:posOffset>5229225</wp:posOffset>
            </wp:positionH>
            <wp:positionV relativeFrom="paragraph">
              <wp:posOffset>14605</wp:posOffset>
            </wp:positionV>
            <wp:extent cx="177546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279590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279590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to be converted: (if less than 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-19050</wp:posOffset>
            </wp:positionV>
            <wp:extent cx="3429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279590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32" w:lineRule="exact"/>
        <w:rPr>
          <w:sz w:val="20"/>
          <w:szCs w:val="20"/>
          <w:color w:val="auto"/>
        </w:rPr>
      </w:pPr>
    </w:p>
    <w:p>
      <w:pPr>
        <w:ind w:left="5420" w:right="2220" w:hanging="5416"/>
        <w:spacing w:after="0" w:line="449" w:lineRule="auto"/>
        <w:tabs>
          <w:tab w:leader="none" w:pos="432"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acceptable to the Trustee). 20</w:t>
      </w:r>
    </w:p>
    <w:p>
      <w:pPr>
        <w:sectPr>
          <w:pgSz w:w="11900" w:h="16838" w:orient="portrait"/>
          <w:cols w:equalWidth="0" w:num="1">
            <w:col w:w="10860"/>
          </w:cols>
          <w:pgMar w:left="440" w:top="274" w:right="59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w:t>
      </w:r>
    </w:p>
    <w:p>
      <w:pPr>
        <w:spacing w:after="0" w:line="22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Amount Unlimited; Issuable in Series</w:t>
      </w:r>
      <w:r>
        <w:rPr>
          <w:rFonts w:ascii="Arial" w:cs="Arial" w:eastAsia="Arial" w:hAnsi="Arial"/>
          <w:sz w:val="16"/>
          <w:szCs w:val="16"/>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aggregate principal amount of Securities which may be authenticated and delivered under this Indenture is unlimited.</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The Securities may be issued in one or more series. There shall be established in or pursuant to a Board Resolution and, subject to Section 3.3, set forth, or determined in the manner provided, in an Officers’ Certificate, or established in one or more indentures supplemental hereto, prior to the issuance of Securities of any series,</w:t>
      </w:r>
    </w:p>
    <w:p>
      <w:pPr>
        <w:spacing w:after="0" w:line="73" w:lineRule="exact"/>
        <w:rPr>
          <w:sz w:val="20"/>
          <w:szCs w:val="20"/>
          <w:color w:val="auto"/>
        </w:rPr>
      </w:pPr>
    </w:p>
    <w:p>
      <w:pPr>
        <w:ind w:left="840" w:hanging="396"/>
        <w:spacing w:after="0"/>
        <w:tabs>
          <w:tab w:leader="none" w:pos="8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the series from Securities of any other series);</w:t>
      </w:r>
    </w:p>
    <w:p>
      <w:pPr>
        <w:spacing w:after="0" w:line="117" w:lineRule="exact"/>
        <w:rPr>
          <w:rFonts w:ascii="Arial" w:cs="Arial" w:eastAsia="Arial" w:hAnsi="Arial"/>
          <w:sz w:val="18"/>
          <w:szCs w:val="18"/>
          <w:color w:val="auto"/>
        </w:rPr>
      </w:pPr>
    </w:p>
    <w:p>
      <w:pPr>
        <w:ind w:left="840" w:hanging="396"/>
        <w:spacing w:after="0"/>
        <w:tabs>
          <w:tab w:leader="none" w:pos="8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Securities of the series will not have the benefit of the Subsidiary Guarantees of the Subsidiary Guarantors;</w:t>
      </w:r>
    </w:p>
    <w:p>
      <w:pPr>
        <w:spacing w:after="0" w:line="117" w:lineRule="exact"/>
        <w:rPr>
          <w:rFonts w:ascii="Arial" w:cs="Arial" w:eastAsia="Arial" w:hAnsi="Arial"/>
          <w:sz w:val="18"/>
          <w:szCs w:val="18"/>
          <w:color w:val="auto"/>
        </w:rPr>
      </w:pPr>
    </w:p>
    <w:p>
      <w:pPr>
        <w:ind w:right="220" w:firstLine="444"/>
        <w:spacing w:after="0" w:line="286" w:lineRule="auto"/>
        <w:tabs>
          <w:tab w:leader="none" w:pos="831"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any change to the subordination provisions which applies to the Securities of the series from those contained in Article XII with respect to the Securities and/or, if applicable, those contained in Article XIV with respect to the Subsidiary Guarantees, and the definitions of Senior Debt and Designated Senior Debt which shall apply to the Securities of the series, and, if applicable, the Subsidiary Guarantees;</w:t>
      </w:r>
    </w:p>
    <w:p>
      <w:pPr>
        <w:spacing w:after="0" w:line="57" w:lineRule="exact"/>
        <w:rPr>
          <w:rFonts w:ascii="Arial" w:cs="Arial" w:eastAsia="Arial" w:hAnsi="Arial"/>
          <w:sz w:val="17"/>
          <w:szCs w:val="17"/>
          <w:color w:val="auto"/>
        </w:rPr>
      </w:pPr>
    </w:p>
    <w:p>
      <w:pPr>
        <w:ind w:right="60" w:firstLine="444"/>
        <w:spacing w:after="0" w:line="259" w:lineRule="auto"/>
        <w:tabs>
          <w:tab w:leader="none" w:pos="831"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3.4, 3.5, 3.6, 9.6 or 11.7 and except for any Securities which, pursuant to Section 3.3, are deemed never to have been authenticated and delivered hereunder);</w:t>
      </w:r>
    </w:p>
    <w:p>
      <w:pPr>
        <w:spacing w:after="0" w:line="78" w:lineRule="exact"/>
        <w:rPr>
          <w:rFonts w:ascii="Arial" w:cs="Arial" w:eastAsia="Arial" w:hAnsi="Arial"/>
          <w:sz w:val="18"/>
          <w:szCs w:val="18"/>
          <w:color w:val="auto"/>
        </w:rPr>
      </w:pPr>
    </w:p>
    <w:p>
      <w:pPr>
        <w:ind w:right="120" w:firstLine="444"/>
        <w:spacing w:after="0" w:line="277" w:lineRule="auto"/>
        <w:tabs>
          <w:tab w:leader="none" w:pos="83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62" w:lineRule="exact"/>
        <w:rPr>
          <w:rFonts w:ascii="Arial" w:cs="Arial" w:eastAsia="Arial" w:hAnsi="Arial"/>
          <w:sz w:val="18"/>
          <w:szCs w:val="18"/>
          <w:color w:val="auto"/>
        </w:rPr>
      </w:pPr>
    </w:p>
    <w:p>
      <w:pPr>
        <w:ind w:left="840" w:hanging="396"/>
        <w:spacing w:after="0"/>
        <w:tabs>
          <w:tab w:leader="none" w:pos="8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date or dates on which the principal of any Securities of the series is payable;</w:t>
      </w:r>
    </w:p>
    <w:p>
      <w:pPr>
        <w:spacing w:after="0" w:line="117" w:lineRule="exact"/>
        <w:rPr>
          <w:rFonts w:ascii="Arial" w:cs="Arial" w:eastAsia="Arial" w:hAnsi="Arial"/>
          <w:sz w:val="18"/>
          <w:szCs w:val="18"/>
          <w:color w:val="auto"/>
        </w:rPr>
      </w:pPr>
    </w:p>
    <w:p>
      <w:pPr>
        <w:ind w:firstLine="444"/>
        <w:spacing w:after="0" w:line="264" w:lineRule="auto"/>
        <w:tabs>
          <w:tab w:leader="none" w:pos="83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rate or rates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143" w:name="page144"/>
    <w:bookmarkEnd w:id="143"/>
    <w:p>
      <w:pPr>
        <w:ind w:left="840" w:hanging="396"/>
        <w:spacing w:after="0"/>
        <w:tabs>
          <w:tab w:leader="none" w:pos="840"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place or places where the principal of and any premium and interest on any Securities of the series shall be payable;</w:t>
      </w:r>
    </w:p>
    <w:p>
      <w:pPr>
        <w:spacing w:after="0" w:line="117" w:lineRule="exact"/>
        <w:rPr>
          <w:rFonts w:ascii="Arial" w:cs="Arial" w:eastAsia="Arial" w:hAnsi="Arial"/>
          <w:sz w:val="18"/>
          <w:szCs w:val="18"/>
          <w:color w:val="auto"/>
        </w:rPr>
      </w:pPr>
    </w:p>
    <w:p>
      <w:pPr>
        <w:jc w:val="both"/>
        <w:ind w:firstLine="444"/>
        <w:spacing w:after="0" w:line="264" w:lineRule="auto"/>
        <w:tabs>
          <w:tab w:leader="none" w:pos="831"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73" w:lineRule="exact"/>
        <w:rPr>
          <w:rFonts w:ascii="Arial" w:cs="Arial" w:eastAsia="Arial" w:hAnsi="Arial"/>
          <w:sz w:val="18"/>
          <w:szCs w:val="18"/>
          <w:color w:val="auto"/>
        </w:rPr>
      </w:pPr>
    </w:p>
    <w:p>
      <w:pPr>
        <w:ind w:right="120" w:firstLine="444"/>
        <w:spacing w:after="0" w:line="286" w:lineRule="auto"/>
        <w:tabs>
          <w:tab w:leader="none" w:pos="921"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57" w:lineRule="exact"/>
        <w:rPr>
          <w:rFonts w:ascii="Arial" w:cs="Arial" w:eastAsia="Arial" w:hAnsi="Arial"/>
          <w:sz w:val="17"/>
          <w:szCs w:val="17"/>
          <w:color w:val="auto"/>
        </w:rPr>
      </w:pPr>
    </w:p>
    <w:p>
      <w:pPr>
        <w:ind w:left="920" w:hanging="476"/>
        <w:spacing w:after="0"/>
        <w:tabs>
          <w:tab w:leader="none" w:pos="9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any Securities of the series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issuable;</w:t>
      </w:r>
    </w:p>
    <w:p>
      <w:pPr>
        <w:spacing w:after="0" w:line="102" w:lineRule="exact"/>
        <w:rPr>
          <w:rFonts w:ascii="Arial" w:cs="Arial" w:eastAsia="Arial" w:hAnsi="Arial"/>
          <w:sz w:val="16"/>
          <w:szCs w:val="16"/>
          <w:color w:val="auto"/>
        </w:rPr>
      </w:pPr>
    </w:p>
    <w:p>
      <w:pPr>
        <w:ind w:right="320" w:firstLine="444"/>
        <w:spacing w:after="0" w:line="277" w:lineRule="auto"/>
        <w:tabs>
          <w:tab w:leader="none" w:pos="921"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amount of principal of or any premium or interest on any Securities of the series may be determined with reference to an index or pursuant to a formula, the manner in which such amounts shall be determined;</w:t>
      </w:r>
    </w:p>
    <w:p>
      <w:pPr>
        <w:spacing w:after="0" w:line="62" w:lineRule="exact"/>
        <w:rPr>
          <w:rFonts w:ascii="Arial" w:cs="Arial" w:eastAsia="Arial" w:hAnsi="Arial"/>
          <w:sz w:val="18"/>
          <w:szCs w:val="18"/>
          <w:color w:val="auto"/>
        </w:rPr>
      </w:pPr>
    </w:p>
    <w:p>
      <w:pPr>
        <w:ind w:right="160" w:firstLine="444"/>
        <w:spacing w:after="0" w:line="264" w:lineRule="auto"/>
        <w:tabs>
          <w:tab w:leader="none" w:pos="921"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1.1;</w:t>
      </w:r>
    </w:p>
    <w:p>
      <w:pPr>
        <w:spacing w:after="0" w:line="73" w:lineRule="exact"/>
        <w:rPr>
          <w:rFonts w:ascii="Arial" w:cs="Arial" w:eastAsia="Arial" w:hAnsi="Arial"/>
          <w:sz w:val="18"/>
          <w:szCs w:val="18"/>
          <w:color w:val="auto"/>
        </w:rPr>
      </w:pPr>
    </w:p>
    <w:p>
      <w:pPr>
        <w:ind w:right="40" w:firstLine="444"/>
        <w:spacing w:after="0" w:line="257" w:lineRule="auto"/>
        <w:tabs>
          <w:tab w:leader="none" w:pos="921"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80" w:lineRule="exact"/>
        <w:rPr>
          <w:rFonts w:ascii="Arial" w:cs="Arial" w:eastAsia="Arial" w:hAnsi="Arial"/>
          <w:sz w:val="18"/>
          <w:szCs w:val="18"/>
          <w:color w:val="auto"/>
        </w:rPr>
      </w:pPr>
    </w:p>
    <w:p>
      <w:pPr>
        <w:ind w:right="160" w:firstLine="444"/>
        <w:spacing w:after="0" w:line="277" w:lineRule="auto"/>
        <w:tabs>
          <w:tab w:leader="none" w:pos="921"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other than the entire principal amount thereof, the portion of the principal amount of any Securities of the series which shall be payable upon declaration of acceleration of the Maturity thereof pursuant to Section 5.2;</w:t>
      </w:r>
    </w:p>
    <w:p>
      <w:pPr>
        <w:spacing w:after="0" w:line="62" w:lineRule="exact"/>
        <w:rPr>
          <w:rFonts w:ascii="Arial" w:cs="Arial" w:eastAsia="Arial" w:hAnsi="Arial"/>
          <w:sz w:val="18"/>
          <w:szCs w:val="18"/>
          <w:color w:val="auto"/>
        </w:rPr>
      </w:pPr>
    </w:p>
    <w:p>
      <w:pPr>
        <w:ind w:right="120" w:firstLine="444"/>
        <w:spacing w:after="0" w:line="257" w:lineRule="auto"/>
        <w:tabs>
          <w:tab w:leader="none" w:pos="921"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144" w:name="page145"/>
    <w:bookmarkEnd w:id="144"/>
    <w:p>
      <w:pPr>
        <w:ind w:right="120" w:firstLine="444"/>
        <w:spacing w:after="0" w:line="264" w:lineRule="auto"/>
        <w:tabs>
          <w:tab w:leader="none" w:pos="921"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applicable, that the Securities of the series, in whole or any specified part, shall be defeasible pursuant to Section 15.2 or Section 15.3 or both such Sections and, if other than by a Board Resolution, the manner in which any election by the Company to defease such Securities shall be evidenced;</w:t>
      </w:r>
    </w:p>
    <w:p>
      <w:pPr>
        <w:spacing w:after="0" w:line="73" w:lineRule="exact"/>
        <w:rPr>
          <w:rFonts w:ascii="Arial" w:cs="Arial" w:eastAsia="Arial" w:hAnsi="Arial"/>
          <w:sz w:val="18"/>
          <w:szCs w:val="18"/>
          <w:color w:val="auto"/>
        </w:rPr>
      </w:pPr>
    </w:p>
    <w:p>
      <w:pPr>
        <w:ind w:right="80" w:firstLine="444"/>
        <w:spacing w:after="0" w:line="297" w:lineRule="auto"/>
        <w:tabs>
          <w:tab w:leader="none" w:pos="921"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applicable, that any Securities of the series shall be issuable in whole or in part in the form of one or more Global Securities and, in such case, the respective Depositories for such Global Securities, the form of any legend or legends which shall be borne by any such Global Security in addition to or in lieu of that set forth in Section 2.5 and any circumstances in addition to or in lieu of those set forth in clause (2) of the last paragraph of Section 3.5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50" w:lineRule="exact"/>
        <w:rPr>
          <w:rFonts w:ascii="Arial" w:cs="Arial" w:eastAsia="Arial" w:hAnsi="Arial"/>
          <w:sz w:val="16"/>
          <w:szCs w:val="16"/>
          <w:color w:val="auto"/>
        </w:rPr>
      </w:pPr>
    </w:p>
    <w:p>
      <w:pPr>
        <w:ind w:right="60" w:firstLine="444"/>
        <w:spacing w:after="0" w:line="277" w:lineRule="auto"/>
        <w:tabs>
          <w:tab w:leader="none" w:pos="921"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5.2;</w:t>
      </w:r>
    </w:p>
    <w:p>
      <w:pPr>
        <w:spacing w:after="0" w:line="62" w:lineRule="exact"/>
        <w:rPr>
          <w:rFonts w:ascii="Arial" w:cs="Arial" w:eastAsia="Arial" w:hAnsi="Arial"/>
          <w:sz w:val="18"/>
          <w:szCs w:val="18"/>
          <w:color w:val="auto"/>
        </w:rPr>
      </w:pPr>
    </w:p>
    <w:p>
      <w:pPr>
        <w:ind w:left="920" w:hanging="476"/>
        <w:spacing w:after="0"/>
        <w:tabs>
          <w:tab w:leader="none" w:pos="9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 X which applies to Securities of the series;</w:t>
      </w:r>
    </w:p>
    <w:p>
      <w:pPr>
        <w:spacing w:after="0" w:line="117" w:lineRule="exact"/>
        <w:rPr>
          <w:rFonts w:ascii="Arial" w:cs="Arial" w:eastAsia="Arial" w:hAnsi="Arial"/>
          <w:sz w:val="18"/>
          <w:szCs w:val="18"/>
          <w:color w:val="auto"/>
        </w:rPr>
      </w:pPr>
    </w:p>
    <w:p>
      <w:pPr>
        <w:ind w:right="400" w:firstLine="444"/>
        <w:spacing w:after="0" w:line="277" w:lineRule="auto"/>
        <w:tabs>
          <w:tab w:leader="none" w:pos="921"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whether the Securities of the series will be convertible into Common Stock (or cash in lieu thereof) and, if so, the terms and conditions upon which such conversion will be effected; and</w:t>
      </w:r>
    </w:p>
    <w:p>
      <w:pPr>
        <w:spacing w:after="0" w:line="62" w:lineRule="exact"/>
        <w:rPr>
          <w:rFonts w:ascii="Arial" w:cs="Arial" w:eastAsia="Arial" w:hAnsi="Arial"/>
          <w:sz w:val="18"/>
          <w:szCs w:val="18"/>
          <w:color w:val="auto"/>
        </w:rPr>
      </w:pPr>
    </w:p>
    <w:p>
      <w:pPr>
        <w:ind w:left="920" w:hanging="476"/>
        <w:spacing w:after="0"/>
        <w:tabs>
          <w:tab w:leader="none" w:pos="9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other terms of the series (which terms shall not be inconsistent with the provisions of this Indenture, except as permitted 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9.1(5)).</w:t>
      </w:r>
    </w:p>
    <w:p>
      <w:pPr>
        <w:spacing w:after="0" w:line="211"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and (subject to Section 3.3) set forth, or determined in the manner provided, in the Officers’ Certificate referred to above or in any such indenture supplemental hereto.</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8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Securities of each series shall have the benefit of the Subsidiary Guarantees unless the Company elects otherwise upon the establishment of a series pursuant to this Section 3.1.</w:t>
      </w:r>
    </w:p>
    <w:p>
      <w:pPr>
        <w:spacing w:after="0" w:line="170"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Denominations</w:t>
      </w:r>
      <w:r>
        <w:rPr>
          <w:rFonts w:ascii="Arial" w:cs="Arial" w:eastAsia="Arial" w:hAnsi="Arial"/>
          <w:sz w:val="16"/>
          <w:szCs w:val="16"/>
          <w:color w:val="auto"/>
        </w:rPr>
        <w:t>.</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The Securities of each series shall be issuable only in registered form without coupons and only in such denominations as shall be specified as contemplated by Section 3.1. In the absence of any such specified denomination with respect to the Securities of any series, the Securities of such series shall be issuable in denominations of $1,000 and any integral multiple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145" w:name="page146"/>
    <w:bookmarkEnd w:id="145"/>
    <w:p>
      <w:pPr>
        <w:ind w:left="44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3.3.</w:t>
      </w:r>
      <w:r>
        <w:rPr>
          <w:sz w:val="20"/>
          <w:szCs w:val="20"/>
          <w:color w:val="auto"/>
        </w:rPr>
        <w:tab/>
      </w:r>
      <w:r>
        <w:rPr>
          <w:rFonts w:ascii="Arial" w:cs="Arial" w:eastAsia="Arial" w:hAnsi="Arial"/>
          <w:sz w:val="16"/>
          <w:szCs w:val="16"/>
          <w:u w:val="single" w:color="auto"/>
          <w:color w:val="auto"/>
        </w:rPr>
        <w:t>Execution, Authentication, Delivery and Dating</w:t>
      </w:r>
      <w:r>
        <w:rPr>
          <w:rFonts w:ascii="Arial" w:cs="Arial" w:eastAsia="Arial" w:hAnsi="Arial"/>
          <w:sz w:val="16"/>
          <w:szCs w:val="16"/>
          <w:color w:val="auto"/>
        </w:rPr>
        <w:t>.</w:t>
      </w:r>
    </w:p>
    <w:p>
      <w:pPr>
        <w:spacing w:after="0" w:line="225" w:lineRule="exact"/>
        <w:rPr>
          <w:sz w:val="20"/>
          <w:szCs w:val="20"/>
          <w:color w:val="auto"/>
        </w:rPr>
      </w:pPr>
    </w:p>
    <w:p>
      <w:pPr>
        <w:ind w:right="180" w:firstLine="441"/>
        <w:spacing w:after="0" w:line="286" w:lineRule="auto"/>
        <w:rPr>
          <w:sz w:val="20"/>
          <w:szCs w:val="20"/>
          <w:color w:val="auto"/>
        </w:rPr>
      </w:pPr>
      <w:r>
        <w:rPr>
          <w:rFonts w:ascii="Arial" w:cs="Arial" w:eastAsia="Arial" w:hAnsi="Arial"/>
          <w:sz w:val="17"/>
          <w:szCs w:val="17"/>
          <w:color w:val="auto"/>
        </w:rPr>
        <w:t>The Securities shall be executed on behalf of the Company by its Chairman of the Board of Directors, its Executive Chairman of the Board of Directors, its President and Chief Executive Officer or one of its Vice Presidents. If its corporate seal is reproduced thereon, then it shall be attested by its Secretary or one of its Assistant Secretaries. The signature of any of these officers on the Securities may be manual or facsimile.</w:t>
      </w:r>
    </w:p>
    <w:p>
      <w:pPr>
        <w:spacing w:after="0" w:line="166" w:lineRule="exact"/>
        <w:rPr>
          <w:sz w:val="20"/>
          <w:szCs w:val="20"/>
          <w:color w:val="auto"/>
        </w:rPr>
      </w:pPr>
    </w:p>
    <w:p>
      <w:pPr>
        <w:ind w:right="540" w:firstLine="441"/>
        <w:spacing w:after="0" w:line="264"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1"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At any time and from time to time after the execution and delivery of this Indenture, the Company may deliver Securities of any series executed by the Company and, if applicable, having endorsed thereon the notations of Subsidiary Guarantees executed as provided in Section 13.3 by the Subsidiary Guarantors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2.1 and 3.1, in authenticating such Securities, and accepting the additional responsibilities under this Indenture in relation to such Securities, the Trustee shall be entitled to receive, and (subject to Section 6.1) shall be fully protected in relying upon, an Opinion of Counsel stating,</w:t>
      </w:r>
    </w:p>
    <w:p>
      <w:pPr>
        <w:spacing w:after="0" w:line="70" w:lineRule="exact"/>
        <w:rPr>
          <w:sz w:val="20"/>
          <w:szCs w:val="20"/>
          <w:color w:val="auto"/>
        </w:rPr>
      </w:pPr>
    </w:p>
    <w:p>
      <w:pPr>
        <w:ind w:right="180" w:firstLine="444"/>
        <w:spacing w:after="0" w:line="277" w:lineRule="auto"/>
        <w:tabs>
          <w:tab w:leader="none" w:pos="831"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form of such Securities has been established by or pursuant to Board Resolution as permitted by Section 2.1, that such form has been established in conformity with the provisions of this Indenture;</w:t>
      </w:r>
    </w:p>
    <w:p>
      <w:pPr>
        <w:spacing w:after="0" w:line="62" w:lineRule="exact"/>
        <w:rPr>
          <w:rFonts w:ascii="Arial" w:cs="Arial" w:eastAsia="Arial" w:hAnsi="Arial"/>
          <w:sz w:val="18"/>
          <w:szCs w:val="18"/>
          <w:color w:val="auto"/>
        </w:rPr>
      </w:pPr>
    </w:p>
    <w:p>
      <w:pPr>
        <w:ind w:right="280" w:firstLine="444"/>
        <w:spacing w:after="0" w:line="277" w:lineRule="auto"/>
        <w:tabs>
          <w:tab w:leader="none" w:pos="831"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terms of such Securities have been established by or pursuant to Board Resolution as permitted by Section 3.1, that such terms have been established in conformity with the provisions of this Indenture; and</w:t>
      </w:r>
    </w:p>
    <w:p>
      <w:pPr>
        <w:spacing w:after="0" w:line="62" w:lineRule="exact"/>
        <w:rPr>
          <w:rFonts w:ascii="Arial" w:cs="Arial" w:eastAsia="Arial" w:hAnsi="Arial"/>
          <w:sz w:val="18"/>
          <w:szCs w:val="18"/>
          <w:color w:val="auto"/>
        </w:rPr>
      </w:pPr>
    </w:p>
    <w:p>
      <w:pPr>
        <w:ind w:firstLine="444"/>
        <w:spacing w:after="0" w:line="257" w:lineRule="auto"/>
        <w:tabs>
          <w:tab w:leader="none" w:pos="831"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and, if applicable, the notations of Subsidiary Guarantees endorsed thereon will constitute valid and legally binding obligations of the Subsidiary Guarantors, enforceable in accordance with their terms, subject to bankruptcy, insolvency, fraudulent transfer, reorganization, moratorium and similar laws of general applicability relating to or affecting creditors’ rights and to general equity principles.</w:t>
      </w:r>
    </w:p>
    <w:p>
      <w:pPr>
        <w:spacing w:after="0" w:line="188" w:lineRule="exact"/>
        <w:rPr>
          <w:sz w:val="20"/>
          <w:szCs w:val="20"/>
          <w:color w:val="auto"/>
        </w:rPr>
      </w:pPr>
    </w:p>
    <w:p>
      <w:pPr>
        <w:jc w:val="both"/>
        <w:ind w:right="400" w:firstLine="441"/>
        <w:spacing w:after="0" w:line="264" w:lineRule="auto"/>
        <w:rPr>
          <w:sz w:val="20"/>
          <w:szCs w:val="20"/>
          <w:color w:val="auto"/>
        </w:rPr>
      </w:pPr>
      <w:r>
        <w:rPr>
          <w:rFonts w:ascii="Arial" w:cs="Arial" w:eastAsia="Arial" w:hAnsi="Arial"/>
          <w:sz w:val="18"/>
          <w:szCs w:val="18"/>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146" w:name="page147"/>
    <w:bookmarkEnd w:id="146"/>
    <w:p>
      <w:pPr>
        <w:ind w:right="120" w:firstLine="44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provisions of Section 3.1 and of the preceding paragraph, if all Securities of a series are not to be originally issued at one time, it shall not be necessary to deliver the Officers’ Certificate otherwise required pursuant to Section 3.1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225"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No Security or Subsidiary Guarantee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3.9, for all purposes of this Indenture such Security shall be deemed never to have been authenticated and delivered hereunder and shall never be entitled to the benefits of this Indenture.</w:t>
      </w:r>
    </w:p>
    <w:p>
      <w:pPr>
        <w:spacing w:after="0" w:line="165"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Temporary Securities</w:t>
      </w:r>
      <w:r>
        <w:rPr>
          <w:rFonts w:ascii="Arial" w:cs="Arial" w:eastAsia="Arial" w:hAnsi="Arial"/>
          <w:sz w:val="16"/>
          <w:szCs w:val="16"/>
          <w:color w:val="auto"/>
        </w:rPr>
        <w:t>.</w:t>
      </w:r>
    </w:p>
    <w:p>
      <w:pPr>
        <w:spacing w:after="0" w:line="225"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and, if applicable, having endorsed thereon the notations of Subsidiary Guarantees in lieu of which they are issued and with such appropriate insertions, omissions, substitutions and other variations as the officers executing such Securities and, if applicable, notations of Subsidiary Guarantees may determine, as evidenced by their execution of such Securities and notations of Subsidiary Guarantees.</w:t>
      </w:r>
    </w:p>
    <w:p>
      <w:pPr>
        <w:spacing w:after="0" w:line="193"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and, if applicable, having endorsed thereon the notations of Subsidiary Guarantees executed by the Subsidiary Guarantors. Until so exchanged, the temporary Securities of any series shall in all respects be entitled to the same benefits under this Indenture as definitive Securities of such series and tenor.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147" w:name="page148"/>
    <w:bookmarkEnd w:id="147"/>
    <w:p>
      <w:pPr>
        <w:ind w:left="44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3.5.</w:t>
      </w:r>
      <w:r>
        <w:rPr>
          <w:sz w:val="20"/>
          <w:szCs w:val="20"/>
          <w:color w:val="auto"/>
        </w:rPr>
        <w:tab/>
      </w:r>
      <w:r>
        <w:rPr>
          <w:rFonts w:ascii="Arial" w:cs="Arial" w:eastAsia="Arial" w:hAnsi="Arial"/>
          <w:sz w:val="16"/>
          <w:szCs w:val="16"/>
          <w:u w:val="single" w:color="auto"/>
          <w:color w:val="auto"/>
        </w:rPr>
        <w:t>Registration, Registration of Transfer and Exchange</w:t>
      </w:r>
      <w:r>
        <w:rPr>
          <w:rFonts w:ascii="Arial" w:cs="Arial" w:eastAsia="Arial" w:hAnsi="Arial"/>
          <w:sz w:val="16"/>
          <w:szCs w:val="16"/>
          <w:color w:val="auto"/>
        </w:rPr>
        <w:t>.</w:t>
      </w:r>
    </w:p>
    <w:p>
      <w:pPr>
        <w:spacing w:after="0" w:line="225"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54"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Upon surrender for registration of transfer of any Security of a series at the office or agency of the Company in a Place of Payment for that series, the Company shall execute, if applicable the Subsidiary Guarantors shall execute the notation of Subsidiary Guarantee endorsed thereon and the Trustee shall authenticate and deliver, in the name of the designated transferee or transferees, one or more new Securities of the same series, of any authorized denominations and of like tenor and aggregate principal amount.</w:t>
      </w:r>
    </w:p>
    <w:p>
      <w:pPr>
        <w:spacing w:after="0" w:line="187"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if applicable the Subsidiary Guarantors shall execute the notation of Subsidiary Guarantees endorsed thereon and the Trustee shall authenticate and deliver, the Securities which the Holder making the exchange is entitled to receive.</w:t>
      </w:r>
    </w:p>
    <w:p>
      <w:pPr>
        <w:spacing w:after="0" w:line="154" w:lineRule="exact"/>
        <w:rPr>
          <w:sz w:val="20"/>
          <w:szCs w:val="20"/>
          <w:color w:val="auto"/>
        </w:rPr>
      </w:pPr>
    </w:p>
    <w:p>
      <w:pPr>
        <w:ind w:right="400" w:firstLine="441"/>
        <w:spacing w:after="0" w:line="342" w:lineRule="auto"/>
        <w:rPr>
          <w:sz w:val="20"/>
          <w:szCs w:val="20"/>
          <w:color w:val="auto"/>
        </w:rPr>
      </w:pPr>
      <w:r>
        <w:rPr>
          <w:rFonts w:ascii="Arial" w:cs="Arial" w:eastAsia="Arial" w:hAnsi="Arial"/>
          <w:sz w:val="16"/>
          <w:szCs w:val="16"/>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24"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181"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3.4, 9.6, 11.7 or otherwise not involving any transfer.</w:t>
      </w:r>
    </w:p>
    <w:p>
      <w:pPr>
        <w:spacing w:after="0" w:line="181"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1103 and ending at the close of business on the day of such mailing, or (B) to register the transfer of or exchange any Security so selected for redemption in whole or in part, except the unredeemed portion of any Security being redeemed in part.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148" w:name="page149"/>
    <w:bookmarkEnd w:id="1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provisions of clauses (1), (2), (3) and (4) below shall apply only to Global Securities:</w:t>
      </w:r>
    </w:p>
    <w:p>
      <w:pPr>
        <w:spacing w:after="0" w:line="117" w:lineRule="exact"/>
        <w:rPr>
          <w:sz w:val="20"/>
          <w:szCs w:val="20"/>
          <w:color w:val="auto"/>
        </w:rPr>
      </w:pPr>
    </w:p>
    <w:p>
      <w:pPr>
        <w:ind w:right="600" w:firstLine="444"/>
        <w:spacing w:after="0" w:line="264" w:lineRule="auto"/>
        <w:tabs>
          <w:tab w:leader="none" w:pos="831"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73" w:lineRule="exact"/>
        <w:rPr>
          <w:rFonts w:ascii="Arial" w:cs="Arial" w:eastAsia="Arial" w:hAnsi="Arial"/>
          <w:sz w:val="18"/>
          <w:szCs w:val="18"/>
          <w:color w:val="auto"/>
        </w:rPr>
      </w:pPr>
    </w:p>
    <w:p>
      <w:pPr>
        <w:ind w:right="40" w:firstLine="444"/>
        <w:spacing w:after="0" w:line="290" w:lineRule="auto"/>
        <w:tabs>
          <w:tab w:leader="none" w:pos="831" w:val="left"/>
        </w:tabs>
        <w:numPr>
          <w:ilvl w:val="0"/>
          <w:numId w:val="99"/>
        </w:numPr>
        <w:rPr>
          <w:rFonts w:ascii="Arial" w:cs="Arial" w:eastAsia="Arial" w:hAnsi="Arial"/>
          <w:sz w:val="16"/>
          <w:szCs w:val="16"/>
          <w:color w:val="auto"/>
        </w:rPr>
      </w:pPr>
      <w:r>
        <w:rPr>
          <w:rFonts w:ascii="Arial" w:cs="Arial" w:eastAsia="Arial" w:hAnsi="Arial"/>
          <w:sz w:val="16"/>
          <w:szCs w:val="16"/>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and in either case the Company fails to appoint a successor Depositary within 90 days, (B) there shall have occurred and be continuing an Event of Default with respect to such Global Security and the Depositary shall have notified the Trustee of its decision to exchange such Global Security for Securities in certificated form, (C) subject to the rules of the Depositary, the Company shall have elected to terminate the book-entry system through the Depositary, or (D) there shall exist such circumstances, if any, in addition to or in lieu of the foregoing as have been specified for this purpose as contemplated by Section 3.1.</w:t>
      </w:r>
    </w:p>
    <w:p>
      <w:pPr>
        <w:spacing w:after="0" w:line="58" w:lineRule="exact"/>
        <w:rPr>
          <w:rFonts w:ascii="Arial" w:cs="Arial" w:eastAsia="Arial" w:hAnsi="Arial"/>
          <w:sz w:val="16"/>
          <w:szCs w:val="16"/>
          <w:color w:val="auto"/>
        </w:rPr>
      </w:pPr>
    </w:p>
    <w:p>
      <w:pPr>
        <w:ind w:firstLine="444"/>
        <w:spacing w:after="0" w:line="342" w:lineRule="auto"/>
        <w:tabs>
          <w:tab w:leader="none" w:pos="831" w:val="left"/>
        </w:tabs>
        <w:numPr>
          <w:ilvl w:val="0"/>
          <w:numId w:val="99"/>
        </w:numPr>
        <w:rPr>
          <w:rFonts w:ascii="Arial" w:cs="Arial" w:eastAsia="Arial" w:hAnsi="Arial"/>
          <w:sz w:val="16"/>
          <w:szCs w:val="16"/>
          <w:color w:val="auto"/>
        </w:rPr>
      </w:pPr>
      <w:r>
        <w:rPr>
          <w:rFonts w:ascii="Arial" w:cs="Arial" w:eastAsia="Arial" w:hAnsi="Arial"/>
          <w:sz w:val="16"/>
          <w:szCs w:val="16"/>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5" w:lineRule="exact"/>
        <w:rPr>
          <w:rFonts w:ascii="Arial" w:cs="Arial" w:eastAsia="Arial" w:hAnsi="Arial"/>
          <w:sz w:val="16"/>
          <w:szCs w:val="16"/>
          <w:color w:val="auto"/>
        </w:rPr>
      </w:pPr>
    </w:p>
    <w:p>
      <w:pPr>
        <w:ind w:right="80" w:firstLine="444"/>
        <w:spacing w:after="0" w:line="312" w:lineRule="auto"/>
        <w:tabs>
          <w:tab w:leader="none" w:pos="831" w:val="left"/>
        </w:tabs>
        <w:numPr>
          <w:ilvl w:val="0"/>
          <w:numId w:val="99"/>
        </w:numPr>
        <w:rPr>
          <w:rFonts w:ascii="Arial" w:cs="Arial" w:eastAsia="Arial" w:hAnsi="Arial"/>
          <w:sz w:val="16"/>
          <w:szCs w:val="16"/>
          <w:color w:val="auto"/>
        </w:rPr>
      </w:pPr>
      <w:r>
        <w:rPr>
          <w:rFonts w:ascii="Arial" w:cs="Arial" w:eastAsia="Arial" w:hAnsi="Arial"/>
          <w:sz w:val="16"/>
          <w:szCs w:val="16"/>
          <w:color w:val="auto"/>
        </w:rPr>
        <w:t>Every Security authenticated and delivered upon registration of transfer of, or in exchange for or in lieu of, a Global Security or any portion thereof, whether pursuant to this Section, Section 3.4, 3.6, 9.6 or 11.7 or otherwise, shall be authenticated and delivered in the form of, and shall be, a Global Security, unless such Security is registered in the name of a Person other than the Depositary for such Global Security or a nominee thereof.</w:t>
      </w:r>
    </w:p>
    <w:p>
      <w:pPr>
        <w:spacing w:after="0" w:line="147"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6"/>
          <w:szCs w:val="16"/>
          <w:u w:val="single" w:color="auto"/>
          <w:color w:val="auto"/>
        </w:rPr>
        <w:t>Mutilated, Destroyed, Lost and Stolen Securities</w:t>
      </w:r>
      <w:r>
        <w:rPr>
          <w:rFonts w:ascii="Arial" w:cs="Arial" w:eastAsia="Arial" w:hAnsi="Arial"/>
          <w:sz w:val="16"/>
          <w:szCs w:val="16"/>
          <w:color w:val="auto"/>
        </w:rPr>
        <w:t>.</w:t>
      </w:r>
    </w:p>
    <w:p>
      <w:pPr>
        <w:spacing w:after="0" w:line="225" w:lineRule="exact"/>
        <w:rPr>
          <w:sz w:val="20"/>
          <w:szCs w:val="20"/>
          <w:color w:val="auto"/>
        </w:rPr>
      </w:pPr>
    </w:p>
    <w:p>
      <w:pPr>
        <w:jc w:val="both"/>
        <w:ind w:right="360" w:firstLine="441"/>
        <w:spacing w:after="0" w:line="286" w:lineRule="auto"/>
        <w:rPr>
          <w:sz w:val="20"/>
          <w:szCs w:val="20"/>
          <w:color w:val="auto"/>
        </w:rPr>
      </w:pPr>
      <w:r>
        <w:rPr>
          <w:rFonts w:ascii="Arial" w:cs="Arial" w:eastAsia="Arial" w:hAnsi="Arial"/>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 and, if applicable, the Subsidiary Guarantors shall execute the notation of Subsidiary Guarantee endorsed thereon.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there shall be delivered to the Company and the Trustee (i) evidence to their satisfaction of the destruction, loss or theft of any Security and</w:t>
      </w:r>
    </w:p>
    <w:p>
      <w:pPr>
        <w:spacing w:after="0" w:line="46" w:lineRule="exact"/>
        <w:rPr>
          <w:sz w:val="20"/>
          <w:szCs w:val="20"/>
          <w:color w:val="auto"/>
        </w:rPr>
      </w:pPr>
    </w:p>
    <w:p>
      <w:pPr>
        <w:ind w:firstLine="4"/>
        <w:spacing w:after="0" w:line="253" w:lineRule="auto"/>
        <w:tabs>
          <w:tab w:leader="none" w:pos="26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security or indemnity as may be required by them to save each of them and any agent of either of them harmless from any loss that any of them may suffer if a Security is replaced, then, in the absence of notice to the Company or the Trustee that such Security has been acquired by a protected purchaser, the Company shall execute, and the Trustee shall authenticate and deliver, in lieu of any such destroyed, lost or stolen Security, a new Security of the same series and of like tenor and principal amount and bearing a number not contemporaneously outstanding, and, if applicable, the Subsidiary Guarantors shall</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149" w:name="page150"/>
    <w:bookmarkEnd w:id="149"/>
    <w:p>
      <w:pPr>
        <w:jc w:val="both"/>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execute the notation of Subsidiary Guarantee endorsed thereon. In case any such mutilated, destroyed, lost or stolen Security has become or is about to become due and payable or is to be converted, the Company in its discretion may, instead of issuing a new Security, pay or authorize the conversion of such Security (without surrender thereof save in the case of a mutilated Security).</w:t>
      </w:r>
    </w:p>
    <w:p>
      <w:pPr>
        <w:spacing w:after="0" w:line="181" w:lineRule="exact"/>
        <w:rPr>
          <w:sz w:val="20"/>
          <w:szCs w:val="20"/>
          <w:color w:val="auto"/>
        </w:rPr>
      </w:pPr>
    </w:p>
    <w:p>
      <w:pPr>
        <w:ind w:right="180" w:firstLine="441"/>
        <w:spacing w:after="0" w:line="297"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58"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payment or conversion of mutilated, destroyed, lost or stolen Securities.</w:t>
      </w:r>
    </w:p>
    <w:p>
      <w:pPr>
        <w:spacing w:after="0" w:line="170"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u w:val="single" w:color="auto"/>
          <w:color w:val="auto"/>
        </w:rPr>
        <w:t>Payment of Interest; Interest Rights Preserved</w:t>
      </w:r>
      <w:r>
        <w:rPr>
          <w:rFonts w:ascii="Arial" w:cs="Arial" w:eastAsia="Arial" w:hAnsi="Arial"/>
          <w:sz w:val="16"/>
          <w:szCs w:val="16"/>
          <w:color w:val="auto"/>
        </w:rPr>
        <w:t>.</w:t>
      </w:r>
    </w:p>
    <w:p>
      <w:pPr>
        <w:spacing w:after="0" w:line="225" w:lineRule="exact"/>
        <w:rPr>
          <w:sz w:val="20"/>
          <w:szCs w:val="20"/>
          <w:color w:val="auto"/>
        </w:rPr>
      </w:pPr>
    </w:p>
    <w:p>
      <w:pPr>
        <w:ind w:right="240" w:firstLine="441"/>
        <w:spacing w:after="0" w:line="286" w:lineRule="auto"/>
        <w:rPr>
          <w:sz w:val="20"/>
          <w:szCs w:val="20"/>
          <w:color w:val="auto"/>
        </w:rPr>
      </w:pPr>
      <w:r>
        <w:rPr>
          <w:rFonts w:ascii="Arial" w:cs="Arial" w:eastAsia="Arial" w:hAnsi="Arial"/>
          <w:sz w:val="17"/>
          <w:szCs w:val="17"/>
          <w:color w:val="auto"/>
        </w:rPr>
        <w:t>Except as otherwise provided as contemplated by Section 3.1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66" w:lineRule="exact"/>
        <w:rPr>
          <w:sz w:val="20"/>
          <w:szCs w:val="20"/>
          <w:color w:val="auto"/>
        </w:rPr>
      </w:pPr>
    </w:p>
    <w:p>
      <w:pPr>
        <w:jc w:val="both"/>
        <w:ind w:right="40" w:firstLine="441"/>
        <w:spacing w:after="0" w:line="286" w:lineRule="auto"/>
        <w:rPr>
          <w:sz w:val="20"/>
          <w:szCs w:val="20"/>
          <w:color w:val="auto"/>
        </w:rPr>
      </w:pPr>
      <w:r>
        <w:rPr>
          <w:rFonts w:ascii="Arial" w:cs="Arial" w:eastAsia="Arial" w:hAnsi="Arial"/>
          <w:sz w:val="17"/>
          <w:szCs w:val="17"/>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57" w:lineRule="exact"/>
        <w:rPr>
          <w:sz w:val="20"/>
          <w:szCs w:val="20"/>
          <w:color w:val="auto"/>
        </w:rPr>
      </w:pPr>
    </w:p>
    <w:p>
      <w:pPr>
        <w:ind w:firstLine="444"/>
        <w:spacing w:after="0" w:line="288" w:lineRule="auto"/>
        <w:tabs>
          <w:tab w:leader="none" w:pos="82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50" w:name="page151"/>
    <w:bookmarkEnd w:id="150"/>
    <w:p>
      <w:pPr>
        <w:jc w:val="both"/>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Special Record Date therefor to be given to each Holder of Securities of such series in the manner set forth in Section 1.6,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46" w:lineRule="exact"/>
        <w:rPr>
          <w:sz w:val="20"/>
          <w:szCs w:val="20"/>
          <w:color w:val="auto"/>
        </w:rPr>
      </w:pPr>
    </w:p>
    <w:p>
      <w:pPr>
        <w:ind w:firstLine="444"/>
        <w:spacing w:after="0" w:line="259" w:lineRule="auto"/>
        <w:tabs>
          <w:tab w:leader="none" w:pos="82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80" w:firstLine="441"/>
        <w:spacing w:after="0" w:line="342" w:lineRule="auto"/>
        <w:rPr>
          <w:sz w:val="20"/>
          <w:szCs w:val="20"/>
          <w:color w:val="auto"/>
        </w:rPr>
      </w:pPr>
      <w:r>
        <w:rPr>
          <w:rFonts w:ascii="Arial" w:cs="Arial" w:eastAsia="Arial" w:hAnsi="Arial"/>
          <w:sz w:val="16"/>
          <w:szCs w:val="16"/>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24"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5"/>
          <w:szCs w:val="15"/>
          <w:u w:val="single" w:color="auto"/>
          <w:color w:val="auto"/>
        </w:rPr>
        <w:t>Persons Deemed Owners</w:t>
      </w:r>
      <w:r>
        <w:rPr>
          <w:rFonts w:ascii="Arial" w:cs="Arial" w:eastAsia="Arial" w:hAnsi="Arial"/>
          <w:sz w:val="15"/>
          <w:szCs w:val="15"/>
          <w:color w:val="auto"/>
        </w:rPr>
        <w:t>.</w:t>
      </w:r>
    </w:p>
    <w:p>
      <w:pPr>
        <w:spacing w:after="0" w:line="225"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Prior to due presentment of a Security for registration of transfer, the Company, the Subsidiary Guarantors, the Trustee and any agent of the Company, the Subsidiary Guarantors, or the Trustee may treat the Person in whose name such Security is registered as the owner of such Security for the purpose of receiving payment of principal of and any premium and (subject to Section 3.7) any interest on such Security and for all other purposes whatsoever, whether or not such Security be overdue, and neither the Company, any Subsidiary Guarantor, the Trustee nor any agent of the Company, any Subsidiary Guarantor, or the Trustee shall be affected by notice to the contrary.</w:t>
      </w:r>
    </w:p>
    <w:p>
      <w:pPr>
        <w:spacing w:after="0" w:line="173"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6"/>
          <w:szCs w:val="16"/>
          <w:u w:val="single" w:color="auto"/>
          <w:color w:val="auto"/>
        </w:rPr>
        <w:t>Cancellation</w:t>
      </w:r>
      <w:r>
        <w:rPr>
          <w:rFonts w:ascii="Arial" w:cs="Arial" w:eastAsia="Arial" w:hAnsi="Arial"/>
          <w:sz w:val="16"/>
          <w:szCs w:val="16"/>
          <w:color w:val="auto"/>
        </w:rPr>
        <w:t>.</w:t>
      </w:r>
    </w:p>
    <w:p>
      <w:pPr>
        <w:spacing w:after="0" w:line="225" w:lineRule="exact"/>
        <w:rPr>
          <w:sz w:val="20"/>
          <w:szCs w:val="20"/>
          <w:color w:val="auto"/>
        </w:rPr>
      </w:pPr>
    </w:p>
    <w:p>
      <w:pPr>
        <w:ind w:right="80" w:firstLine="441"/>
        <w:spacing w:after="0" w:line="254" w:lineRule="auto"/>
        <w:rPr>
          <w:sz w:val="20"/>
          <w:szCs w:val="20"/>
          <w:color w:val="auto"/>
        </w:rPr>
      </w:pPr>
      <w:r>
        <w:rPr>
          <w:rFonts w:ascii="Arial" w:cs="Arial" w:eastAsia="Arial" w:hAnsi="Arial"/>
          <w:sz w:val="18"/>
          <w:szCs w:val="18"/>
          <w:color w:val="auto"/>
        </w:rPr>
        <w:t>All Securities surrendered for payment, redemption, purchase, registration of transfer or exchange or for credit against any sinking fund payment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disposed of in accordance with its standard procedures, unless as directed by a Company Order.</w:t>
      </w:r>
    </w:p>
    <w:p>
      <w:pPr>
        <w:spacing w:after="0" w:line="192"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Computation of Interest</w:t>
      </w:r>
      <w:r>
        <w:rPr>
          <w:rFonts w:ascii="Arial" w:cs="Arial" w:eastAsia="Arial" w:hAnsi="Arial"/>
          <w:sz w:val="16"/>
          <w:szCs w:val="16"/>
          <w:color w:val="auto"/>
        </w:rPr>
        <w:t>.</w:t>
      </w:r>
    </w:p>
    <w:p>
      <w:pPr>
        <w:spacing w:after="0" w:line="225"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Except as otherwise specified as contemplated by Section 3.1 for Securities of any series, interest on the Securities of each series shall be computed on the basis of a 360-day year of twelve 30-day months.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w:t>
      </w:r>
    </w:p>
    <w:p>
      <w:pPr>
        <w:spacing w:after="0" w:line="225" w:lineRule="exact"/>
        <w:rPr>
          <w:sz w:val="20"/>
          <w:szCs w:val="20"/>
          <w:color w:val="auto"/>
        </w:rPr>
      </w:pPr>
    </w:p>
    <w:p>
      <w:pPr>
        <w:ind w:right="560" w:firstLine="441"/>
        <w:spacing w:after="0" w:line="342" w:lineRule="auto"/>
        <w:rPr>
          <w:sz w:val="20"/>
          <w:szCs w:val="20"/>
          <w:color w:val="auto"/>
        </w:rPr>
      </w:pPr>
      <w:r>
        <w:rPr>
          <w:rFonts w:ascii="Arial" w:cs="Arial" w:eastAsia="Arial" w:hAnsi="Arial"/>
          <w:sz w:val="16"/>
          <w:szCs w:val="16"/>
          <w:color w:val="auto"/>
        </w:rPr>
        <w:t>This Indenture shall upon Company Request cease to be of further effect with respect to the Securities of any series, and the Trustee, at the expense of the Company, shall execute proper instruments acknowledging satisfaction and discharge of this Indenture, when</w:t>
      </w:r>
    </w:p>
    <w:p>
      <w:pPr>
        <w:spacing w:after="0" w:line="16" w:lineRule="exact"/>
        <w:rPr>
          <w:sz w:val="20"/>
          <w:szCs w:val="20"/>
          <w:color w:val="auto"/>
        </w:rPr>
      </w:pPr>
    </w:p>
    <w:p>
      <w:pPr>
        <w:ind w:left="840" w:hanging="396"/>
        <w:spacing w:after="0"/>
        <w:tabs>
          <w:tab w:leader="none" w:pos="8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firstLine="885"/>
        <w:spacing w:after="0" w:line="259" w:lineRule="auto"/>
        <w:tabs>
          <w:tab w:leader="none" w:pos="131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(i) Securities of such series which have been destroyed, lost or stolen and which have been replaced or paid as provided in Section 3.6 and (ii) Securities of such series for whose payment money has theretofore been deposited in trust or segregated and held in trust by the Company and thereafter repaid to the Company or discharged from such trust, as provided in Section 10.3) have been delivered to the Trustee for cancellation; or</w:t>
      </w:r>
    </w:p>
    <w:p>
      <w:pPr>
        <w:spacing w:after="0" w:line="78" w:lineRule="exact"/>
        <w:rPr>
          <w:rFonts w:ascii="Arial" w:cs="Arial" w:eastAsia="Arial" w:hAnsi="Arial"/>
          <w:sz w:val="18"/>
          <w:szCs w:val="18"/>
          <w:color w:val="auto"/>
        </w:rPr>
      </w:pPr>
    </w:p>
    <w:p>
      <w:pPr>
        <w:ind w:left="1300" w:hanging="415"/>
        <w:spacing w:after="0"/>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such Securities of such series not theretofore delivered to the Trustee for cancellation</w:t>
      </w:r>
    </w:p>
    <w:p>
      <w:pPr>
        <w:spacing w:after="0" w:line="117" w:lineRule="exact"/>
        <w:rPr>
          <w:rFonts w:ascii="Arial" w:cs="Arial" w:eastAsia="Arial" w:hAnsi="Arial"/>
          <w:sz w:val="18"/>
          <w:szCs w:val="18"/>
          <w:color w:val="auto"/>
        </w:rPr>
      </w:pPr>
    </w:p>
    <w:p>
      <w:pPr>
        <w:ind w:left="1780" w:hanging="344"/>
        <w:spacing w:after="0"/>
        <w:tabs>
          <w:tab w:leader="none" w:pos="178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1840" w:hanging="404"/>
        <w:spacing w:after="0"/>
        <w:tabs>
          <w:tab w:leader="none" w:pos="184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right="460" w:firstLine="1436"/>
        <w:spacing w:after="0" w:line="277" w:lineRule="auto"/>
        <w:tabs>
          <w:tab w:leader="none" w:pos="1883"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and the Company or, if applicable, a Subsidiary Guarantor, in the case of (i), (ii) or (iii) above, has irrevocably deposited or caused to be deposited with the Trustee as trust funds in trust for the purpose money in an amount sufficient, without consideration of any reinvestment of interest,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80" w:lineRule="exact"/>
        <w:rPr>
          <w:sz w:val="20"/>
          <w:szCs w:val="20"/>
          <w:color w:val="auto"/>
        </w:rPr>
      </w:pPr>
    </w:p>
    <w:p>
      <w:pPr>
        <w:ind w:right="120" w:firstLine="444"/>
        <w:spacing w:after="0" w:line="277" w:lineRule="auto"/>
        <w:tabs>
          <w:tab w:leader="none" w:pos="83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or a Subsidiary Guarantor has paid or caused to be paid all other sums payable hereunder by the Company and the Subsidiary Guarantors with respect to the Securities of such series; and</w:t>
      </w:r>
    </w:p>
    <w:p>
      <w:pPr>
        <w:spacing w:after="0" w:line="62" w:lineRule="exact"/>
        <w:rPr>
          <w:rFonts w:ascii="Arial" w:cs="Arial" w:eastAsia="Arial" w:hAnsi="Arial"/>
          <w:sz w:val="18"/>
          <w:szCs w:val="18"/>
          <w:color w:val="auto"/>
        </w:rPr>
      </w:pPr>
    </w:p>
    <w:p>
      <w:pPr>
        <w:ind w:right="380" w:firstLine="444"/>
        <w:spacing w:after="0" w:line="342" w:lineRule="auto"/>
        <w:tabs>
          <w:tab w:leader="none" w:pos="83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all conditions precedent herein provided for relating to the satisfaction and discharge of this Indenture with respect to the Securities of such series have been complied with.</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0" w:right="459" w:bottom="1440" w:gutter="0" w:footer="0" w:header="0"/>
        </w:sectPr>
      </w:pPr>
    </w:p>
    <w:bookmarkStart w:id="152" w:name="page153"/>
    <w:bookmarkEnd w:id="152"/>
    <w:p>
      <w:pPr>
        <w:ind w:right="120" w:firstLine="441"/>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satisfaction and discharge of this Indenture, the obligations of the Company to the Trustee under Section 6.7, the obligations of the Company with respect to the Securities of such series under Sections 3.4, 3.5, 3.6, 10.2 and 10.3, any surviving rights of conversion, the obligations of the Trustee to any Authenticating Agent under Section 6.14 and, if money shall have been deposited with the Trustee pursuant to subclause (B) of clause (1) of this Section, the obligations of the Trustee under Section 4.2 and the last paragraph of Section 10.3 shall survive.</w:t>
      </w:r>
    </w:p>
    <w:p>
      <w:pPr>
        <w:spacing w:after="0" w:line="154"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Application of Trust Money</w:t>
      </w:r>
      <w:r>
        <w:rPr>
          <w:rFonts w:ascii="Arial" w:cs="Arial" w:eastAsia="Arial" w:hAnsi="Arial"/>
          <w:sz w:val="16"/>
          <w:szCs w:val="16"/>
          <w:color w:val="auto"/>
        </w:rPr>
        <w:t>.</w:t>
      </w:r>
    </w:p>
    <w:p>
      <w:pPr>
        <w:spacing w:after="0" w:line="22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Subject to the provisions of the last paragraph of Section 10.3, all money deposited with the Trustee pursuant to Section 4.1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REMEDIES</w:t>
      </w:r>
    </w:p>
    <w:p>
      <w:pPr>
        <w:spacing w:after="0" w:line="22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color w:val="auto"/>
        </w:rPr>
        <w:t>“Event of Default”, wherever used herein with respect to Securities of any series, means any one of the following events (whatever the reason for such Event of Default and whether it shall be occasioned by the provisions of Article XII or be voluntary or involuntary or be effected by operation of law or pursuant to any judgment, decree or order of any court or any order, rule or regulation of any administrative or governmental body):</w:t>
      </w:r>
    </w:p>
    <w:p>
      <w:pPr>
        <w:spacing w:after="0" w:line="39" w:lineRule="exact"/>
        <w:rPr>
          <w:sz w:val="20"/>
          <w:szCs w:val="20"/>
          <w:color w:val="auto"/>
        </w:rPr>
      </w:pPr>
    </w:p>
    <w:p>
      <w:pPr>
        <w:ind w:right="80" w:firstLine="444"/>
        <w:spacing w:after="0" w:line="277" w:lineRule="auto"/>
        <w:tabs>
          <w:tab w:leader="none" w:pos="83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30 days; or</w:t>
      </w:r>
    </w:p>
    <w:p>
      <w:pPr>
        <w:spacing w:after="0" w:line="62" w:lineRule="exact"/>
        <w:rPr>
          <w:rFonts w:ascii="Arial" w:cs="Arial" w:eastAsia="Arial" w:hAnsi="Arial"/>
          <w:sz w:val="18"/>
          <w:szCs w:val="18"/>
          <w:color w:val="auto"/>
        </w:rPr>
      </w:pPr>
    </w:p>
    <w:p>
      <w:pPr>
        <w:ind w:left="840" w:hanging="396"/>
        <w:spacing w:after="0"/>
        <w:tabs>
          <w:tab w:leader="none" w:pos="8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any Security of that series at its Maturity; or</w:t>
      </w:r>
    </w:p>
    <w:p>
      <w:pPr>
        <w:spacing w:after="0" w:line="117" w:lineRule="exact"/>
        <w:rPr>
          <w:rFonts w:ascii="Arial" w:cs="Arial" w:eastAsia="Arial" w:hAnsi="Arial"/>
          <w:sz w:val="18"/>
          <w:szCs w:val="18"/>
          <w:color w:val="auto"/>
        </w:rPr>
      </w:pPr>
    </w:p>
    <w:p>
      <w:pPr>
        <w:ind w:left="840" w:hanging="396"/>
        <w:spacing w:after="0"/>
        <w:tabs>
          <w:tab w:leader="none" w:pos="8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Security of that series; or</w:t>
      </w:r>
    </w:p>
    <w:p>
      <w:pPr>
        <w:spacing w:after="0" w:line="117" w:lineRule="exact"/>
        <w:rPr>
          <w:rFonts w:ascii="Arial" w:cs="Arial" w:eastAsia="Arial" w:hAnsi="Arial"/>
          <w:sz w:val="18"/>
          <w:szCs w:val="18"/>
          <w:color w:val="auto"/>
        </w:rPr>
      </w:pPr>
    </w:p>
    <w:p>
      <w:pPr>
        <w:ind w:right="220" w:firstLine="444"/>
        <w:spacing w:after="0" w:line="277" w:lineRule="auto"/>
        <w:tabs>
          <w:tab w:leader="none" w:pos="83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of the Company or, if the Subsidiary Guarantors have issued Subsidiary Guarantees with respect to the Securities of such series, any Subsidiary Guarantor in Article VIII of this Indenture; or</w:t>
      </w:r>
    </w:p>
    <w:p>
      <w:pPr>
        <w:spacing w:after="0" w:line="62" w:lineRule="exact"/>
        <w:rPr>
          <w:rFonts w:ascii="Arial" w:cs="Arial" w:eastAsia="Arial" w:hAnsi="Arial"/>
          <w:sz w:val="18"/>
          <w:szCs w:val="18"/>
          <w:color w:val="auto"/>
        </w:rPr>
      </w:pPr>
    </w:p>
    <w:p>
      <w:pPr>
        <w:ind w:firstLine="444"/>
        <w:spacing w:after="0" w:line="302" w:lineRule="auto"/>
        <w:tabs>
          <w:tab w:leader="none" w:pos="83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warranty of the Company or, if the Subsidiary Guarantors have issued Subsidiary Guarantees with respect to the Securities of such series, any Subsidiary Guarantor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60 days after there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153" w:name="page154"/>
    <w:bookmarkEnd w:id="153"/>
    <w:p>
      <w:pPr>
        <w:jc w:val="both"/>
        <w:ind w:right="4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provided however, that the Company will have 90 days following such written notice to remedy or receive a waiver for any failure to comply with the Company’s obligations under the Indenture so long as the Company is attempting to remedy any such failure as soon as reasonably practicable; or</w:t>
      </w:r>
    </w:p>
    <w:p>
      <w:pPr>
        <w:spacing w:after="0" w:line="80" w:lineRule="exact"/>
        <w:rPr>
          <w:sz w:val="20"/>
          <w:szCs w:val="20"/>
          <w:color w:val="auto"/>
        </w:rPr>
      </w:pPr>
    </w:p>
    <w:p>
      <w:pPr>
        <w:ind w:firstLine="444"/>
        <w:spacing w:after="0" w:line="255" w:lineRule="auto"/>
        <w:tabs>
          <w:tab w:leader="none" w:pos="83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Debt of the Company, any Significant Subsidiary or, if the Subsidiary Guarantors have issued Subsidiary Guarantees with respect to the Securities of such series, any Subsidiary Guarantor is accelerated by the holders thereof because of a default and the total amount of such Debt unpaid or accelerated exceeds $100.0 million, or its foreign currency equivalent at the time, or such default results from the failure to pay when due principal of such Debt; provided that if such default is cured or waived or such acceleration is rescinded, or such Debt (or the overdue portion thereof) is repaid within a period of 30 days from the continuation of such default beyond any applicable grace period or the occurrence of such acceleration, as the case may be, such Event of Default or any consequent acceleration shall be rescinded, so long as such rescission does not conflict with any judgment or decree or applicable provision of law; or</w:t>
      </w:r>
    </w:p>
    <w:p>
      <w:pPr>
        <w:spacing w:after="0" w:line="81" w:lineRule="exact"/>
        <w:rPr>
          <w:rFonts w:ascii="Arial" w:cs="Arial" w:eastAsia="Arial" w:hAnsi="Arial"/>
          <w:sz w:val="18"/>
          <w:szCs w:val="18"/>
          <w:color w:val="auto"/>
        </w:rPr>
      </w:pPr>
    </w:p>
    <w:p>
      <w:pPr>
        <w:ind w:right="120" w:firstLine="444"/>
        <w:spacing w:after="0" w:line="270" w:lineRule="auto"/>
        <w:tabs>
          <w:tab w:leader="none" w:pos="83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entry by a court having jurisdiction in the premises of (A) a decree or order for relief in respect of the Company, any Significant Subsidiary or, if the Subsidiary Guarantors have issued Subsidiary Guarantees with respect to the Securities of such series, any Subsidiary Guarantor in an involuntary case or proceeding under any applicable Federal or State bankruptcy, insolvency, reorganization or other similar law or (B) a decree or order adjudging the Company, any Significant Subsidiary or any such Subsidiary Guarantor a bankrupt or insolvent, or approving as properly filed a petition seeking reorganization, arrangement, adjustment or composition of or in respect of the Company, any Significant Subsidiary or any such Subsidiary Guarantor under any applicable Federal or State law, or appointing a custodian, receiver, liquidator, assignee, trustee, sequestrator or other similar official of the Company, any Significant Subsidiary or any such Subsidiary Guarantor or of any substantial part of its or their property, or ordering the winding up or liquidation of its or their affairs, and the continuance of any such decree or order for relief or any such other decree or order unstayed and in effect for a period of 60 consecutive days; or</w:t>
      </w:r>
    </w:p>
    <w:p>
      <w:pPr>
        <w:spacing w:after="0" w:line="73" w:lineRule="exact"/>
        <w:rPr>
          <w:rFonts w:ascii="Arial" w:cs="Arial" w:eastAsia="Arial" w:hAnsi="Arial"/>
          <w:sz w:val="17"/>
          <w:szCs w:val="17"/>
          <w:color w:val="auto"/>
        </w:rPr>
      </w:pPr>
    </w:p>
    <w:p>
      <w:pPr>
        <w:ind w:right="40" w:firstLine="444"/>
        <w:spacing w:after="0" w:line="287" w:lineRule="auto"/>
        <w:tabs>
          <w:tab w:leader="none" w:pos="83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commencement by the Company, any Significant Subsidiary or, if the Subsidiary Guarantors have issued Subsidiary Guarantees with respect to the Securities of such series, any Subsidiary Guarantor of a voluntary case or proceeding under any applicable Federal or State bankruptcy, insolvency, reorganization or other similar law or of any other case or proceeding to be adjudicated a bankrupt or insolvent, or the consent by it or them to the entry of a decree or order for relief in respect of the Company, any Significant Subsidiary or any such Subsidiary Guarantor in an involuntary case or proceeding under any applicable Federal or State bankruptcy, insolvency, reorganization or other similar law or to the commencement of any bankruptcy or insolvency case or proceeding against it or them, or the filing by it or them of a petition or answer or consent seeking reorganization or relief under any applicable Federal or State law, or the consent by it or them to the filing of such petition or to the appointment of or taking possession by a custodian, receiver, liquidator, assignee, trustee, sequestrator or other similar official of the Company, any Significant Subsidiary or any such Subsidiary Guarantor or of any substantial part of its or their property, or the making by it or them of an assignment for the benefit of creditors, or the admission by it or them in writing of its or their inability to pay its or their debts generally as they become due, or the taking of corporate action by the Company, any Significant Subsidiary or any such Subsidiary Guarantor in furtherance of any such action;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154" w:name="page155"/>
    <w:bookmarkEnd w:id="154"/>
    <w:p>
      <w:pPr>
        <w:ind w:right="20" w:firstLine="444"/>
        <w:spacing w:after="0" w:line="297" w:lineRule="auto"/>
        <w:tabs>
          <w:tab w:leader="none" w:pos="831" w:val="left"/>
        </w:tabs>
        <w:numPr>
          <w:ilvl w:val="0"/>
          <w:numId w:val="1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the Subsidiary Guarantors have issued Subsidiary Guarantees with respect to the Securities of such series, the Subsidiary Guarantee of any Subsidiary Guarantor is held by a final non-appealable order or judgment of a court of competent jurisdiction to be unenforceable or invalid or ceases for any reason to be in full force and effect (other than in accordance with the terms of this Indenture) or any Subsidiary Guarantor or any Person acting on behalf of any Subsidiary Guarantor denies or disaffirms such Subsidiary Guarantor’s obligations under its Subsidiary Guarantee in writing (other than by reason of a release of such Subsidiary Guarantor from its Subsidiary Guarantee in accordance with the terms of this Indenture); or</w:t>
      </w:r>
    </w:p>
    <w:p>
      <w:pPr>
        <w:spacing w:after="0" w:line="50" w:lineRule="exact"/>
        <w:rPr>
          <w:rFonts w:ascii="Arial" w:cs="Arial" w:eastAsia="Arial" w:hAnsi="Arial"/>
          <w:sz w:val="16"/>
          <w:szCs w:val="16"/>
          <w:color w:val="auto"/>
        </w:rPr>
      </w:pPr>
    </w:p>
    <w:p>
      <w:pPr>
        <w:ind w:left="920" w:hanging="476"/>
        <w:spacing w:after="0"/>
        <w:tabs>
          <w:tab w:leader="none" w:pos="9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w:t>
      </w:r>
    </w:p>
    <w:p>
      <w:pPr>
        <w:spacing w:after="0" w:line="225"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Acceleration of Maturity; Rescission and Annulment</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If an Event of Default (other than an Event of Default with respect to the Company specified in Section 5.1(7) or 5.1(8)) with respect to Securities of any series at the time Outstanding occurs and is continuing, then in every such case the Trustee or the Holders of not less than 25% in principal amount of the Outstanding Securities of that series may declare the unpaid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together with any accrued and unpaid interest thereon, shall become immediately due and payable. If an Event of Default with respect to the Company specified in Section 5.1(7) or 5.1(8)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together with any accrued and unpaid interest thereon, shall automatically, and without any declaration or other action on the part of the Trustee or any Holder, become immediately due and payable.</w:t>
      </w:r>
    </w:p>
    <w:p>
      <w:pPr>
        <w:spacing w:after="0" w:line="169"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39" w:lineRule="exact"/>
        <w:rPr>
          <w:sz w:val="20"/>
          <w:szCs w:val="20"/>
          <w:color w:val="auto"/>
        </w:rPr>
      </w:pPr>
    </w:p>
    <w:p>
      <w:pPr>
        <w:ind w:left="840" w:hanging="396"/>
        <w:spacing w:after="0"/>
        <w:tabs>
          <w:tab w:leader="none" w:pos="8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or, if applicable, any Subsidiary Guarantor has paid or deposited with the Trustee a sum sufficient to pay:</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all overdue interest on all Securities of that series,</w:t>
      </w:r>
    </w:p>
    <w:p>
      <w:pPr>
        <w:spacing w:after="0" w:line="117" w:lineRule="exact"/>
        <w:rPr>
          <w:rFonts w:ascii="Arial" w:cs="Arial" w:eastAsia="Arial" w:hAnsi="Arial"/>
          <w:sz w:val="18"/>
          <w:szCs w:val="18"/>
          <w:color w:val="auto"/>
        </w:rPr>
      </w:pPr>
    </w:p>
    <w:p>
      <w:pPr>
        <w:ind w:right="160" w:firstLine="885"/>
        <w:spacing w:after="0" w:line="277" w:lineRule="auto"/>
        <w:tabs>
          <w:tab w:leader="none" w:pos="130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155" w:name="page156"/>
    <w:bookmarkEnd w:id="155"/>
    <w:p>
      <w:pPr>
        <w:ind w:left="1300" w:hanging="415"/>
        <w:spacing w:after="0"/>
        <w:tabs>
          <w:tab w:leader="none" w:pos="1300" w:val="left"/>
        </w:tabs>
        <w:numPr>
          <w:ilvl w:val="1"/>
          <w:numId w:val="1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that payment of such interest is lawful, interest upon overdue interest at the rate or rates prescribed therefor in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 and</w:t>
      </w:r>
    </w:p>
    <w:p>
      <w:pPr>
        <w:spacing w:after="0" w:line="102" w:lineRule="exact"/>
        <w:rPr>
          <w:rFonts w:ascii="Arial" w:cs="Arial" w:eastAsia="Arial" w:hAnsi="Arial"/>
          <w:sz w:val="16"/>
          <w:szCs w:val="16"/>
          <w:color w:val="auto"/>
        </w:rPr>
      </w:pPr>
    </w:p>
    <w:p>
      <w:pPr>
        <w:ind w:right="160" w:firstLine="885"/>
        <w:spacing w:after="0" w:line="277" w:lineRule="auto"/>
        <w:tabs>
          <w:tab w:leader="none" w:pos="131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62" w:lineRule="exact"/>
        <w:rPr>
          <w:rFonts w:ascii="Arial" w:cs="Arial" w:eastAsia="Arial" w:hAnsi="Arial"/>
          <w:sz w:val="18"/>
          <w:szCs w:val="18"/>
          <w:color w:val="auto"/>
        </w:rPr>
      </w:pPr>
    </w:p>
    <w:p>
      <w:pPr>
        <w:ind w:right="160" w:firstLine="444"/>
        <w:spacing w:after="0" w:line="277" w:lineRule="auto"/>
        <w:tabs>
          <w:tab w:leader="none" w:pos="83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Securities of that series which has become due solely by such declaration of acceleration, have been cured or waived as provided in Section 5.13.</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u w:val="single" w:color="auto"/>
          <w:color w:val="auto"/>
        </w:rPr>
        <w:t>Collection of Indebtedness and Suits for Enforcement by Trustee</w:t>
      </w:r>
      <w:r>
        <w:rPr>
          <w:rFonts w:ascii="Arial" w:cs="Arial" w:eastAsia="Arial" w:hAnsi="Arial"/>
          <w:sz w:val="16"/>
          <w:szCs w:val="16"/>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covenants that if:</w:t>
      </w:r>
    </w:p>
    <w:p>
      <w:pPr>
        <w:spacing w:after="0" w:line="117" w:lineRule="exact"/>
        <w:rPr>
          <w:sz w:val="20"/>
          <w:szCs w:val="20"/>
          <w:color w:val="auto"/>
        </w:rPr>
      </w:pPr>
    </w:p>
    <w:p>
      <w:pPr>
        <w:ind w:right="20" w:firstLine="444"/>
        <w:spacing w:after="0" w:line="277" w:lineRule="auto"/>
        <w:tabs>
          <w:tab w:leader="none" w:pos="83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62" w:lineRule="exact"/>
        <w:rPr>
          <w:rFonts w:ascii="Arial" w:cs="Arial" w:eastAsia="Arial" w:hAnsi="Arial"/>
          <w:sz w:val="18"/>
          <w:szCs w:val="18"/>
          <w:color w:val="auto"/>
        </w:rPr>
      </w:pPr>
    </w:p>
    <w:p>
      <w:pPr>
        <w:ind w:left="840" w:hanging="396"/>
        <w:spacing w:after="0"/>
        <w:tabs>
          <w:tab w:leader="none" w:pos="8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8"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In case of any judicial proceeding relative to the Company, any Subsidiary Guarantor or any other obligor upon the Securities, or the property or creditors of the Company, any Subsidiary Guarantor or any other obligor upon the Securities,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440" w:top="274" w:right="519" w:bottom="1440" w:gutter="0" w:footer="0" w:header="0"/>
        </w:sectPr>
      </w:pPr>
    </w:p>
    <w:bookmarkStart w:id="156" w:name="page157"/>
    <w:bookmarkEnd w:id="156"/>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6.7.</w:t>
      </w:r>
    </w:p>
    <w:p>
      <w:pPr>
        <w:spacing w:after="0" w:line="166"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color w:val="auto"/>
        </w:rPr>
        <w:t>No provision of this Indenture shall be deemed to authorize the Trustee to authorize or consent to or accept or adopt on behalf of any Holder any plan of reorganization, arrangement, adjustment or composition affecting the Securities or any Subsidiary Guarantee or the rights of any Holder thereof or to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w:t>
      </w:r>
    </w:p>
    <w:p>
      <w:pPr>
        <w:spacing w:after="0" w:line="154"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u w:val="single" w:color="auto"/>
          <w:color w:val="auto"/>
        </w:rPr>
        <w:t>Trustee May Enforce Claims Without Possession of Securities</w:t>
      </w:r>
      <w:r>
        <w:rPr>
          <w:rFonts w:ascii="Arial" w:cs="Arial" w:eastAsia="Arial" w:hAnsi="Arial"/>
          <w:sz w:val="16"/>
          <w:szCs w:val="16"/>
          <w:color w:val="auto"/>
        </w:rPr>
        <w:t>.</w:t>
      </w:r>
    </w:p>
    <w:p>
      <w:pPr>
        <w:spacing w:after="0" w:line="225"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All rights of action and claims under this Indenture or the Securities or any Subsidiary Guarantee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8"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6"/>
          <w:szCs w:val="16"/>
          <w:u w:val="single" w:color="auto"/>
          <w:color w:val="auto"/>
        </w:rPr>
        <w:t>Application of Money Collected</w:t>
      </w:r>
      <w:r>
        <w:rPr>
          <w:rFonts w:ascii="Arial" w:cs="Arial" w:eastAsia="Arial" w:hAnsi="Arial"/>
          <w:sz w:val="16"/>
          <w:szCs w:val="16"/>
          <w:color w:val="auto"/>
        </w:rPr>
        <w:t>.</w:t>
      </w:r>
    </w:p>
    <w:p>
      <w:pPr>
        <w:spacing w:after="0" w:line="22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To the payment of all amounts due the Trustee under Section 6.7;</w:t>
      </w:r>
    </w:p>
    <w:p>
      <w:pPr>
        <w:spacing w:after="0" w:line="117" w:lineRule="exact"/>
        <w:rPr>
          <w:sz w:val="20"/>
          <w:szCs w:val="20"/>
          <w:color w:val="auto"/>
        </w:rPr>
      </w:pPr>
    </w:p>
    <w:p>
      <w:pPr>
        <w:ind w:right="280" w:firstLine="441"/>
        <w:spacing w:after="0" w:line="286" w:lineRule="auto"/>
        <w:rPr>
          <w:sz w:val="20"/>
          <w:szCs w:val="20"/>
          <w:color w:val="auto"/>
        </w:rPr>
      </w:pPr>
      <w:r>
        <w:rPr>
          <w:rFonts w:ascii="Arial" w:cs="Arial" w:eastAsia="Arial" w:hAnsi="Arial"/>
          <w:sz w:val="17"/>
          <w:szCs w:val="17"/>
          <w:color w:val="auto"/>
        </w:rPr>
        <w:t>SECOND: Subject to Article XII and Article XIV,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THIRD: The balance, if any, to the Company or to such other Person as a court of competent jurisdiction shall direct.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157" w:name="page158"/>
    <w:bookmarkEnd w:id="157"/>
    <w:p>
      <w:pPr>
        <w:ind w:left="44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5.7.</w:t>
      </w:r>
      <w:r>
        <w:rPr>
          <w:sz w:val="20"/>
          <w:szCs w:val="20"/>
          <w:color w:val="auto"/>
        </w:rPr>
        <w:tab/>
      </w:r>
      <w:r>
        <w:rPr>
          <w:rFonts w:ascii="Arial" w:cs="Arial" w:eastAsia="Arial" w:hAnsi="Arial"/>
          <w:sz w:val="17"/>
          <w:szCs w:val="17"/>
          <w:u w:val="single" w:color="auto"/>
          <w:color w:val="auto"/>
        </w:rPr>
        <w:t>Limitation on Suits</w:t>
      </w:r>
      <w:r>
        <w:rPr>
          <w:rFonts w:ascii="Arial" w:cs="Arial" w:eastAsia="Arial" w:hAnsi="Arial"/>
          <w:sz w:val="17"/>
          <w:szCs w:val="17"/>
          <w:color w:val="auto"/>
        </w:rPr>
        <w:t>.</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62" w:lineRule="exact"/>
        <w:rPr>
          <w:sz w:val="20"/>
          <w:szCs w:val="20"/>
          <w:color w:val="auto"/>
        </w:rPr>
      </w:pPr>
    </w:p>
    <w:p>
      <w:pPr>
        <w:ind w:left="840" w:hanging="396"/>
        <w:spacing w:after="0"/>
        <w:tabs>
          <w:tab w:leader="none" w:pos="8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140" w:lineRule="exact"/>
        <w:rPr>
          <w:rFonts w:ascii="Arial" w:cs="Arial" w:eastAsia="Arial" w:hAnsi="Arial"/>
          <w:sz w:val="16"/>
          <w:szCs w:val="16"/>
          <w:color w:val="auto"/>
        </w:rPr>
      </w:pPr>
    </w:p>
    <w:p>
      <w:pPr>
        <w:ind w:right="480" w:firstLine="444"/>
        <w:spacing w:after="0" w:line="277" w:lineRule="auto"/>
        <w:tabs>
          <w:tab w:leader="none" w:pos="83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62" w:lineRule="exact"/>
        <w:rPr>
          <w:rFonts w:ascii="Arial" w:cs="Arial" w:eastAsia="Arial" w:hAnsi="Arial"/>
          <w:sz w:val="18"/>
          <w:szCs w:val="18"/>
          <w:color w:val="auto"/>
        </w:rPr>
      </w:pPr>
    </w:p>
    <w:p>
      <w:pPr>
        <w:ind w:right="80" w:firstLine="444"/>
        <w:spacing w:after="0" w:line="277" w:lineRule="auto"/>
        <w:tabs>
          <w:tab w:leader="none" w:pos="83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security or indemnity against the costs, expenses and liabilities to be incurred in compliance with such request;</w:t>
      </w:r>
    </w:p>
    <w:p>
      <w:pPr>
        <w:spacing w:after="0" w:line="62" w:lineRule="exact"/>
        <w:rPr>
          <w:rFonts w:ascii="Arial" w:cs="Arial" w:eastAsia="Arial" w:hAnsi="Arial"/>
          <w:sz w:val="18"/>
          <w:szCs w:val="18"/>
          <w:color w:val="auto"/>
        </w:rPr>
      </w:pPr>
    </w:p>
    <w:p>
      <w:pPr>
        <w:ind w:left="840" w:hanging="396"/>
        <w:spacing w:after="0"/>
        <w:tabs>
          <w:tab w:leader="none" w:pos="8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security or indemnity has failed to institute any such proceeding;</w:t>
      </w:r>
    </w:p>
    <w:p>
      <w:pPr>
        <w:spacing w:after="0" w:line="140" w:lineRule="exact"/>
        <w:rPr>
          <w:rFonts w:ascii="Arial" w:cs="Arial" w:eastAsia="Arial" w:hAnsi="Arial"/>
          <w:sz w:val="16"/>
          <w:szCs w:val="16"/>
          <w:color w:val="auto"/>
        </w:rPr>
      </w:pPr>
    </w:p>
    <w:p>
      <w:pPr>
        <w:ind w:right="180" w:firstLine="444"/>
        <w:spacing w:after="0" w:line="277" w:lineRule="auto"/>
        <w:tabs>
          <w:tab w:leader="none" w:pos="83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 and</w:t>
      </w:r>
    </w:p>
    <w:p>
      <w:pPr>
        <w:spacing w:after="0" w:line="62" w:lineRule="exact"/>
        <w:rPr>
          <w:rFonts w:ascii="Arial" w:cs="Arial" w:eastAsia="Arial" w:hAnsi="Arial"/>
          <w:sz w:val="18"/>
          <w:szCs w:val="18"/>
          <w:color w:val="auto"/>
        </w:rPr>
      </w:pPr>
    </w:p>
    <w:p>
      <w:pPr>
        <w:ind w:right="480" w:firstLine="444"/>
        <w:spacing w:after="0" w:line="277" w:lineRule="auto"/>
        <w:tabs>
          <w:tab w:leader="none" w:pos="83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90 days following such written notice to remedy or receive a waiver for any failure to comply with Company obligations under the Indenture, the Company has not attempted to remedy any such failure as soon as reasonably practicable;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87"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6"/>
          <w:szCs w:val="16"/>
          <w:u w:val="single" w:color="auto"/>
          <w:color w:val="auto"/>
        </w:rPr>
        <w:t>Unconditional Right of Holders to Receive Principal, Premium and Interest</w:t>
      </w:r>
      <w:r>
        <w:rPr>
          <w:rFonts w:ascii="Arial" w:cs="Arial" w:eastAsia="Arial" w:hAnsi="Arial"/>
          <w:sz w:val="16"/>
          <w:szCs w:val="16"/>
          <w:color w:val="auto"/>
        </w:rPr>
        <w:t>.</w:t>
      </w:r>
    </w:p>
    <w:p>
      <w:pPr>
        <w:spacing w:after="0" w:line="225"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Notwithstanding any other provision in this Indenture, the Holder of any Security shall have the right, which is absolute and unconditional, to receive payment of the principal of and any premium and (subject to Section 3.7) interest on such Security on the respective Stated Maturities expressed in such Security (or, in the case of redemption or offer by the Company to purchase the Securities pursuant to the terms of this Indenture, on the Redemption Date or purchase date, as applicable) and, if applicable, to convert such Security in accordance with its terms, and to institute suit for the enforcement of any such right, and such rights shall not be impaired without the consent of such Holder.</w:t>
      </w:r>
    </w:p>
    <w:p>
      <w:pPr>
        <w:spacing w:after="0" w:line="173"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5.9.</w:t>
      </w:r>
      <w:r>
        <w:rPr>
          <w:sz w:val="20"/>
          <w:szCs w:val="20"/>
          <w:color w:val="auto"/>
        </w:rPr>
        <w:tab/>
      </w:r>
      <w:r>
        <w:rPr>
          <w:rFonts w:ascii="Arial" w:cs="Arial" w:eastAsia="Arial" w:hAnsi="Arial"/>
          <w:sz w:val="16"/>
          <w:szCs w:val="16"/>
          <w:u w:val="single" w:color="auto"/>
          <w:color w:val="auto"/>
        </w:rPr>
        <w:t>Restoration of Rights and Remedies</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Subsidiary Guarantors,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158" w:name="page159"/>
    <w:bookmarkEnd w:id="158"/>
    <w:p>
      <w:pPr>
        <w:ind w:left="440"/>
        <w:spacing w:after="0"/>
        <w:tabs>
          <w:tab w:leader="none" w:pos="1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5.10.</w:t>
      </w:r>
      <w:r>
        <w:rPr>
          <w:sz w:val="20"/>
          <w:szCs w:val="20"/>
          <w:color w:val="auto"/>
        </w:rPr>
        <w:tab/>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w:t>
      </w:r>
    </w:p>
    <w:p>
      <w:pPr>
        <w:spacing w:after="0" w:line="225"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Except as otherwise provided with respect to the replacement or payment of mutilated, destroyed, lost or stolen Securities in the last paragraph of Section 3.6,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3"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u w:val="single" w:color="auto"/>
          <w:color w:val="auto"/>
        </w:rPr>
        <w:t>Delay or Omission Not Waiver</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u w:val="single" w:color="auto"/>
          <w:color w:val="auto"/>
        </w:rPr>
        <w:t>Control by Holders</w:t>
      </w:r>
      <w:r>
        <w:rPr>
          <w:rFonts w:ascii="Arial" w:cs="Arial" w:eastAsia="Arial" w:hAnsi="Arial"/>
          <w:sz w:val="16"/>
          <w:szCs w:val="16"/>
          <w:color w:val="auto"/>
        </w:rPr>
        <w:t>.</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73" w:lineRule="exact"/>
        <w:rPr>
          <w:sz w:val="20"/>
          <w:szCs w:val="20"/>
          <w:color w:val="auto"/>
        </w:rPr>
      </w:pPr>
    </w:p>
    <w:p>
      <w:pPr>
        <w:ind w:left="840" w:hanging="396"/>
        <w:spacing w:after="0"/>
        <w:tabs>
          <w:tab w:leader="none" w:pos="8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 and</w:t>
      </w:r>
    </w:p>
    <w:p>
      <w:pPr>
        <w:spacing w:after="0" w:line="117" w:lineRule="exact"/>
        <w:rPr>
          <w:rFonts w:ascii="Arial" w:cs="Arial" w:eastAsia="Arial" w:hAnsi="Arial"/>
          <w:sz w:val="18"/>
          <w:szCs w:val="18"/>
          <w:color w:val="auto"/>
        </w:rPr>
      </w:pPr>
    </w:p>
    <w:p>
      <w:pPr>
        <w:ind w:left="840" w:hanging="396"/>
        <w:spacing w:after="0"/>
        <w:tabs>
          <w:tab w:leader="none" w:pos="8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225"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u w:val="single" w:color="auto"/>
          <w:color w:val="auto"/>
        </w:rPr>
        <w:t>Waiver of Past Defaults</w:t>
      </w:r>
      <w:r>
        <w:rPr>
          <w:rFonts w:ascii="Arial" w:cs="Arial" w:eastAsia="Arial" w:hAnsi="Arial"/>
          <w:sz w:val="16"/>
          <w:szCs w:val="16"/>
          <w:color w:val="auto"/>
        </w:rPr>
        <w:t>.</w:t>
      </w:r>
    </w:p>
    <w:p>
      <w:pPr>
        <w:spacing w:after="0" w:line="225" w:lineRule="exact"/>
        <w:rPr>
          <w:sz w:val="20"/>
          <w:szCs w:val="20"/>
          <w:color w:val="auto"/>
        </w:rPr>
      </w:pPr>
    </w:p>
    <w:p>
      <w:pPr>
        <w:ind w:right="360" w:firstLine="441"/>
        <w:spacing w:after="0" w:line="308" w:lineRule="auto"/>
        <w:rPr>
          <w:sz w:val="20"/>
          <w:szCs w:val="20"/>
          <w:color w:val="auto"/>
        </w:rPr>
      </w:pPr>
      <w:r>
        <w:rPr>
          <w:rFonts w:ascii="Arial" w:cs="Arial" w:eastAsia="Arial" w:hAnsi="Arial"/>
          <w:sz w:val="17"/>
          <w:szCs w:val="17"/>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w:t>
      </w:r>
    </w:p>
    <w:p>
      <w:pPr>
        <w:spacing w:after="0" w:line="38" w:lineRule="exact"/>
        <w:rPr>
          <w:sz w:val="20"/>
          <w:szCs w:val="20"/>
          <w:color w:val="auto"/>
        </w:rPr>
      </w:pPr>
    </w:p>
    <w:p>
      <w:pPr>
        <w:ind w:firstLine="444"/>
        <w:spacing w:after="0" w:line="308" w:lineRule="auto"/>
        <w:tabs>
          <w:tab w:leader="none" w:pos="831"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 the payment of the principal of or any premium or interest on any Security of such series (including any Security which is required to have been purchased by the Company pursuant to an offer to purchase by the Company made pursuant to the terms of this Indenture), or</w:t>
      </w:r>
    </w:p>
    <w:p>
      <w:pPr>
        <w:spacing w:after="0" w:line="38" w:lineRule="exact"/>
        <w:rPr>
          <w:rFonts w:ascii="Arial" w:cs="Arial" w:eastAsia="Arial" w:hAnsi="Arial"/>
          <w:sz w:val="17"/>
          <w:szCs w:val="17"/>
          <w:color w:val="auto"/>
        </w:rPr>
      </w:pPr>
    </w:p>
    <w:p>
      <w:pPr>
        <w:ind w:right="340" w:firstLine="444"/>
        <w:spacing w:after="0" w:line="277" w:lineRule="auto"/>
        <w:tabs>
          <w:tab w:leader="none" w:pos="83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IX cannot be modified or amended without the consent of the Holder of each Outstanding Security of such series.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159" w:name="page160"/>
    <w:bookmarkEnd w:id="159"/>
    <w:p>
      <w:pPr>
        <w:ind w:right="60" w:firstLine="44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7"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6"/>
          <w:szCs w:val="16"/>
          <w:u w:val="single" w:color="auto"/>
          <w:color w:val="auto"/>
        </w:rPr>
        <w:t>Undertaking for Costs</w:t>
      </w:r>
      <w:r>
        <w:rPr>
          <w:rFonts w:ascii="Arial" w:cs="Arial" w:eastAsia="Arial" w:hAnsi="Arial"/>
          <w:sz w:val="16"/>
          <w:szCs w:val="16"/>
          <w:color w:val="auto"/>
        </w:rPr>
        <w:t>.</w:t>
      </w:r>
    </w:p>
    <w:p>
      <w:pPr>
        <w:spacing w:after="0" w:line="225"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however, that neither this Section nor the Trust Indenture Act shall be deemed to authorize any court to require such an undertaking or to make such an assessment in any suit instituted by the Company or any Subsidiary Guarantor.</w:t>
      </w:r>
    </w:p>
    <w:p>
      <w:pPr>
        <w:spacing w:after="0" w:line="188"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u w:val="single" w:color="auto"/>
          <w:color w:val="auto"/>
        </w:rPr>
        <w:t>Waiver of Usury, Stay or Extension Laws</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Each of the Company and the Subsidiary Guarantors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each of the Company and the Subsidiary Guarantors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Certain Duties and Responsibilities</w:t>
      </w:r>
      <w:r>
        <w:rPr>
          <w:rFonts w:ascii="Arial" w:cs="Arial" w:eastAsia="Arial" w:hAnsi="Arial"/>
          <w:sz w:val="16"/>
          <w:szCs w:val="16"/>
          <w:color w:val="auto"/>
        </w:rPr>
        <w:t>.</w:t>
      </w:r>
    </w:p>
    <w:p>
      <w:pPr>
        <w:spacing w:after="0" w:line="225"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The duties and responsibilities of the Trustee shall be as expressly set forth in this Indenture and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93"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Notice of Defaults</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If a default occurs hereunder with respect to Securities of any series, the Trustee shall give the Holders of Securities of such series notice of such default as and to the extent provided by the Trust Indenture Act; provided, however, that in the case of any default of the character specified in Section 5.1(5)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160" w:name="page161"/>
    <w:bookmarkEnd w:id="160"/>
    <w:p>
      <w:pPr>
        <w:ind w:left="380"/>
        <w:spacing w:after="0"/>
        <w:tabs>
          <w:tab w:leader="none" w:pos="1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6.3.</w:t>
      </w:r>
      <w:r>
        <w:rPr>
          <w:sz w:val="20"/>
          <w:szCs w:val="20"/>
          <w:color w:val="auto"/>
        </w:rPr>
        <w:tab/>
      </w:r>
      <w:r>
        <w:rPr>
          <w:rFonts w:ascii="Arial" w:cs="Arial" w:eastAsia="Arial" w:hAnsi="Arial"/>
          <w:sz w:val="16"/>
          <w:szCs w:val="16"/>
          <w:u w:val="single" w:color="auto"/>
          <w:color w:val="auto"/>
        </w:rPr>
        <w:t>Certain Rights of Trustee</w:t>
      </w:r>
      <w:r>
        <w:rPr>
          <w:rFonts w:ascii="Arial" w:cs="Arial" w:eastAsia="Arial" w:hAnsi="Arial"/>
          <w:sz w:val="16"/>
          <w:szCs w:val="16"/>
          <w:color w:val="auto"/>
        </w:rPr>
        <w: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Subject to the provisions of Section 6.1:</w:t>
      </w:r>
    </w:p>
    <w:p>
      <w:pPr>
        <w:spacing w:after="0" w:line="117" w:lineRule="exact"/>
        <w:rPr>
          <w:sz w:val="20"/>
          <w:szCs w:val="20"/>
          <w:color w:val="auto"/>
        </w:rPr>
      </w:pPr>
    </w:p>
    <w:p>
      <w:pPr>
        <w:ind w:left="-60" w:right="80" w:firstLine="444"/>
        <w:spacing w:after="0" w:line="264" w:lineRule="auto"/>
        <w:tabs>
          <w:tab w:leader="none" w:pos="77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73" w:lineRule="exact"/>
        <w:rPr>
          <w:rFonts w:ascii="Arial" w:cs="Arial" w:eastAsia="Arial" w:hAnsi="Arial"/>
          <w:sz w:val="18"/>
          <w:szCs w:val="18"/>
          <w:color w:val="auto"/>
        </w:rPr>
      </w:pPr>
    </w:p>
    <w:p>
      <w:pPr>
        <w:ind w:left="-60" w:right="240" w:firstLine="444"/>
        <w:spacing w:after="0" w:line="277" w:lineRule="auto"/>
        <w:tabs>
          <w:tab w:leader="none" w:pos="77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62" w:lineRule="exact"/>
        <w:rPr>
          <w:rFonts w:ascii="Arial" w:cs="Arial" w:eastAsia="Arial" w:hAnsi="Arial"/>
          <w:sz w:val="18"/>
          <w:szCs w:val="18"/>
          <w:color w:val="auto"/>
        </w:rPr>
      </w:pPr>
    </w:p>
    <w:p>
      <w:pPr>
        <w:ind w:left="-60" w:right="180" w:firstLine="444"/>
        <w:spacing w:after="0" w:line="264" w:lineRule="auto"/>
        <w:tabs>
          <w:tab w:leader="none" w:pos="77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73" w:lineRule="exact"/>
        <w:rPr>
          <w:rFonts w:ascii="Arial" w:cs="Arial" w:eastAsia="Arial" w:hAnsi="Arial"/>
          <w:sz w:val="18"/>
          <w:szCs w:val="18"/>
          <w:color w:val="auto"/>
        </w:rPr>
      </w:pPr>
    </w:p>
    <w:p>
      <w:pPr>
        <w:ind w:left="-60" w:right="800" w:firstLine="444"/>
        <w:spacing w:after="0" w:line="342" w:lineRule="auto"/>
        <w:tabs>
          <w:tab w:leader="none" w:pos="77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5" w:lineRule="exact"/>
        <w:rPr>
          <w:rFonts w:ascii="Arial" w:cs="Arial" w:eastAsia="Arial" w:hAnsi="Arial"/>
          <w:sz w:val="16"/>
          <w:szCs w:val="16"/>
          <w:color w:val="auto"/>
        </w:rPr>
      </w:pPr>
    </w:p>
    <w:p>
      <w:pPr>
        <w:ind w:left="-60" w:firstLine="444"/>
        <w:spacing w:after="0" w:line="264" w:lineRule="auto"/>
        <w:tabs>
          <w:tab w:leader="none" w:pos="77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73" w:lineRule="exact"/>
        <w:rPr>
          <w:rFonts w:ascii="Arial" w:cs="Arial" w:eastAsia="Arial" w:hAnsi="Arial"/>
          <w:sz w:val="18"/>
          <w:szCs w:val="18"/>
          <w:color w:val="auto"/>
        </w:rPr>
      </w:pPr>
    </w:p>
    <w:p>
      <w:pPr>
        <w:ind w:left="-60" w:firstLine="444"/>
        <w:spacing w:after="0" w:line="257" w:lineRule="auto"/>
        <w:tabs>
          <w:tab w:leader="none" w:pos="77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80" w:lineRule="exact"/>
        <w:rPr>
          <w:rFonts w:ascii="Arial" w:cs="Arial" w:eastAsia="Arial" w:hAnsi="Arial"/>
          <w:sz w:val="18"/>
          <w:szCs w:val="18"/>
          <w:color w:val="auto"/>
        </w:rPr>
      </w:pPr>
    </w:p>
    <w:p>
      <w:pPr>
        <w:ind w:left="-60" w:right="260" w:firstLine="444"/>
        <w:spacing w:after="0" w:line="264" w:lineRule="auto"/>
        <w:tabs>
          <w:tab w:leader="none" w:pos="77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20"/>
          </w:cols>
          <w:pgMar w:left="500" w:top="274" w:right="479" w:bottom="1440" w:gutter="0" w:footer="0" w:header="0"/>
        </w:sectPr>
      </w:pPr>
    </w:p>
    <w:bookmarkStart w:id="161" w:name="page162"/>
    <w:bookmarkEnd w:id="161"/>
    <w:p>
      <w:pPr>
        <w:ind w:left="44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6.4.</w:t>
      </w:r>
      <w:r>
        <w:rPr>
          <w:sz w:val="20"/>
          <w:szCs w:val="20"/>
          <w:color w:val="auto"/>
        </w:rPr>
        <w:tab/>
      </w:r>
      <w:r>
        <w:rPr>
          <w:rFonts w:ascii="Arial" w:cs="Arial" w:eastAsia="Arial" w:hAnsi="Arial"/>
          <w:sz w:val="16"/>
          <w:szCs w:val="16"/>
          <w:u w:val="single" w:color="auto"/>
          <w:color w:val="auto"/>
        </w:rPr>
        <w:t>Not Responsible for Recitals or Issuance of Securities</w:t>
      </w:r>
      <w:r>
        <w:rPr>
          <w:rFonts w:ascii="Arial" w:cs="Arial" w:eastAsia="Arial" w:hAnsi="Arial"/>
          <w:sz w:val="16"/>
          <w:szCs w:val="16"/>
          <w:color w:val="auto"/>
        </w:rPr>
        <w:t>.</w:t>
      </w:r>
    </w:p>
    <w:p>
      <w:pPr>
        <w:spacing w:after="0" w:line="225"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The recitals contained herein and in the Securities and the notations of Subsidiary Guarantees, except the Trustee’s certificates of authentication, shall be taken as the statements of the Company or the Subsidiary Guarantors, as the case may be, and neither the Trustee nor any Authenticating Agent assumes any responsibility for their correctness. The Trustee makes no representations as to the validity or sufficiency of this Indenture or of the Securities or the Subsidiary Guarantees. Neither the Trustee nor any Authenticating Agent shall be accountable for the use or application by the Company of Securities or the proceeds thereof.</w:t>
      </w:r>
    </w:p>
    <w:p>
      <w:pPr>
        <w:spacing w:after="0" w:line="188"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6"/>
          <w:szCs w:val="16"/>
          <w:u w:val="single" w:color="auto"/>
          <w:color w:val="auto"/>
        </w:rPr>
        <w:t>May Hold Securities</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Trustee, any Authenticating Agent, any Paying Agent, any Security Registrar or any other agent of the Company or any Subsidiary Guarantor, in its individual or any other capacity, may become the owner or pledgee of Securities and, subject to Sections 6.8 and 6.13, may otherwise deal with the Company and any Subsidiary Guarantor with the same rights it would have if it were not Trustee, Authenticating Agent, Paying Agent, Security Registrar or such other agent.</w:t>
      </w:r>
    </w:p>
    <w:p>
      <w:pPr>
        <w:spacing w:after="0" w:line="187"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Money Held in Trust</w:t>
      </w:r>
      <w:r>
        <w:rPr>
          <w:rFonts w:ascii="Arial" w:cs="Arial" w:eastAsia="Arial" w:hAnsi="Arial"/>
          <w:sz w:val="16"/>
          <w:szCs w:val="16"/>
          <w:color w:val="auto"/>
        </w:rPr>
        <w:t>.</w:t>
      </w:r>
    </w:p>
    <w:p>
      <w:pPr>
        <w:spacing w:after="0" w:line="225"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 or any Subsidiary Guarantor, as the case may be.</w:t>
      </w:r>
    </w:p>
    <w:p>
      <w:pPr>
        <w:spacing w:after="0" w:line="181"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6"/>
          <w:szCs w:val="16"/>
          <w:u w:val="single" w:color="auto"/>
          <w:color w:val="auto"/>
        </w:rPr>
        <w:t>Compensation and Reimbursement</w:t>
      </w:r>
      <w:r>
        <w:rPr>
          <w:rFonts w:ascii="Arial" w:cs="Arial" w:eastAsia="Arial" w:hAnsi="Arial"/>
          <w:sz w:val="16"/>
          <w:szCs w:val="16"/>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and each Subsidiary Guarantor jointly and severally agree</w:t>
      </w:r>
    </w:p>
    <w:p>
      <w:pPr>
        <w:spacing w:after="0" w:line="117" w:lineRule="exact"/>
        <w:rPr>
          <w:sz w:val="20"/>
          <w:szCs w:val="20"/>
          <w:color w:val="auto"/>
        </w:rPr>
      </w:pPr>
    </w:p>
    <w:p>
      <w:pPr>
        <w:ind w:right="160" w:firstLine="444"/>
        <w:spacing w:after="0" w:line="277" w:lineRule="auto"/>
        <w:tabs>
          <w:tab w:leader="none" w:pos="83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62" w:lineRule="exact"/>
        <w:rPr>
          <w:rFonts w:ascii="Arial" w:cs="Arial" w:eastAsia="Arial" w:hAnsi="Arial"/>
          <w:sz w:val="18"/>
          <w:szCs w:val="18"/>
          <w:color w:val="auto"/>
        </w:rPr>
      </w:pPr>
    </w:p>
    <w:p>
      <w:pPr>
        <w:ind w:right="180" w:firstLine="444"/>
        <w:spacing w:after="0" w:line="259" w:lineRule="auto"/>
        <w:tabs>
          <w:tab w:leader="none" w:pos="83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78" w:lineRule="exact"/>
        <w:rPr>
          <w:rFonts w:ascii="Arial" w:cs="Arial" w:eastAsia="Arial" w:hAnsi="Arial"/>
          <w:sz w:val="18"/>
          <w:szCs w:val="18"/>
          <w:color w:val="auto"/>
        </w:rPr>
      </w:pPr>
    </w:p>
    <w:p>
      <w:pPr>
        <w:ind w:right="120" w:firstLine="444"/>
        <w:spacing w:after="0" w:line="286" w:lineRule="auto"/>
        <w:tabs>
          <w:tab w:leader="none" w:pos="83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66"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6"/>
          <w:szCs w:val="16"/>
          <w:u w:val="single" w:color="auto"/>
          <w:color w:val="auto"/>
        </w:rPr>
        <w:t>Conflicting Interests</w:t>
      </w:r>
      <w:r>
        <w:rPr>
          <w:rFonts w:ascii="Arial" w:cs="Arial" w:eastAsia="Arial" w:hAnsi="Arial"/>
          <w:sz w:val="16"/>
          <w:szCs w:val="16"/>
          <w:color w:val="auto"/>
        </w:rPr>
        <w:t>.</w:t>
      </w:r>
    </w:p>
    <w:p>
      <w:pPr>
        <w:spacing w:after="0" w:line="225"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such Act, the Trustee shall not be deemed to have a conflicting interest by virtue of being a trustee under this Indenture with respect to Securities of more than one series.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162" w:name="page163"/>
    <w:bookmarkEnd w:id="162"/>
    <w:p>
      <w:pPr>
        <w:ind w:left="44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6.9.</w:t>
      </w:r>
      <w:r>
        <w:rPr>
          <w:sz w:val="20"/>
          <w:szCs w:val="20"/>
          <w:color w:val="auto"/>
        </w:rPr>
        <w:tab/>
      </w:r>
      <w:r>
        <w:rPr>
          <w:rFonts w:ascii="Arial" w:cs="Arial" w:eastAsia="Arial" w:hAnsi="Arial"/>
          <w:sz w:val="16"/>
          <w:szCs w:val="16"/>
          <w:u w:val="single" w:color="auto"/>
          <w:color w:val="auto"/>
        </w:rPr>
        <w:t>Corporate Trustee Required; Eligibility</w:t>
      </w:r>
      <w:r>
        <w:rPr>
          <w:rFonts w:ascii="Arial" w:cs="Arial" w:eastAsia="Arial" w:hAnsi="Arial"/>
          <w:sz w:val="16"/>
          <w:szCs w:val="16"/>
          <w:color w:val="auto"/>
        </w:rPr>
        <w:t>.</w:t>
      </w:r>
    </w:p>
    <w:p>
      <w:pPr>
        <w:spacing w:after="0" w:line="225" w:lineRule="exact"/>
        <w:rPr>
          <w:sz w:val="20"/>
          <w:szCs w:val="20"/>
          <w:color w:val="auto"/>
        </w:rPr>
      </w:pPr>
    </w:p>
    <w:p>
      <w:pPr>
        <w:ind w:right="120" w:firstLine="441"/>
        <w:spacing w:after="0" w:line="272" w:lineRule="auto"/>
        <w:rPr>
          <w:sz w:val="20"/>
          <w:szCs w:val="20"/>
          <w:color w:val="auto"/>
        </w:rPr>
      </w:pPr>
      <w:r>
        <w:rPr>
          <w:rFonts w:ascii="Arial" w:cs="Arial" w:eastAsia="Arial" w:hAnsi="Arial"/>
          <w:sz w:val="17"/>
          <w:szCs w:val="17"/>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178"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Resignation and Removal; Appointment of Successor</w:t>
      </w:r>
      <w:r>
        <w:rPr>
          <w:rFonts w:ascii="Arial" w:cs="Arial" w:eastAsia="Arial" w:hAnsi="Arial"/>
          <w:sz w:val="16"/>
          <w:szCs w:val="16"/>
          <w:color w:val="auto"/>
        </w:rPr>
        <w:t>.</w:t>
      </w:r>
    </w:p>
    <w:p>
      <w:pPr>
        <w:spacing w:after="0" w:line="225" w:lineRule="exact"/>
        <w:rPr>
          <w:sz w:val="20"/>
          <w:szCs w:val="20"/>
          <w:color w:val="auto"/>
        </w:rPr>
      </w:pPr>
    </w:p>
    <w:p>
      <w:pPr>
        <w:ind w:right="540" w:firstLine="441"/>
        <w:spacing w:after="0" w:line="308" w:lineRule="auto"/>
        <w:rPr>
          <w:sz w:val="20"/>
          <w:szCs w:val="20"/>
          <w:color w:val="auto"/>
        </w:rPr>
      </w:pPr>
      <w:r>
        <w:rPr>
          <w:rFonts w:ascii="Arial" w:cs="Arial" w:eastAsia="Arial" w:hAnsi="Arial"/>
          <w:sz w:val="17"/>
          <w:szCs w:val="17"/>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4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8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at any time:</w:t>
      </w:r>
    </w:p>
    <w:p>
      <w:pPr>
        <w:spacing w:after="0" w:line="117" w:lineRule="exact"/>
        <w:rPr>
          <w:sz w:val="20"/>
          <w:szCs w:val="20"/>
          <w:color w:val="auto"/>
        </w:rPr>
      </w:pPr>
    </w:p>
    <w:p>
      <w:pPr>
        <w:ind w:right="240" w:firstLine="444"/>
        <w:spacing w:after="0" w:line="277" w:lineRule="auto"/>
        <w:tabs>
          <w:tab w:leader="none" w:pos="83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Trustee shall fail to comply with Section 6.8 after written request therefor by the Company or by any Holder who has been a bona fide Holder of a Security for at least six months, or</w:t>
      </w:r>
    </w:p>
    <w:p>
      <w:pPr>
        <w:spacing w:after="0" w:line="62" w:lineRule="exact"/>
        <w:rPr>
          <w:rFonts w:ascii="Arial" w:cs="Arial" w:eastAsia="Arial" w:hAnsi="Arial"/>
          <w:sz w:val="18"/>
          <w:szCs w:val="18"/>
          <w:color w:val="auto"/>
        </w:rPr>
      </w:pPr>
    </w:p>
    <w:p>
      <w:pPr>
        <w:ind w:left="840" w:hanging="396"/>
        <w:spacing w:after="0"/>
        <w:tabs>
          <w:tab w:leader="none" w:pos="8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Trustee shall cease to be eligible under Section 6.9 and shall fail to resign after written request therefor by the Company or by any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Holder, or</w:t>
      </w:r>
    </w:p>
    <w:p>
      <w:pPr>
        <w:spacing w:after="0" w:line="102" w:lineRule="exact"/>
        <w:rPr>
          <w:rFonts w:ascii="Arial" w:cs="Arial" w:eastAsia="Arial" w:hAnsi="Arial"/>
          <w:sz w:val="16"/>
          <w:szCs w:val="16"/>
          <w:color w:val="auto"/>
        </w:rPr>
      </w:pPr>
    </w:p>
    <w:p>
      <w:pPr>
        <w:ind w:right="40" w:firstLine="444"/>
        <w:spacing w:after="0" w:line="264" w:lineRule="auto"/>
        <w:tabs>
          <w:tab w:leader="none" w:pos="83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163" w:name="page164"/>
    <w:bookmarkEnd w:id="163"/>
    <w:p>
      <w:pPr>
        <w:ind w:right="40" w:firstLine="44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69" w:lineRule="exact"/>
        <w:rPr>
          <w:sz w:val="20"/>
          <w:szCs w:val="20"/>
          <w:color w:val="auto"/>
        </w:rPr>
      </w:pPr>
    </w:p>
    <w:p>
      <w:pPr>
        <w:ind w:right="340" w:firstLine="441"/>
        <w:spacing w:after="0" w:line="259" w:lineRule="auto"/>
        <w:rPr>
          <w:sz w:val="20"/>
          <w:szCs w:val="20"/>
          <w:color w:val="auto"/>
        </w:rPr>
      </w:pPr>
      <w:r>
        <w:rPr>
          <w:rFonts w:ascii="Arial" w:cs="Arial" w:eastAsia="Arial" w:hAnsi="Arial"/>
          <w:sz w:val="18"/>
          <w:szCs w:val="18"/>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1.6. Each notice shall include the name of the successor Trustee with respect to the Securities of such series and the address of its Corporate Trust Office.</w:t>
      </w:r>
    </w:p>
    <w:p>
      <w:pPr>
        <w:spacing w:after="0" w:line="187"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Acceptance of Appointment by Successor</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In case of the appointment hereunder of a successor Trustee with respect to all Securities, every such successor Trustee so appointed shall execute, acknowledge and deliver to the Company, the Subsidiary Guarantors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9"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In case of the appointment hereunder of a successor Trustee with respect to the Securities of one or more (but not all) series, the Company, the Subsidiary Guarantors,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164" w:name="page165"/>
    <w:bookmarkEnd w:id="164"/>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w:t>
      </w:r>
    </w:p>
    <w:p>
      <w:pPr>
        <w:spacing w:after="0" w:line="2" w:lineRule="exact"/>
        <w:rPr>
          <w:sz w:val="20"/>
          <w:szCs w:val="20"/>
          <w:color w:val="auto"/>
        </w:rPr>
      </w:pPr>
    </w:p>
    <w:p>
      <w:pPr>
        <w:ind w:firstLine="4"/>
        <w:spacing w:after="0" w:line="268" w:lineRule="auto"/>
        <w:tabs>
          <w:tab w:leader="none" w:pos="25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82"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Upon request of any such successor Trustee, the Company and the Subsidiary Guarantors shall execute any and all instruments for more fully and certainly vesting in and confirming to such successor Trustee all such rights, powers and trusts referred to in the first or second preceding paragraph, as the case may be.</w:t>
      </w:r>
    </w:p>
    <w:p>
      <w:pPr>
        <w:spacing w:after="0" w:line="181"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Merger, Conversion, Consolidation or Succession to Business</w:t>
      </w:r>
      <w:r>
        <w:rPr>
          <w:rFonts w:ascii="Arial" w:cs="Arial" w:eastAsia="Arial" w:hAnsi="Arial"/>
          <w:sz w:val="16"/>
          <w:szCs w:val="16"/>
          <w:color w:val="auto"/>
        </w:rPr>
        <w:t>.</w:t>
      </w:r>
    </w:p>
    <w:p>
      <w:pPr>
        <w:spacing w:after="0" w:line="225"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Any Person into which the Trustee may be merged or converted or with which it may be consolidated, or any Person resulting from any merger, conversion or consolidation to which the Trustee shall be a party, or any Person succeeding to all or substantially all the corporate trust business of the Trustee, shall be the successor of the Trustee hereunder, provided such Person shall be otherwise qualified and eligible under this Article, without the execution or filing of any paper or any further act on the part of any of the parties hereto. As soon as practicable, the successor Trustee shall mail a notice of its succession to the Company and the Holders of the Securities then Outstanding.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67"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Preferential Collection of Claims Against Company and Subsidiary Guarantors</w:t>
      </w:r>
      <w:r>
        <w:rPr>
          <w:rFonts w:ascii="Arial" w:cs="Arial" w:eastAsia="Arial" w:hAnsi="Arial"/>
          <w:sz w:val="16"/>
          <w:szCs w:val="16"/>
          <w:color w:val="auto"/>
        </w:rPr>
        <w:t>.</w:t>
      </w:r>
    </w:p>
    <w:p>
      <w:pPr>
        <w:spacing w:after="0" w:line="225"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If and when the Trustee shall be or become a creditor of the Company, any Subsidiary Guarantor or any other obligor upon the Securities, the Trustee shall be subject to the provisions of the Trust Indenture Act regarding the collection of claims against the Company, such Subsidiary Guarantor or any such other obligor.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165" w:name="page166"/>
    <w:bookmarkEnd w:id="165"/>
    <w:p>
      <w:pPr>
        <w:ind w:left="440"/>
        <w:spacing w:after="0"/>
        <w:tabs>
          <w:tab w:leader="none" w:pos="1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6.14.</w:t>
      </w:r>
      <w:r>
        <w:rPr>
          <w:sz w:val="20"/>
          <w:szCs w:val="20"/>
          <w:color w:val="auto"/>
        </w:rPr>
        <w:tab/>
      </w:r>
      <w:r>
        <w:rPr>
          <w:rFonts w:ascii="Arial" w:cs="Arial" w:eastAsia="Arial" w:hAnsi="Arial"/>
          <w:sz w:val="16"/>
          <w:szCs w:val="16"/>
          <w:u w:val="single" w:color="auto"/>
          <w:color w:val="auto"/>
        </w:rPr>
        <w:t>Appointment of Authenticating Agent</w:t>
      </w:r>
      <w:r>
        <w:rPr>
          <w:rFonts w:ascii="Arial" w:cs="Arial" w:eastAsia="Arial" w:hAnsi="Arial"/>
          <w:sz w:val="16"/>
          <w:szCs w:val="16"/>
          <w:color w:val="auto"/>
        </w:rPr>
        <w:t>.</w:t>
      </w:r>
    </w:p>
    <w:p>
      <w:pPr>
        <w:spacing w:after="0" w:line="225"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conversion or partial redemption thereof or pursuant to Section 3.6,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Person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75"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Any Person into which an Authenticating Agent may be merged or converted or with which it may be consolidated, or any Person resulting from any merger, conversion or consolidation to</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which such Authenticating Agent shall be a party, or any Person succeeding to the corporate agency or corporate trust business of an Authenticating Agent, shall continue to be an Authenticating Agent, provided such Person shall be otherwise eligible under this Section, without the execution or filing of any paper or any further act on the part of the Trustee or the Authenticating Agent.</w:t>
      </w:r>
    </w:p>
    <w:p>
      <w:pPr>
        <w:spacing w:after="0" w:line="181"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4" w:right="439" w:bottom="1440" w:gutter="0" w:footer="0" w:header="0"/>
        </w:sectPr>
      </w:pPr>
    </w:p>
    <w:bookmarkStart w:id="166" w:name="page167"/>
    <w:bookmarkEnd w:id="166"/>
    <w:p>
      <w:pPr>
        <w:ind w:right="30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agrees to pay to each Authenticating Agent from time to time reasonable compensation for its services under this Section, and the Trustee shall be entitled to be reimbursed for such payments, subject to the provisions of Section 6.7.</w:t>
      </w:r>
    </w:p>
    <w:p>
      <w:pPr>
        <w:spacing w:after="0" w:line="170" w:lineRule="exact"/>
        <w:rPr>
          <w:sz w:val="20"/>
          <w:szCs w:val="20"/>
          <w:color w:val="auto"/>
        </w:rPr>
      </w:pPr>
    </w:p>
    <w:p>
      <w:pPr>
        <w:ind w:right="100" w:firstLine="441"/>
        <w:spacing w:after="0" w:line="308" w:lineRule="auto"/>
        <w:rPr>
          <w:sz w:val="20"/>
          <w:szCs w:val="20"/>
          <w:color w:val="auto"/>
        </w:rPr>
      </w:pPr>
      <w:r>
        <w:rPr>
          <w:rFonts w:ascii="Arial" w:cs="Arial" w:eastAsia="Arial" w:hAnsi="Arial"/>
          <w:sz w:val="17"/>
          <w:szCs w:val="17"/>
          <w:color w:val="auto"/>
        </w:rPr>
        <w:t>If an appointment with respect to one or more series is made pursuant to this Section, the Securities of such series may have endorsed thereon, in addition to the Trustee’s certificate of authentication, an alternative certificate of authentication in the following form:</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[TRUSTEE’S 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 Authenticating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Company to Furnish Trustee Names and Addresses of Holders</w:t>
      </w:r>
      <w:r>
        <w:rPr>
          <w:rFonts w:ascii="Arial" w:cs="Arial" w:eastAsia="Arial" w:hAnsi="Arial"/>
          <w:sz w:val="16"/>
          <w:szCs w:val="16"/>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will furnish or cause to be furnished to the Trustee with respect to the Securities of each series:</w:t>
      </w:r>
    </w:p>
    <w:p>
      <w:pPr>
        <w:spacing w:after="0" w:line="117" w:lineRule="exact"/>
        <w:rPr>
          <w:sz w:val="20"/>
          <w:szCs w:val="20"/>
          <w:color w:val="auto"/>
        </w:rPr>
      </w:pPr>
    </w:p>
    <w:p>
      <w:pPr>
        <w:ind w:firstLine="444"/>
        <w:spacing w:after="0" w:line="277" w:lineRule="auto"/>
        <w:tabs>
          <w:tab w:leader="none" w:pos="83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 more than 10 days after each record date with respect to the payment of interest, if any, a list, in such form as the Trustee may reasonably require, of the names and addresses of the Holders of Securities of such series as of such record date, and</w:t>
      </w:r>
    </w:p>
    <w:p>
      <w:pPr>
        <w:spacing w:after="0" w:line="62" w:lineRule="exact"/>
        <w:rPr>
          <w:rFonts w:ascii="Arial" w:cs="Arial" w:eastAsia="Arial" w:hAnsi="Arial"/>
          <w:sz w:val="18"/>
          <w:szCs w:val="18"/>
          <w:color w:val="auto"/>
        </w:rPr>
      </w:pPr>
    </w:p>
    <w:p>
      <w:pPr>
        <w:ind w:right="460" w:firstLine="444"/>
        <w:spacing w:after="0" w:line="277" w:lineRule="auto"/>
        <w:tabs>
          <w:tab w:leader="none" w:pos="83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excluding from any such list names and addresses received by the Trustee in its capacity as Security Registrar.</w:t>
      </w:r>
    </w:p>
    <w:p>
      <w:pPr>
        <w:spacing w:after="0" w:line="225"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Preservation of Information; Communications to Holders</w:t>
      </w:r>
      <w:r>
        <w:rPr>
          <w:rFonts w:ascii="Arial" w:cs="Arial" w:eastAsia="Arial" w:hAnsi="Arial"/>
          <w:sz w:val="16"/>
          <w:szCs w:val="16"/>
          <w:color w:val="auto"/>
        </w:rPr>
        <w:t>.</w:t>
      </w:r>
    </w:p>
    <w:p>
      <w:pPr>
        <w:spacing w:after="0" w:line="225" w:lineRule="exact"/>
        <w:rPr>
          <w:sz w:val="20"/>
          <w:szCs w:val="20"/>
          <w:color w:val="auto"/>
        </w:rPr>
      </w:pPr>
    </w:p>
    <w:p>
      <w:pPr>
        <w:ind w:right="120" w:firstLine="441"/>
        <w:spacing w:after="0" w:line="308" w:lineRule="auto"/>
        <w:rPr>
          <w:sz w:val="20"/>
          <w:szCs w:val="20"/>
          <w:color w:val="auto"/>
        </w:rPr>
      </w:pPr>
      <w:r>
        <w:rPr>
          <w:rFonts w:ascii="Arial" w:cs="Arial" w:eastAsia="Arial" w:hAnsi="Arial"/>
          <w:sz w:val="17"/>
          <w:szCs w:val="17"/>
          <w:color w:val="auto"/>
        </w:rPr>
        <w:t>The Trustee shall preserve, in as current a form as is reasonably practicable, the names and addresses of Holders contained in the most recent list furnished to the Trustee as provided in Section 7.1 and the names and addresses of Holders received by the Trustee in its capacity as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167" w:name="page168"/>
    <w:bookmarkEnd w:id="167"/>
    <w:p>
      <w:pPr>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Registrar. The Trustee may destroy any list furnished to it as provided in Section 7.1 upon receipt of a new list so furnished. The rights of Holders to communicate with other Holders with respect to their rights under this Indenture or under the Securities, and the corresponding rights and privileges of the Trustee, shall be as provided by the Trust Indenture Act.</w:t>
      </w:r>
    </w:p>
    <w:p>
      <w:pPr>
        <w:spacing w:after="0" w:line="181"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Every Holder of Securities, by receiving and holding the same, agrees with the Company and the Trustee that neither the Company, the Subsidiary Guarantors nor the Trustee nor any agent of any of them shall be held accountable by reason of any disclosure of information as to names and addresses of Holders made pursuant to the Trust Indenture Act.</w:t>
      </w:r>
    </w:p>
    <w:p>
      <w:pPr>
        <w:spacing w:after="0" w:line="181"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5"/>
          <w:szCs w:val="15"/>
          <w:u w:val="single" w:color="auto"/>
          <w:color w:val="auto"/>
        </w:rPr>
        <w:t>Reports by Trustee</w:t>
      </w:r>
      <w:r>
        <w:rPr>
          <w:rFonts w:ascii="Arial" w:cs="Arial" w:eastAsia="Arial" w:hAnsi="Arial"/>
          <w:sz w:val="15"/>
          <w:szCs w:val="15"/>
          <w:color w:val="auto"/>
        </w:rPr>
        <w:t>.</w:t>
      </w:r>
    </w:p>
    <w:p>
      <w:pPr>
        <w:spacing w:after="0" w:line="22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170"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81"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Reports by Company and Subsidiary Guarantors</w:t>
      </w:r>
      <w:r>
        <w:rPr>
          <w:rFonts w:ascii="Arial" w:cs="Arial" w:eastAsia="Arial" w:hAnsi="Arial"/>
          <w:sz w:val="16"/>
          <w:szCs w:val="16"/>
          <w:color w:val="auto"/>
        </w:rPr>
        <w:t>.</w:t>
      </w:r>
    </w:p>
    <w:p>
      <w:pPr>
        <w:spacing w:after="0" w:line="225" w:lineRule="exact"/>
        <w:rPr>
          <w:sz w:val="20"/>
          <w:szCs w:val="20"/>
          <w:color w:val="auto"/>
        </w:rPr>
      </w:pPr>
    </w:p>
    <w:p>
      <w:pPr>
        <w:ind w:right="180" w:firstLine="441"/>
        <w:spacing w:after="0" w:line="302" w:lineRule="auto"/>
        <w:rPr>
          <w:sz w:val="20"/>
          <w:szCs w:val="20"/>
          <w:color w:val="auto"/>
        </w:rPr>
      </w:pPr>
      <w:r>
        <w:rPr>
          <w:rFonts w:ascii="Arial" w:cs="Arial" w:eastAsia="Arial" w:hAnsi="Arial"/>
          <w:sz w:val="16"/>
          <w:szCs w:val="16"/>
          <w:color w:val="auto"/>
        </w:rPr>
        <w:t>The Company and each of the Subsidiary Guarantors shall file with the Trustee and the Commission,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Exchange Act shall be filed with the Trustee within 15 days after the same is filed with the Commission.</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2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Company May Consolidate, Etc., Only on Certain Terms</w:t>
      </w:r>
      <w:r>
        <w:rPr>
          <w:rFonts w:ascii="Arial" w:cs="Arial" w:eastAsia="Arial" w:hAnsi="Arial"/>
          <w:sz w:val="16"/>
          <w:szCs w:val="16"/>
          <w:color w:val="auto"/>
        </w:rPr>
        <w:t>.</w:t>
      </w:r>
    </w:p>
    <w:p>
      <w:pPr>
        <w:spacing w:after="0" w:line="225"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The Company shall not, in a single transaction or a series of related transactions, consolidate with or merge into any other Person or permit any other Person to consolidate with or merge into the Company or, directly or indirectly, transfer, convey, sell, lease or otherwise dispose of all or substantially all of its assets, unless:</w:t>
      </w:r>
    </w:p>
    <w:p>
      <w:pPr>
        <w:spacing w:after="0" w:line="73" w:lineRule="exact"/>
        <w:rPr>
          <w:sz w:val="20"/>
          <w:szCs w:val="20"/>
          <w:color w:val="auto"/>
        </w:rPr>
      </w:pPr>
    </w:p>
    <w:p>
      <w:pPr>
        <w:ind w:firstLine="444"/>
        <w:spacing w:after="0" w:line="273" w:lineRule="auto"/>
        <w:tabs>
          <w:tab w:leader="none" w:pos="83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in a transaction in which the Company does not survive or in which the Company transfers, conveys, sells, leases or otherwise disposes of all or substantially all of its assets, the successor entity (for purposes of this Article VIII, a “Successor Company”) shall be a corporation, partnership, trust or other entity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168" w:name="page169"/>
    <w:bookmarkEnd w:id="168"/>
    <w:p>
      <w:pPr>
        <w:ind w:left="840" w:hanging="396"/>
        <w:spacing w:after="0"/>
        <w:tabs>
          <w:tab w:leader="none" w:pos="8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immediately after giving effect to such transaction, no Event of Default shall have happened and be continuing;</w:t>
      </w:r>
    </w:p>
    <w:p>
      <w:pPr>
        <w:spacing w:after="0" w:line="117" w:lineRule="exact"/>
        <w:rPr>
          <w:rFonts w:ascii="Arial" w:cs="Arial" w:eastAsia="Arial" w:hAnsi="Arial"/>
          <w:sz w:val="18"/>
          <w:szCs w:val="18"/>
          <w:color w:val="auto"/>
        </w:rPr>
      </w:pPr>
    </w:p>
    <w:p>
      <w:pPr>
        <w:ind w:firstLine="444"/>
        <w:spacing w:after="0" w:line="259" w:lineRule="auto"/>
        <w:tabs>
          <w:tab w:leader="none" w:pos="83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as a result of any such consolidation or merger or such transfer, conveyance, sale, lease or other disposition, properties or assets of the Company would become subject to a mortgage, pledge, lien, security interest or other encumbrance which would not be permitted by this Indenture, the Company or the Successor Company, as the case may be, shall take such steps as shall be necessary effectively to secure the Securities equally and ratably with (or prior to) all indebtedness secured thereby;</w:t>
      </w:r>
    </w:p>
    <w:p>
      <w:pPr>
        <w:spacing w:after="0" w:line="78" w:lineRule="exact"/>
        <w:rPr>
          <w:rFonts w:ascii="Arial" w:cs="Arial" w:eastAsia="Arial" w:hAnsi="Arial"/>
          <w:sz w:val="18"/>
          <w:szCs w:val="18"/>
          <w:color w:val="auto"/>
        </w:rPr>
      </w:pPr>
    </w:p>
    <w:p>
      <w:pPr>
        <w:ind w:left="840" w:hanging="396"/>
        <w:spacing w:after="0"/>
        <w:tabs>
          <w:tab w:leader="none" w:pos="8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other conditions provided pursuant to Section 3.1 with respect to the Securities of a series are satisfied; and</w:t>
      </w:r>
    </w:p>
    <w:p>
      <w:pPr>
        <w:spacing w:after="0" w:line="117" w:lineRule="exact"/>
        <w:rPr>
          <w:rFonts w:ascii="Arial" w:cs="Arial" w:eastAsia="Arial" w:hAnsi="Arial"/>
          <w:sz w:val="18"/>
          <w:szCs w:val="18"/>
          <w:color w:val="auto"/>
        </w:rPr>
      </w:pPr>
    </w:p>
    <w:p>
      <w:pPr>
        <w:ind w:right="20" w:firstLine="444"/>
        <w:spacing w:after="0" w:line="312" w:lineRule="auto"/>
        <w:tabs>
          <w:tab w:leader="none" w:pos="83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such consolidation, merger, transfer, conveyance, sale, lease or other disposition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47"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Subsidiary Guarantors May Consolidate, Etc., Only on Certain Terms</w:t>
      </w:r>
      <w:r>
        <w:rPr>
          <w:rFonts w:ascii="Arial" w:cs="Arial" w:eastAsia="Arial" w:hAnsi="Arial"/>
          <w:sz w:val="16"/>
          <w:szCs w:val="16"/>
          <w:color w:val="auto"/>
        </w:rPr>
        <w:t>.</w:t>
      </w:r>
    </w:p>
    <w:p>
      <w:pPr>
        <w:spacing w:after="0" w:line="225"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Except in a transaction resulting in the release of a Subsidiary Guarantor in accordance with the terms of this Indenture, each Subsidiary Guarantor shall not, and the Company shall not permit any Subsidiary Guarantor to, in a single or a series of related transactions, consolidate or merge with or into any Person (other than the Company or another Subsidiary Guarantor) or permit any Person (other than another Subsidiary Guarantor) to consolidate or merge with or into such Subsidiary Guarantor or, directly or indirectly, transfer, convey, sell, lease or otherwise dispose of all or substantially all of its assets unless, in each case:</w:t>
      </w:r>
    </w:p>
    <w:p>
      <w:pPr>
        <w:spacing w:after="0" w:line="80" w:lineRule="exact"/>
        <w:rPr>
          <w:sz w:val="20"/>
          <w:szCs w:val="20"/>
          <w:color w:val="auto"/>
        </w:rPr>
      </w:pPr>
    </w:p>
    <w:p>
      <w:pPr>
        <w:ind w:right="80" w:firstLine="444"/>
        <w:spacing w:after="0" w:line="293" w:lineRule="auto"/>
        <w:tabs>
          <w:tab w:leader="none" w:pos="83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 a transaction in which such Subsidiary Guarantor does not survive or in which all or substantially all of the assets of such Subsidiary Guarantor are transferred, conveyed, sold, leased or otherwise disposed of, the successor entity (the “Successor Subsidiary Guarantor”) shall be a corporation, partnership, trust or other entity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all obligations of such Subsidiary Guarantor under its Subsidiary Guarantee and this Indenture and the performance of every covenant of this Indenture on the part of such Subsidiary Guarantor to be performed or observed; and</w:t>
      </w:r>
    </w:p>
    <w:p>
      <w:pPr>
        <w:spacing w:after="0" w:line="56" w:lineRule="exact"/>
        <w:rPr>
          <w:rFonts w:ascii="Arial" w:cs="Arial" w:eastAsia="Arial" w:hAnsi="Arial"/>
          <w:sz w:val="16"/>
          <w:szCs w:val="16"/>
          <w:color w:val="auto"/>
        </w:rPr>
      </w:pPr>
    </w:p>
    <w:p>
      <w:pPr>
        <w:ind w:right="20" w:firstLine="444"/>
        <w:spacing w:after="0" w:line="312" w:lineRule="auto"/>
        <w:tabs>
          <w:tab w:leader="none" w:pos="83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such consolidation, merger, transfer, conveyance, sale, lease or other disposition and, if a supplemental indenture is required in connection with such transaction, such supplemental indenture, comply with this Article and that all conditions precedent herein provided for relating to such transaction have been complied with.</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0"/>
          </w:cols>
          <w:pgMar w:left="440" w:top="274" w:right="499" w:bottom="1440" w:gutter="0" w:footer="0" w:header="0"/>
        </w:sectPr>
      </w:pPr>
    </w:p>
    <w:bookmarkStart w:id="169" w:name="page170"/>
    <w:bookmarkEnd w:id="169"/>
    <w:p>
      <w:pPr>
        <w:ind w:left="44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8.3.</w:t>
      </w:r>
      <w:r>
        <w:rPr>
          <w:sz w:val="20"/>
          <w:szCs w:val="20"/>
          <w:color w:val="auto"/>
        </w:rPr>
        <w:tab/>
      </w:r>
      <w:r>
        <w:rPr>
          <w:rFonts w:ascii="Arial" w:cs="Arial" w:eastAsia="Arial" w:hAnsi="Arial"/>
          <w:sz w:val="15"/>
          <w:szCs w:val="15"/>
          <w:u w:val="single" w:color="auto"/>
          <w:color w:val="auto"/>
        </w:rPr>
        <w:t>Successor Substituted</w:t>
      </w:r>
      <w:r>
        <w:rPr>
          <w:rFonts w:ascii="Arial" w:cs="Arial" w:eastAsia="Arial" w:hAnsi="Arial"/>
          <w:sz w:val="15"/>
          <w:szCs w:val="15"/>
          <w:color w:val="auto"/>
        </w:rPr>
        <w:t>.</w:t>
      </w:r>
    </w:p>
    <w:p>
      <w:pPr>
        <w:spacing w:after="0" w:line="117" w:lineRule="exact"/>
        <w:rPr>
          <w:sz w:val="20"/>
          <w:szCs w:val="20"/>
          <w:color w:val="auto"/>
        </w:rPr>
      </w:pPr>
    </w:p>
    <w:p>
      <w:pPr>
        <w:ind w:right="20" w:firstLine="444"/>
        <w:spacing w:after="0" w:line="257" w:lineRule="auto"/>
        <w:tabs>
          <w:tab w:leader="none" w:pos="83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Upon any consolidation of the Company with, or merger of the Company into, any other Person or any transfer, conveyance, sale, lease or other disposition of all or substantially all of the assets of the Company in accordance with Section 8.1, the Successor Company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80" w:lineRule="exact"/>
        <w:rPr>
          <w:rFonts w:ascii="Arial" w:cs="Arial" w:eastAsia="Arial" w:hAnsi="Arial"/>
          <w:sz w:val="18"/>
          <w:szCs w:val="18"/>
          <w:color w:val="auto"/>
        </w:rPr>
      </w:pPr>
    </w:p>
    <w:p>
      <w:pPr>
        <w:ind w:right="120" w:firstLine="444"/>
        <w:spacing w:after="0" w:line="297" w:lineRule="auto"/>
        <w:tabs>
          <w:tab w:leader="none" w:pos="83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Upon any consolidation of a Subsidiary Guarantor with, or merger of such Subsidiary Guarantor into, any other Person or any transfer, conveyance, sale, lease or other disposition of all or substantially all of the assets of such Subsidiary Guarantor in accordance with Section 8.2, the Successor Subsidiary Guarantor shall succeed to, and be substituted for, and may exercise every right and power of, such Subsidiary Guarantor under this Indenture with the same effect as if such successor Person had been named as a Subsidiary Guarantor herein, and thereafter, except in the case of a lease, the predecessor Person shall be relieved of all obligations and covenants under this Indenture and its Subsidiary Guarantee.</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SUPPLEMENTAL INDENTURES</w:t>
      </w:r>
    </w:p>
    <w:p>
      <w:pPr>
        <w:spacing w:after="0" w:line="22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Supplemental Indentures Without Consent of Holders</w:t>
      </w:r>
      <w:r>
        <w:rPr>
          <w:rFonts w:ascii="Arial" w:cs="Arial" w:eastAsia="Arial" w:hAnsi="Arial"/>
          <w:sz w:val="16"/>
          <w:szCs w:val="16"/>
          <w:color w:val="auto"/>
        </w:rPr>
        <w:t>.</w:t>
      </w:r>
    </w:p>
    <w:p>
      <w:pPr>
        <w:spacing w:after="0" w:line="225"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Without the consent of any Holders, the Company, when authorized by a Board Resolution, the Subsidiary Guarantors, when authorized by their respective Board Resolutions, and the Trustee, at any time and from time to time, may enter into one or more indentures supplemental hereto, in form satisfactory to the Trustee, for any of the following purposes:</w:t>
      </w:r>
    </w:p>
    <w:p>
      <w:pPr>
        <w:spacing w:after="0" w:line="73" w:lineRule="exact"/>
        <w:rPr>
          <w:sz w:val="20"/>
          <w:szCs w:val="20"/>
          <w:color w:val="auto"/>
        </w:rPr>
      </w:pPr>
    </w:p>
    <w:p>
      <w:pPr>
        <w:ind w:right="100" w:firstLine="444"/>
        <w:spacing w:after="0" w:line="342" w:lineRule="auto"/>
        <w:tabs>
          <w:tab w:leader="none" w:pos="831"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to evidence the succession of another Person to the Company or any Subsidiary Guarantor and the assumption by any such successor of the covenants of the Company or any Subsidiary Guarantor herein and in the Securities or Subsidiary Guarantees, as the case may be; or</w:t>
      </w:r>
    </w:p>
    <w:p>
      <w:pPr>
        <w:spacing w:after="0" w:line="15" w:lineRule="exact"/>
        <w:rPr>
          <w:rFonts w:ascii="Arial" w:cs="Arial" w:eastAsia="Arial" w:hAnsi="Arial"/>
          <w:sz w:val="16"/>
          <w:szCs w:val="16"/>
          <w:color w:val="auto"/>
        </w:rPr>
      </w:pPr>
    </w:p>
    <w:p>
      <w:pPr>
        <w:ind w:firstLine="444"/>
        <w:spacing w:after="0" w:line="286" w:lineRule="auto"/>
        <w:tabs>
          <w:tab w:leader="none" w:pos="83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to add to the covenants of the Company or the Subsidiary Guarantors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 the Subsidiary Guarantors; or</w:t>
      </w:r>
    </w:p>
    <w:p>
      <w:pPr>
        <w:spacing w:after="0" w:line="57" w:lineRule="exact"/>
        <w:rPr>
          <w:rFonts w:ascii="Arial" w:cs="Arial" w:eastAsia="Arial" w:hAnsi="Arial"/>
          <w:sz w:val="17"/>
          <w:szCs w:val="17"/>
          <w:color w:val="auto"/>
        </w:rPr>
      </w:pPr>
    </w:p>
    <w:p>
      <w:pPr>
        <w:ind w:right="40" w:firstLine="444"/>
        <w:spacing w:after="0" w:line="264" w:lineRule="auto"/>
        <w:tabs>
          <w:tab w:leader="none" w:pos="83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73" w:lineRule="exact"/>
        <w:rPr>
          <w:rFonts w:ascii="Arial" w:cs="Arial" w:eastAsia="Arial" w:hAnsi="Arial"/>
          <w:sz w:val="18"/>
          <w:szCs w:val="18"/>
          <w:color w:val="auto"/>
        </w:rPr>
      </w:pPr>
    </w:p>
    <w:p>
      <w:pPr>
        <w:ind w:right="360" w:firstLine="444"/>
        <w:spacing w:after="0" w:line="264" w:lineRule="auto"/>
        <w:tabs>
          <w:tab w:leader="none" w:pos="83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40" w:top="274" w:right="479" w:bottom="1440" w:gutter="0" w:footer="0" w:header="0"/>
        </w:sectPr>
      </w:pPr>
    </w:p>
    <w:bookmarkStart w:id="170" w:name="page171"/>
    <w:bookmarkEnd w:id="170"/>
    <w:p>
      <w:pPr>
        <w:ind w:right="20" w:firstLine="444"/>
        <w:spacing w:after="0" w:line="259" w:lineRule="auto"/>
        <w:tabs>
          <w:tab w:leader="none" w:pos="831"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78" w:lineRule="exact"/>
        <w:rPr>
          <w:rFonts w:ascii="Arial" w:cs="Arial" w:eastAsia="Arial" w:hAnsi="Arial"/>
          <w:sz w:val="18"/>
          <w:szCs w:val="18"/>
          <w:color w:val="auto"/>
        </w:rPr>
      </w:pPr>
    </w:p>
    <w:p>
      <w:pPr>
        <w:ind w:left="840" w:hanging="396"/>
        <w:spacing w:after="0"/>
        <w:tabs>
          <w:tab w:leader="none" w:pos="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secure the Securities; or</w:t>
      </w:r>
    </w:p>
    <w:p>
      <w:pPr>
        <w:spacing w:after="0" w:line="117" w:lineRule="exact"/>
        <w:rPr>
          <w:rFonts w:ascii="Arial" w:cs="Arial" w:eastAsia="Arial" w:hAnsi="Arial"/>
          <w:sz w:val="18"/>
          <w:szCs w:val="18"/>
          <w:color w:val="auto"/>
        </w:rPr>
      </w:pPr>
    </w:p>
    <w:p>
      <w:pPr>
        <w:ind w:left="840" w:hanging="396"/>
        <w:spacing w:after="0"/>
        <w:tabs>
          <w:tab w:leader="none" w:pos="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2.1 and 3.1; or</w:t>
      </w:r>
    </w:p>
    <w:p>
      <w:pPr>
        <w:spacing w:after="0" w:line="117" w:lineRule="exact"/>
        <w:rPr>
          <w:rFonts w:ascii="Arial" w:cs="Arial" w:eastAsia="Arial" w:hAnsi="Arial"/>
          <w:sz w:val="18"/>
          <w:szCs w:val="18"/>
          <w:color w:val="auto"/>
        </w:rPr>
      </w:pPr>
    </w:p>
    <w:p>
      <w:pPr>
        <w:ind w:right="280" w:firstLine="444"/>
        <w:spacing w:after="0" w:line="264" w:lineRule="auto"/>
        <w:tabs>
          <w:tab w:leader="none" w:pos="83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73" w:lineRule="exact"/>
        <w:rPr>
          <w:rFonts w:ascii="Arial" w:cs="Arial" w:eastAsia="Arial" w:hAnsi="Arial"/>
          <w:sz w:val="18"/>
          <w:szCs w:val="18"/>
          <w:color w:val="auto"/>
        </w:rPr>
      </w:pPr>
    </w:p>
    <w:p>
      <w:pPr>
        <w:ind w:left="840" w:hanging="396"/>
        <w:spacing w:after="0"/>
        <w:tabs>
          <w:tab w:leader="none" w:pos="8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cure any ambiguity, to correct or supplement any provision herein which may be defective or inconsistent with any other provision herein;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02" w:lineRule="exact"/>
        <w:rPr>
          <w:rFonts w:ascii="Arial" w:cs="Arial" w:eastAsia="Arial" w:hAnsi="Arial"/>
          <w:sz w:val="16"/>
          <w:szCs w:val="16"/>
          <w:color w:val="auto"/>
        </w:rPr>
      </w:pPr>
    </w:p>
    <w:p>
      <w:pPr>
        <w:ind w:right="300" w:firstLine="444"/>
        <w:spacing w:after="0" w:line="277" w:lineRule="auto"/>
        <w:tabs>
          <w:tab w:leader="none" w:pos="92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make any other provisions with respect to matters or questions arising under this Indenture, provided that such action pursuant to this clause (10) shall not adversely affect the interests of the Holders of Securities of any series in any material respect; or</w:t>
      </w:r>
    </w:p>
    <w:p>
      <w:pPr>
        <w:spacing w:after="0" w:line="62" w:lineRule="exact"/>
        <w:rPr>
          <w:rFonts w:ascii="Arial" w:cs="Arial" w:eastAsia="Arial" w:hAnsi="Arial"/>
          <w:sz w:val="18"/>
          <w:szCs w:val="18"/>
          <w:color w:val="auto"/>
        </w:rPr>
      </w:pPr>
    </w:p>
    <w:p>
      <w:pPr>
        <w:ind w:left="920" w:hanging="476"/>
        <w:spacing w:after="0"/>
        <w:tabs>
          <w:tab w:leader="none" w:pos="9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add new Subsidiary Guarantors; or</w:t>
      </w:r>
    </w:p>
    <w:p>
      <w:pPr>
        <w:spacing w:after="0" w:line="117" w:lineRule="exact"/>
        <w:rPr>
          <w:rFonts w:ascii="Arial" w:cs="Arial" w:eastAsia="Arial" w:hAnsi="Arial"/>
          <w:sz w:val="18"/>
          <w:szCs w:val="18"/>
          <w:color w:val="auto"/>
        </w:rPr>
      </w:pPr>
    </w:p>
    <w:p>
      <w:pPr>
        <w:ind w:left="920" w:hanging="476"/>
        <w:spacing w:after="0"/>
        <w:tabs>
          <w:tab w:leader="none" w:pos="9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make any change to the provisions of Article XII or XIV that limits or terminates the benefits applicable to any holder of Senior Debt; or</w:t>
      </w:r>
    </w:p>
    <w:p>
      <w:pPr>
        <w:spacing w:after="0" w:line="140" w:lineRule="exact"/>
        <w:rPr>
          <w:rFonts w:ascii="Arial" w:cs="Arial" w:eastAsia="Arial" w:hAnsi="Arial"/>
          <w:sz w:val="16"/>
          <w:szCs w:val="16"/>
          <w:color w:val="auto"/>
        </w:rPr>
      </w:pPr>
    </w:p>
    <w:p>
      <w:pPr>
        <w:ind w:left="920" w:hanging="476"/>
        <w:spacing w:after="0"/>
        <w:tabs>
          <w:tab w:leader="none" w:pos="9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reflect the addition or release of any Guarantor from its Guarantee of the Notes of such series, in the manner provided in this Indenture;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02" w:lineRule="exact"/>
        <w:rPr>
          <w:rFonts w:ascii="Arial" w:cs="Arial" w:eastAsia="Arial" w:hAnsi="Arial"/>
          <w:sz w:val="16"/>
          <w:szCs w:val="16"/>
          <w:color w:val="auto"/>
        </w:rPr>
      </w:pPr>
    </w:p>
    <w:p>
      <w:pPr>
        <w:ind w:right="640" w:firstLine="444"/>
        <w:spacing w:after="0" w:line="277" w:lineRule="auto"/>
        <w:tabs>
          <w:tab w:leader="none" w:pos="92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comply with any requirement of the Commission in order to effect or maintain the qualification of this Indenture under the Trust Indenture Act; or</w:t>
      </w:r>
    </w:p>
    <w:p>
      <w:pPr>
        <w:spacing w:after="0" w:line="62" w:lineRule="exact"/>
        <w:rPr>
          <w:rFonts w:ascii="Arial" w:cs="Arial" w:eastAsia="Arial" w:hAnsi="Arial"/>
          <w:sz w:val="18"/>
          <w:szCs w:val="18"/>
          <w:color w:val="auto"/>
        </w:rPr>
      </w:pPr>
    </w:p>
    <w:p>
      <w:pPr>
        <w:ind w:left="920" w:hanging="476"/>
        <w:spacing w:after="0"/>
        <w:tabs>
          <w:tab w:leader="none" w:pos="9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provide for uncertificated Notes of such series in addition to certificated Notes of such series; or</w:t>
      </w:r>
    </w:p>
    <w:p>
      <w:pPr>
        <w:spacing w:after="0" w:line="117" w:lineRule="exact"/>
        <w:rPr>
          <w:rFonts w:ascii="Arial" w:cs="Arial" w:eastAsia="Arial" w:hAnsi="Arial"/>
          <w:sz w:val="18"/>
          <w:szCs w:val="18"/>
          <w:color w:val="auto"/>
        </w:rPr>
      </w:pPr>
    </w:p>
    <w:p>
      <w:pPr>
        <w:jc w:val="both"/>
        <w:ind w:firstLine="444"/>
        <w:spacing w:after="0" w:line="259" w:lineRule="auto"/>
        <w:tabs>
          <w:tab w:leader="none" w:pos="92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mortgage, pledge, hypothecate or grant a security interest in favor of the Trustee for the benefit of the Holders of the Notes of such series as security for the payment and performance of the Company’s and any Guarantor’s obligations under this Indenture, in any property or assets, including any of which are required to be mortgaged, pledged or hypothecated, or in which a security interest is required to be granted to or for the benefit of the Trustee pursuant to this Indenture or otherwise;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171" w:name="page172"/>
    <w:bookmarkEnd w:id="171"/>
    <w:p>
      <w:pPr>
        <w:ind w:left="920" w:hanging="476"/>
        <w:spacing w:after="0"/>
        <w:tabs>
          <w:tab w:leader="none" w:pos="9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comply with the rules of any applicable Depositary; or</w:t>
      </w:r>
    </w:p>
    <w:p>
      <w:pPr>
        <w:spacing w:after="0" w:line="117" w:lineRule="exact"/>
        <w:rPr>
          <w:rFonts w:ascii="Arial" w:cs="Arial" w:eastAsia="Arial" w:hAnsi="Arial"/>
          <w:sz w:val="18"/>
          <w:szCs w:val="18"/>
          <w:color w:val="auto"/>
        </w:rPr>
      </w:pPr>
    </w:p>
    <w:p>
      <w:pPr>
        <w:ind w:right="240" w:firstLine="444"/>
        <w:spacing w:after="0" w:line="286" w:lineRule="auto"/>
        <w:tabs>
          <w:tab w:leader="none" w:pos="921"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to conform the text of this Indenture, the Notes of such series or the Guarantees to any provision of the “Description of Notes” section in any offering memorandum with respect to the Notes to the extent that such provision of the “Description of Notes” was intended to be a verbatim recitation of a provision of this Indenture, the Notes of such series or the Guarantees as evidenced in an Officers’ Certificate; or</w:t>
      </w:r>
    </w:p>
    <w:p>
      <w:pPr>
        <w:spacing w:after="0" w:line="57" w:lineRule="exact"/>
        <w:rPr>
          <w:rFonts w:ascii="Arial" w:cs="Arial" w:eastAsia="Arial" w:hAnsi="Arial"/>
          <w:sz w:val="17"/>
          <w:szCs w:val="17"/>
          <w:color w:val="auto"/>
        </w:rPr>
      </w:pPr>
    </w:p>
    <w:p>
      <w:pPr>
        <w:ind w:firstLine="444"/>
        <w:spacing w:after="0" w:line="277" w:lineRule="auto"/>
        <w:tabs>
          <w:tab w:leader="none" w:pos="92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benefit to the Holders of the Notes of such series or that does not adversely affect the rights of any Holder in any material respect.</w:t>
      </w:r>
    </w:p>
    <w:p>
      <w:pPr>
        <w:spacing w:after="0" w:line="170"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Supplemental Indentures With Consent of Holders</w:t>
      </w:r>
      <w:r>
        <w:rPr>
          <w:rFonts w:ascii="Arial" w:cs="Arial" w:eastAsia="Arial" w:hAnsi="Arial"/>
          <w:sz w:val="16"/>
          <w:szCs w:val="16"/>
          <w:color w:val="auto"/>
        </w:rPr>
        <w:t>.</w:t>
      </w:r>
    </w:p>
    <w:p>
      <w:pPr>
        <w:spacing w:after="0" w:line="225"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With the consent of the Holders of not less than a majority in principal amount of the Outstanding Securities of each series affected by such supplemental indenture, by Act of said Holders delivered to the Company, the Subsidiary Guarantors and the Trustee, the Company, when authorized by a Board Resolution, the Subsidiary Guarantors, when authorized by their respective Board Resolutions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shall, without the consent of the Holder of each Outstanding Security affected thereby:</w:t>
      </w:r>
    </w:p>
    <w:p>
      <w:pPr>
        <w:spacing w:after="0" w:line="70" w:lineRule="exact"/>
        <w:rPr>
          <w:sz w:val="20"/>
          <w:szCs w:val="20"/>
          <w:color w:val="auto"/>
        </w:rPr>
      </w:pPr>
    </w:p>
    <w:p>
      <w:pPr>
        <w:ind w:right="200" w:firstLine="444"/>
        <w:spacing w:after="0" w:line="277" w:lineRule="auto"/>
        <w:tabs>
          <w:tab w:leader="none" w:pos="83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reduce the percentage of principal amount of Notes of such series whose Holders must consent to an amendment, supplement or waiver of any provision of this Indenture or the Notes of such series; or</w:t>
      </w:r>
    </w:p>
    <w:p>
      <w:pPr>
        <w:spacing w:after="0" w:line="62" w:lineRule="exact"/>
        <w:rPr>
          <w:rFonts w:ascii="Arial" w:cs="Arial" w:eastAsia="Arial" w:hAnsi="Arial"/>
          <w:sz w:val="18"/>
          <w:szCs w:val="18"/>
          <w:color w:val="auto"/>
        </w:rPr>
      </w:pPr>
    </w:p>
    <w:p>
      <w:pPr>
        <w:ind w:left="840" w:hanging="396"/>
        <w:spacing w:after="0"/>
        <w:tabs>
          <w:tab w:leader="none" w:pos="8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reduce the rate or change the time for payment of interest, including default interest, if any, on the Notes of such series; or</w:t>
      </w:r>
    </w:p>
    <w:p>
      <w:pPr>
        <w:spacing w:after="0" w:line="117" w:lineRule="exact"/>
        <w:rPr>
          <w:rFonts w:ascii="Arial" w:cs="Arial" w:eastAsia="Arial" w:hAnsi="Arial"/>
          <w:sz w:val="18"/>
          <w:szCs w:val="18"/>
          <w:color w:val="auto"/>
        </w:rPr>
      </w:pPr>
    </w:p>
    <w:p>
      <w:pPr>
        <w:ind w:left="840" w:hanging="396"/>
        <w:spacing w:after="0"/>
        <w:tabs>
          <w:tab w:leader="none" w:pos="8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reduce the principal amount of any Note of such series or change the Maturity Date of the Notes of such series; or</w:t>
      </w:r>
    </w:p>
    <w:p>
      <w:pPr>
        <w:spacing w:after="0" w:line="117" w:lineRule="exact"/>
        <w:rPr>
          <w:rFonts w:ascii="Arial" w:cs="Arial" w:eastAsia="Arial" w:hAnsi="Arial"/>
          <w:sz w:val="18"/>
          <w:szCs w:val="18"/>
          <w:color w:val="auto"/>
        </w:rPr>
      </w:pPr>
    </w:p>
    <w:p>
      <w:pPr>
        <w:ind w:left="840" w:hanging="396"/>
        <w:spacing w:after="0"/>
        <w:tabs>
          <w:tab w:leader="none" w:pos="8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reduce the amount payable upon redemption of any Note of such series; or</w:t>
      </w:r>
    </w:p>
    <w:p>
      <w:pPr>
        <w:spacing w:after="0" w:line="117" w:lineRule="exact"/>
        <w:rPr>
          <w:rFonts w:ascii="Arial" w:cs="Arial" w:eastAsia="Arial" w:hAnsi="Arial"/>
          <w:sz w:val="18"/>
          <w:szCs w:val="18"/>
          <w:color w:val="auto"/>
        </w:rPr>
      </w:pPr>
    </w:p>
    <w:p>
      <w:pPr>
        <w:ind w:right="60" w:firstLine="444"/>
        <w:spacing w:after="0" w:line="277" w:lineRule="auto"/>
        <w:tabs>
          <w:tab w:leader="none" w:pos="83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waive any Event of Default in the payment of principal of, any premium or interest on, the Notes of such series (except a default in payment that has become due solely because of an acceleration that has been rescinded); or</w:t>
      </w:r>
    </w:p>
    <w:p>
      <w:pPr>
        <w:spacing w:after="0" w:line="62" w:lineRule="exact"/>
        <w:rPr>
          <w:rFonts w:ascii="Arial" w:cs="Arial" w:eastAsia="Arial" w:hAnsi="Arial"/>
          <w:sz w:val="18"/>
          <w:szCs w:val="18"/>
          <w:color w:val="auto"/>
        </w:rPr>
      </w:pPr>
    </w:p>
    <w:p>
      <w:pPr>
        <w:ind w:left="840" w:hanging="396"/>
        <w:spacing w:after="0"/>
        <w:tabs>
          <w:tab w:leader="none" w:pos="8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make any Note of such series payable in money other than that stated in such Note; or</w:t>
      </w:r>
    </w:p>
    <w:p>
      <w:pPr>
        <w:spacing w:after="0" w:line="117" w:lineRule="exact"/>
        <w:rPr>
          <w:rFonts w:ascii="Arial" w:cs="Arial" w:eastAsia="Arial" w:hAnsi="Arial"/>
          <w:sz w:val="18"/>
          <w:szCs w:val="18"/>
          <w:color w:val="auto"/>
        </w:rPr>
      </w:pPr>
    </w:p>
    <w:p>
      <w:pPr>
        <w:ind w:right="240" w:firstLine="444"/>
        <w:spacing w:after="0" w:line="277" w:lineRule="auto"/>
        <w:tabs>
          <w:tab w:leader="none" w:pos="83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impair the right of Holders of Notes of such series to receive payment of the principal of and interest on Notes on the respective due dates therefor and to institute suit for the enforcement of any such payment;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172" w:name="page173"/>
    <w:bookmarkEnd w:id="172"/>
    <w:p>
      <w:pPr>
        <w:ind w:left="840" w:hanging="396"/>
        <w:spacing w:after="0"/>
        <w:tabs>
          <w:tab w:leader="none" w:pos="8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any change in the percentage of principal amount of Notes of such series necessary to waive compliance with certain provisions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211"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47"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170" w:lineRule="exact"/>
        <w:rPr>
          <w:sz w:val="20"/>
          <w:szCs w:val="20"/>
          <w:color w:val="auto"/>
        </w:rPr>
      </w:pPr>
    </w:p>
    <w:p>
      <w:pPr>
        <w:ind w:right="520" w:firstLine="441"/>
        <w:spacing w:after="0" w:line="279" w:lineRule="auto"/>
        <w:rPr>
          <w:sz w:val="20"/>
          <w:szCs w:val="20"/>
          <w:color w:val="auto"/>
        </w:rPr>
      </w:pPr>
      <w:r>
        <w:rPr>
          <w:rFonts w:ascii="Arial" w:cs="Arial" w:eastAsia="Arial" w:hAnsi="Arial"/>
          <w:sz w:val="17"/>
          <w:szCs w:val="17"/>
          <w:color w:val="auto"/>
        </w:rPr>
        <w:t>After a supplemental indenture under this Section 9.2 requiring the consent of the Holders of any series of Debt Securities is approved, the Company shall mail to Holders of that series of Debt Securities a notice briefly describing any amendment or supplement hereto effected by such supplemental indenture. The failure to give such notice to any such Holders, or any defect therein, shall not impair or affect the validity of any amendment or supplement hereto effected by such supplemental indenture with respect to other Holders.</w:t>
      </w:r>
    </w:p>
    <w:p>
      <w:pPr>
        <w:spacing w:after="0" w:line="171"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u w:val="single" w:color="auto"/>
          <w:color w:val="auto"/>
        </w:rPr>
        <w:t>Execution of Supplemental Indentures</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modifications thereby of the trusts created by this Indenture, the Trustee shall be entitled to receive, and (subject to Section 6.1)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54"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6"/>
          <w:szCs w:val="16"/>
          <w:u w:val="single" w:color="auto"/>
          <w:color w:val="auto"/>
        </w:rPr>
        <w:t>Effect of Supplemental Indentures</w:t>
      </w:r>
      <w:r>
        <w:rPr>
          <w:rFonts w:ascii="Arial" w:cs="Arial" w:eastAsia="Arial" w:hAnsi="Arial"/>
          <w:sz w:val="16"/>
          <w:szCs w:val="16"/>
          <w:color w:val="auto"/>
        </w:rPr>
        <w:t>.</w:t>
      </w:r>
    </w:p>
    <w:p>
      <w:pPr>
        <w:spacing w:after="0" w:line="225"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81"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Conformity with Trust Indenture Act</w:t>
      </w:r>
      <w:r>
        <w:rPr>
          <w:rFonts w:ascii="Arial" w:cs="Arial" w:eastAsia="Arial" w:hAnsi="Arial"/>
          <w:sz w:val="16"/>
          <w:szCs w:val="16"/>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Every supplemental indenture executed pursuant to this Article shall conform to the requirements of the Trust Indenture Act.</w:t>
      </w:r>
    </w:p>
    <w:p>
      <w:pPr>
        <w:spacing w:after="0" w:line="225"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6"/>
          <w:szCs w:val="16"/>
          <w:u w:val="single" w:color="auto"/>
          <w:color w:val="auto"/>
        </w:rPr>
        <w:t>Reference in Securities to Supplemental Indentures</w:t>
      </w:r>
      <w:r>
        <w:rPr>
          <w:rFonts w:ascii="Arial" w:cs="Arial" w:eastAsia="Arial" w:hAnsi="Arial"/>
          <w:sz w:val="16"/>
          <w:szCs w:val="16"/>
          <w:color w:val="auto"/>
        </w:rPr>
        <w:t>.</w:t>
      </w:r>
    </w:p>
    <w:p>
      <w:pPr>
        <w:spacing w:after="0" w:line="225"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4" w:right="479" w:bottom="1440" w:gutter="0" w:footer="0" w:header="0"/>
        </w:sectPr>
      </w:pPr>
    </w:p>
    <w:bookmarkStart w:id="173" w:name="page174"/>
    <w:bookmarkEnd w:id="17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Trustee and the Company, to any such supplemental indenture may be prepared and executed by the Company, if applicable the notations of Subsidiary Guarantees may be endorsed thereon and such new Securities may be authenticated and delivered by the Trustee in exchange for Outstanding Securities of such series.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Payment of Principal, Premium and Interest</w:t>
      </w:r>
      <w:r>
        <w:rPr>
          <w:rFonts w:ascii="Arial" w:cs="Arial" w:eastAsia="Arial" w:hAnsi="Arial"/>
          <w:sz w:val="16"/>
          <w:szCs w:val="16"/>
          <w:color w:val="auto"/>
        </w:rPr>
        <w:t>.</w:t>
      </w:r>
    </w:p>
    <w:p>
      <w:pPr>
        <w:spacing w:after="0" w:line="225"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 Principal, premium, if any, and interest shall be considered paid on the date due if the Paying Agent, if other than the Company or a Subsidiary thereof, holds as of 11:00 A.M., New York City time, on the due date money deposited with it in immediately available funds and designated for and sufficient to pay all principal, premium, if any, and interest then due, and such Paying Agent is not prohibited from paying such money to the Holders entitled thereto on such date pursuant to the terms of Article XII or XIV of this Indenture..</w:t>
      </w:r>
    </w:p>
    <w:p>
      <w:pPr>
        <w:spacing w:after="0" w:line="193"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w:t>
      </w:r>
    </w:p>
    <w:p>
      <w:pPr>
        <w:spacing w:after="0" w:line="225" w:lineRule="exact"/>
        <w:rPr>
          <w:sz w:val="20"/>
          <w:szCs w:val="20"/>
          <w:color w:val="auto"/>
        </w:rPr>
      </w:pPr>
    </w:p>
    <w:p>
      <w:pPr>
        <w:ind w:right="100" w:firstLine="441"/>
        <w:spacing w:after="0" w:line="254" w:lineRule="auto"/>
        <w:rPr>
          <w:sz w:val="20"/>
          <w:szCs w:val="20"/>
          <w:color w:val="auto"/>
        </w:rPr>
      </w:pPr>
      <w:r>
        <w:rPr>
          <w:rFonts w:ascii="Arial" w:cs="Arial" w:eastAsia="Arial" w:hAnsi="Arial"/>
          <w:sz w:val="18"/>
          <w:szCs w:val="18"/>
          <w:color w:val="auto"/>
        </w:rPr>
        <w:t>The Company will maintain in each Place of Payment for any series of Securities an office or agency where Securities of that series may be presented or surrendered for payment or, if applicable, for conversion, where Securities of that series may be surrendered for registration of transfer or exchange and where notices and demands to or upon the Company or any Subsidiary Guarantor in respect of the Securities of that series or any Subsidiary Guarantee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each of the Company and the Subsidiary Guarantors hereby appoints the Trustee as its agent to receive all such presentations, surrenders, notices and demands.</w:t>
      </w:r>
    </w:p>
    <w:p>
      <w:pPr>
        <w:spacing w:after="0" w:line="192"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174" w:name="page175"/>
    <w:bookmarkEnd w:id="174"/>
    <w:p>
      <w:pPr>
        <w:ind w:left="440"/>
        <w:spacing w:after="0"/>
        <w:tabs>
          <w:tab w:leader="none" w:pos="1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10.3.</w:t>
      </w:r>
      <w:r>
        <w:rPr>
          <w:sz w:val="20"/>
          <w:szCs w:val="20"/>
          <w:color w:val="auto"/>
        </w:rPr>
        <w:tab/>
      </w:r>
      <w:r>
        <w:rPr>
          <w:rFonts w:ascii="Arial" w:cs="Arial" w:eastAsia="Arial" w:hAnsi="Arial"/>
          <w:sz w:val="16"/>
          <w:szCs w:val="16"/>
          <w:u w:val="single" w:color="auto"/>
          <w:color w:val="auto"/>
        </w:rPr>
        <w:t>Money for Securities Payments to Be Held in Trust</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If the Company or any Subsidiary Guarantor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71" w:lineRule="exact"/>
        <w:rPr>
          <w:sz w:val="20"/>
          <w:szCs w:val="20"/>
          <w:color w:val="auto"/>
        </w:rPr>
      </w:pPr>
    </w:p>
    <w:p>
      <w:pPr>
        <w:jc w:val="both"/>
        <w:ind w:right="240" w:firstLine="441"/>
        <w:spacing w:after="0" w:line="259" w:lineRule="auto"/>
        <w:rPr>
          <w:sz w:val="20"/>
          <w:szCs w:val="20"/>
          <w:color w:val="auto"/>
        </w:rPr>
      </w:pPr>
      <w:r>
        <w:rPr>
          <w:rFonts w:ascii="Arial" w:cs="Arial" w:eastAsia="Arial" w:hAnsi="Arial"/>
          <w:sz w:val="18"/>
          <w:szCs w:val="18"/>
          <w:color w:val="auto"/>
        </w:rPr>
        <w:t>Whenever the Company shall have one or more Paying Agents for any series of Securities, it will, prior to 11:00 A.M., New York City time, on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87"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the Subsidiary Guarantors, if applicable,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93"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1" w:lineRule="exact"/>
        <w:rPr>
          <w:sz w:val="20"/>
          <w:szCs w:val="20"/>
          <w:color w:val="auto"/>
        </w:rPr>
      </w:pPr>
    </w:p>
    <w:p>
      <w:pPr>
        <w:ind w:right="140" w:firstLine="441"/>
        <w:spacing w:after="0" w:line="289" w:lineRule="auto"/>
        <w:rPr>
          <w:sz w:val="20"/>
          <w:szCs w:val="20"/>
          <w:color w:val="auto"/>
        </w:rPr>
      </w:pPr>
      <w:r>
        <w:rPr>
          <w:rFonts w:ascii="Arial" w:cs="Arial" w:eastAsia="Arial" w:hAnsi="Arial"/>
          <w:sz w:val="16"/>
          <w:szCs w:val="16"/>
          <w:color w:val="auto"/>
        </w:rPr>
        <w:t>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New York, notice that such money remains unclaimed and that, after a date specified therein, which shall not be less than 30 days from the date of such publication, any unclaimed balance of such money then remaining will be repaid to the Company.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74" w:right="439" w:bottom="1440" w:gutter="0" w:footer="0" w:header="0"/>
        </w:sectPr>
      </w:pPr>
    </w:p>
    <w:bookmarkStart w:id="175" w:name="page176"/>
    <w:bookmarkEnd w:id="175"/>
    <w:p>
      <w:pPr>
        <w:ind w:left="440"/>
        <w:spacing w:after="0"/>
        <w:tabs>
          <w:tab w:leader="none" w:pos="1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10.4.</w:t>
      </w:r>
      <w:r>
        <w:rPr>
          <w:sz w:val="20"/>
          <w:szCs w:val="20"/>
          <w:color w:val="auto"/>
        </w:rPr>
        <w:tab/>
      </w:r>
      <w:r>
        <w:rPr>
          <w:rFonts w:ascii="Arial" w:cs="Arial" w:eastAsia="Arial" w:hAnsi="Arial"/>
          <w:sz w:val="16"/>
          <w:szCs w:val="16"/>
          <w:u w:val="single" w:color="auto"/>
          <w:color w:val="auto"/>
        </w:rPr>
        <w:t>Statement by Officers as to Default</w:t>
      </w:r>
      <w:r>
        <w:rPr>
          <w:rFonts w:ascii="Arial" w:cs="Arial" w:eastAsia="Arial" w:hAnsi="Arial"/>
          <w:sz w:val="16"/>
          <w:szCs w:val="16"/>
          <w:color w:val="auto"/>
        </w:rPr>
        <w:t>.</w:t>
      </w:r>
    </w:p>
    <w:p>
      <w:pPr>
        <w:spacing w:after="0" w:line="117" w:lineRule="exact"/>
        <w:rPr>
          <w:sz w:val="20"/>
          <w:szCs w:val="20"/>
          <w:color w:val="auto"/>
        </w:rPr>
      </w:pPr>
    </w:p>
    <w:p>
      <w:pPr>
        <w:ind w:firstLine="444"/>
        <w:spacing w:after="0" w:line="272" w:lineRule="auto"/>
        <w:tabs>
          <w:tab w:leader="none" w:pos="827"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Company and the Subsidiary Guarantors will deliver to the Trustee, within 90 days after the end of each fiscal year of the Company ending after the date hereof, an Officers’ Certificate, stating whether or not to the best knowledge of the signers thereof (i) the Company or any Subsidiary Guarantor, as the case may be, is in default in the performance and observance of any of the terms, provisions and conditions of this Indenture (without regard to any period of grace or requirement of notice provided hereunder) and, if the Company or any Subsidiary Guarantor shall be in default, specifying all such defaults and the nature and status thereof of which they may have knowledge and (ii) any event has occurred and remains in existence prohibiting any payments on any series of Securities then Outstanding and, if any such event exists, a description of such event and what action the Company is taking or proposes to take with respect thereto.</w:t>
      </w:r>
    </w:p>
    <w:p>
      <w:pPr>
        <w:spacing w:after="0" w:line="69" w:lineRule="exact"/>
        <w:rPr>
          <w:rFonts w:ascii="Arial" w:cs="Arial" w:eastAsia="Arial" w:hAnsi="Arial"/>
          <w:sz w:val="17"/>
          <w:szCs w:val="17"/>
          <w:color w:val="auto"/>
        </w:rPr>
      </w:pPr>
    </w:p>
    <w:p>
      <w:pPr>
        <w:ind w:firstLine="444"/>
        <w:spacing w:after="0" w:line="259" w:lineRule="auto"/>
        <w:tabs>
          <w:tab w:leader="none" w:pos="82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shall, so long as any series of Securities is Outstanding, deliver to the Trustee, as soon as possible and in any event within five days after the Company becomes aware of the occurrence of an Event of Default or an event which, with notice or the lapse of time or both, would constitute an Event of Default, an Officers’ Certificate setting forth the details of such Event of Default or default, and the action which the Company proposes to take with respect thereto.</w:t>
      </w:r>
    </w:p>
    <w:p>
      <w:pPr>
        <w:spacing w:after="0" w:line="187"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Existence</w:t>
      </w:r>
      <w:r>
        <w:rPr>
          <w:rFonts w:ascii="Arial" w:cs="Arial" w:eastAsia="Arial" w:hAnsi="Arial"/>
          <w:sz w:val="16"/>
          <w:szCs w:val="16"/>
          <w:color w:val="auto"/>
        </w:rPr>
        <w:t>.</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Subject to Article VIII, the Company will do or cause to be done all things necessary to preserve and keep in full force and effect the existence, rights (charter and statutory) and franchises of the Company; provided, however, that the Company shall not be required to preserve any such right or franchise if it shall determine that the preservation thereof is no longer desirable in the conduct of the business of the Company and that the loss thereof is not disadvantageous in any material respect to the Holders.</w:t>
      </w:r>
    </w:p>
    <w:p>
      <w:pPr>
        <w:spacing w:after="0" w:line="187"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w:t>
      </w:r>
    </w:p>
    <w:p>
      <w:pPr>
        <w:spacing w:after="0" w:line="225"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The Company will cause all properties used or useful in the conduct of its business or the business of any Subsidiary to be maintained and kept in good condition, repair and working order (reasonable wear and tear excepted)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or the business of any Subsidiary and not disadvantageous in any material respect to the Holders.</w:t>
      </w:r>
    </w:p>
    <w:p>
      <w:pPr>
        <w:spacing w:after="0" w:line="165"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Payment of Taxes and Other Claims</w:t>
      </w:r>
      <w:r>
        <w:rPr>
          <w:rFonts w:ascii="Arial" w:cs="Arial" w:eastAsia="Arial" w:hAnsi="Arial"/>
          <w:sz w:val="16"/>
          <w:szCs w:val="16"/>
          <w:color w:val="auto"/>
        </w:rPr>
        <w:t>.</w:t>
      </w:r>
    </w:p>
    <w:p>
      <w:pPr>
        <w:spacing w:after="0" w:line="225" w:lineRule="exact"/>
        <w:rPr>
          <w:sz w:val="20"/>
          <w:szCs w:val="20"/>
          <w:color w:val="auto"/>
        </w:rPr>
      </w:pPr>
    </w:p>
    <w:p>
      <w:pPr>
        <w:ind w:right="320" w:firstLine="441"/>
        <w:spacing w:after="0" w:line="342" w:lineRule="auto"/>
        <w:rPr>
          <w:sz w:val="20"/>
          <w:szCs w:val="20"/>
          <w:color w:val="auto"/>
        </w:rPr>
      </w:pPr>
      <w:r>
        <w:rPr>
          <w:rFonts w:ascii="Arial" w:cs="Arial" w:eastAsia="Arial" w:hAnsi="Arial"/>
          <w:sz w:val="16"/>
          <w:szCs w:val="16"/>
          <w:color w:val="auto"/>
        </w:rPr>
        <w:t>The Company will pay or discharge or cause to be paid or discharged, before the same shall become delinquent, (1) all taxes, assessments and governmental charges levied or imposed upon the Company or any Subsidiary or upon the income, profits or property of the Company or any</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274" w:right="479" w:bottom="1440" w:gutter="0" w:footer="0" w:header="0"/>
        </w:sectPr>
      </w:pPr>
    </w:p>
    <w:bookmarkStart w:id="176" w:name="page177"/>
    <w:bookmarkEnd w:id="176"/>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Subsidiary, and (2) 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w:t>
      </w:r>
    </w:p>
    <w:p>
      <w:pPr>
        <w:spacing w:after="0" w:line="166"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w:t>
      </w:r>
    </w:p>
    <w:p>
      <w:pPr>
        <w:spacing w:after="0" w:line="22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Company shall, and shall cause its Subsidiaries to, keep at all times all of their properties which are of an insurable nature insured against loss or damage with insurers believed by the Company to be responsible to the extent that property of similar character is usually so insured by corporations similarly situated and owning like properties in accordance with good business practice.</w:t>
      </w:r>
    </w:p>
    <w:p>
      <w:pPr>
        <w:spacing w:after="0" w:line="181"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6"/>
          <w:szCs w:val="16"/>
          <w:u w:val="single" w:color="auto"/>
          <w:color w:val="auto"/>
        </w:rPr>
        <w:t>Waiver of Certain Covenants</w:t>
      </w:r>
      <w:r>
        <w:rPr>
          <w:rFonts w:ascii="Arial" w:cs="Arial" w:eastAsia="Arial" w:hAnsi="Arial"/>
          <w:sz w:val="16"/>
          <w:szCs w:val="16"/>
          <w:color w:val="auto"/>
        </w:rPr>
        <w:t>.</w:t>
      </w:r>
    </w:p>
    <w:p>
      <w:pPr>
        <w:spacing w:after="0" w:line="225"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Except as otherwise specified as contemplated by Section 3.1 for Securities of such series, the Company and the Subsidiary Guarantors may, with respect to the Securities of any series, omit in any particular instance to comply with any term, provision or condition set forth in any of Sections 10.5 through 10.8 or in any covenant provided pursuant to Section 3.1(22), 9.1(2) or 9.1(7) for the benefit of the Holders of such series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REDEMPTION OF SECURITIES</w:t>
      </w:r>
    </w:p>
    <w:p>
      <w:pPr>
        <w:spacing w:after="0" w:line="229"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w:t>
      </w:r>
    </w:p>
    <w:p>
      <w:pPr>
        <w:spacing w:after="0" w:line="225"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Securities of any series which are redeemable before their Stated Maturity shall be redeemable in accordance with their terms and (except as otherwise specified as contemplated by Section 3.1 for such Securities) in accordance with this Article.</w:t>
      </w:r>
    </w:p>
    <w:p>
      <w:pPr>
        <w:spacing w:after="0" w:line="170" w:lineRule="exact"/>
        <w:rPr>
          <w:sz w:val="20"/>
          <w:szCs w:val="20"/>
          <w:color w:val="auto"/>
        </w:rPr>
      </w:pPr>
    </w:p>
    <w:p>
      <w:pPr>
        <w:ind w:left="440"/>
        <w:spacing w:after="0"/>
        <w:tabs>
          <w:tab w:leader="none" w:pos="158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Election to Redeem; Notice to Trustee</w:t>
      </w:r>
      <w:r>
        <w:rPr>
          <w:rFonts w:ascii="Arial" w:cs="Arial" w:eastAsia="Arial" w:hAnsi="Arial"/>
          <w:sz w:val="16"/>
          <w:szCs w:val="16"/>
          <w:color w:val="auto"/>
        </w:rPr>
        <w:t>.</w:t>
      </w:r>
    </w:p>
    <w:p>
      <w:pPr>
        <w:spacing w:after="0" w:line="225"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The election of the Company to redeem any Securities shall be evidenced by a Board Resolution or in another manner specified as contemplated by Section 3.1 for such Securities. In case of any redemption at the election of the Company of less than all the Securities of any series (including any such redemption affecting only a single Security), the Company shall, at least five Business Days prior to giving notice of such redemption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177" w:name="page178"/>
    <w:bookmarkEnd w:id="177"/>
    <w:p>
      <w:pPr>
        <w:ind w:left="440"/>
        <w:spacing w:after="0"/>
        <w:tabs>
          <w:tab w:leader="none" w:pos="1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11.3.</w:t>
      </w:r>
      <w:r>
        <w:rPr>
          <w:sz w:val="20"/>
          <w:szCs w:val="20"/>
          <w:color w:val="auto"/>
        </w:rPr>
        <w:tab/>
      </w:r>
      <w:r>
        <w:rPr>
          <w:rFonts w:ascii="Arial" w:cs="Arial" w:eastAsia="Arial" w:hAnsi="Arial"/>
          <w:sz w:val="16"/>
          <w:szCs w:val="16"/>
          <w:u w:val="single" w:color="auto"/>
          <w:color w:val="auto"/>
        </w:rPr>
        <w:t>Selection by Trustee of Securities to Be Redeemed</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If less than all the Securities of any series are to be redeemed (unless all the Securities of such series and of a specified tenor are to be redeemed or unless such redemption affects only a single Security), the particular Securities to be redeemed shall be selected by the Trustee, from the Outstanding Securities of such series not previously called for redemption, (i) in compliance with the requirements of the principal national securities exchange on which such Securities are listed, if such Securities are listed on any national securities exchange, and (ii) if such Securities are not so listed, on a pro rata basis, by lot or by such other method as the Trustee shall deem fair and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by the Trustee, from the Outstanding Securities of such series and specified tenor not previously called for redemption in accordance with the preceding sentence.</w:t>
      </w:r>
    </w:p>
    <w:p>
      <w:pPr>
        <w:spacing w:after="0" w:line="178"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70" w:lineRule="exact"/>
        <w:rPr>
          <w:sz w:val="20"/>
          <w:szCs w:val="20"/>
          <w:color w:val="auto"/>
        </w:rPr>
      </w:pPr>
    </w:p>
    <w:p>
      <w:pPr>
        <w:ind w:right="420" w:firstLine="441"/>
        <w:spacing w:after="0" w:line="312" w:lineRule="auto"/>
        <w:rPr>
          <w:sz w:val="20"/>
          <w:szCs w:val="20"/>
          <w:color w:val="auto"/>
        </w:rPr>
      </w:pPr>
      <w:r>
        <w:rPr>
          <w:rFonts w:ascii="Arial" w:cs="Arial" w:eastAsia="Arial" w:hAnsi="Arial"/>
          <w:sz w:val="16"/>
          <w:szCs w:val="16"/>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47"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 If any Security selected for partial redemption is surrendered for conversion after such selection, the converted portion of such Security shall be deemed (so far as may be) to be the portion selected for redemption. Upon any redemption of less than all the Securities of a series, for purposes of selection for redemption the Company and the Trustee may treat as Outstanding Securities surrendered for conversion during the period of 15 days next preceding the mailing of a notice of redemption, and need not treat as Outstanding any Security authenticated and delivered during such period in exchange for the unconverted portion of any Security converted in part during such period.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178" w:name="page179"/>
    <w:bookmarkEnd w:id="178"/>
    <w:p>
      <w:pPr>
        <w:ind w:left="440"/>
        <w:spacing w:after="0"/>
        <w:tabs>
          <w:tab w:leader="none" w:pos="1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11.4.</w:t>
      </w:r>
      <w:r>
        <w:rPr>
          <w:sz w:val="20"/>
          <w:szCs w:val="20"/>
          <w:color w:val="auto"/>
        </w:rPr>
        <w:tab/>
      </w:r>
      <w:r>
        <w:rPr>
          <w:rFonts w:ascii="Arial" w:cs="Arial" w:eastAsia="Arial" w:hAnsi="Arial"/>
          <w:sz w:val="16"/>
          <w:szCs w:val="16"/>
          <w:u w:val="single" w:color="auto"/>
          <w:color w:val="auto"/>
        </w:rPr>
        <w:t>Notice of Redemption</w:t>
      </w:r>
      <w:r>
        <w:rPr>
          <w:rFonts w:ascii="Arial" w:cs="Arial" w:eastAsia="Arial" w:hAnsi="Arial"/>
          <w:sz w:val="16"/>
          <w:szCs w:val="16"/>
          <w:color w:val="auto"/>
        </w:rPr>
        <w:t>.</w:t>
      </w:r>
    </w:p>
    <w:p>
      <w:pPr>
        <w:spacing w:after="0" w:line="225" w:lineRule="exact"/>
        <w:rPr>
          <w:sz w:val="20"/>
          <w:szCs w:val="20"/>
          <w:color w:val="auto"/>
        </w:rPr>
      </w:pPr>
    </w:p>
    <w:p>
      <w:pPr>
        <w:jc w:val="both"/>
        <w:ind w:right="220" w:firstLine="441"/>
        <w:spacing w:after="0" w:line="312" w:lineRule="auto"/>
        <w:rPr>
          <w:sz w:val="20"/>
          <w:szCs w:val="20"/>
          <w:color w:val="auto"/>
        </w:rPr>
      </w:pPr>
      <w:r>
        <w:rPr>
          <w:rFonts w:ascii="Arial" w:cs="Arial" w:eastAsia="Arial" w:hAnsi="Arial"/>
          <w:sz w:val="16"/>
          <w:szCs w:val="16"/>
          <w:color w:val="auto"/>
        </w:rPr>
        <w:t>Notice of redemption shall be given by first-class mail, postage prepaid, mailed not less than 30 nor more than 60 days prior to the Redemption Date, to each Holder of Securities to be redeemed, at his address appearing in the Security Register; provided, however, notice of redemption may be given more than 60 days prior to the Redemption Date if the notice is issued in connection with a satisfaction and discharge pursuant to Article IV.</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notices of redemption shall state:</w:t>
      </w:r>
    </w:p>
    <w:p>
      <w:pPr>
        <w:spacing w:after="0" w:line="117" w:lineRule="exact"/>
        <w:rPr>
          <w:sz w:val="20"/>
          <w:szCs w:val="20"/>
          <w:color w:val="auto"/>
        </w:rPr>
      </w:pPr>
    </w:p>
    <w:p>
      <w:pPr>
        <w:ind w:left="840" w:hanging="396"/>
        <w:spacing w:after="0"/>
        <w:tabs>
          <w:tab w:leader="none" w:pos="8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840" w:hanging="396"/>
        <w:spacing w:after="0"/>
        <w:tabs>
          <w:tab w:leader="none" w:pos="8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Redemption Price, if then determinable and otherwise the method of its determination,</w:t>
      </w:r>
    </w:p>
    <w:p>
      <w:pPr>
        <w:spacing w:after="0" w:line="117" w:lineRule="exact"/>
        <w:rPr>
          <w:rFonts w:ascii="Arial" w:cs="Arial" w:eastAsia="Arial" w:hAnsi="Arial"/>
          <w:sz w:val="18"/>
          <w:szCs w:val="18"/>
          <w:color w:val="auto"/>
        </w:rPr>
      </w:pPr>
    </w:p>
    <w:p>
      <w:pPr>
        <w:ind w:right="120" w:firstLine="444"/>
        <w:spacing w:after="0" w:line="312" w:lineRule="auto"/>
        <w:tabs>
          <w:tab w:leader="none" w:pos="831"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38" w:lineRule="exact"/>
        <w:rPr>
          <w:rFonts w:ascii="Arial" w:cs="Arial" w:eastAsia="Arial" w:hAnsi="Arial"/>
          <w:sz w:val="16"/>
          <w:szCs w:val="16"/>
          <w:color w:val="auto"/>
        </w:rPr>
      </w:pPr>
    </w:p>
    <w:p>
      <w:pPr>
        <w:ind w:right="40" w:firstLine="444"/>
        <w:spacing w:after="0" w:line="277" w:lineRule="auto"/>
        <w:tabs>
          <w:tab w:leader="none" w:pos="83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62" w:lineRule="exact"/>
        <w:rPr>
          <w:rFonts w:ascii="Arial" w:cs="Arial" w:eastAsia="Arial" w:hAnsi="Arial"/>
          <w:sz w:val="18"/>
          <w:szCs w:val="18"/>
          <w:color w:val="auto"/>
        </w:rPr>
      </w:pPr>
    </w:p>
    <w:p>
      <w:pPr>
        <w:ind w:left="840" w:hanging="396"/>
        <w:spacing w:after="0"/>
        <w:tabs>
          <w:tab w:leader="none" w:pos="8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place or places where each such Security is to be surrendered for payment of the Redemption Price,</w:t>
      </w:r>
    </w:p>
    <w:p>
      <w:pPr>
        <w:spacing w:after="0" w:line="117" w:lineRule="exact"/>
        <w:rPr>
          <w:rFonts w:ascii="Arial" w:cs="Arial" w:eastAsia="Arial" w:hAnsi="Arial"/>
          <w:sz w:val="18"/>
          <w:szCs w:val="18"/>
          <w:color w:val="auto"/>
        </w:rPr>
      </w:pPr>
    </w:p>
    <w:p>
      <w:pPr>
        <w:ind w:left="840" w:hanging="396"/>
        <w:spacing w:after="0"/>
        <w:tabs>
          <w:tab w:leader="none" w:pos="8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117" w:lineRule="exact"/>
        <w:rPr>
          <w:rFonts w:ascii="Arial" w:cs="Arial" w:eastAsia="Arial" w:hAnsi="Arial"/>
          <w:sz w:val="18"/>
          <w:szCs w:val="18"/>
          <w:color w:val="auto"/>
        </w:rPr>
      </w:pPr>
    </w:p>
    <w:p>
      <w:pPr>
        <w:ind w:left="840" w:hanging="396"/>
        <w:spacing w:after="0"/>
        <w:tabs>
          <w:tab w:leader="none" w:pos="8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applicable, the conversion price then in effect and the date on which the right to convert such Securities will expire.</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 and shall be irrevocable. If any Security called for redemption is converted pursuant hereto, any money deposited with the Trustee or any Paying Agent or so segregated and held in trust for the redemption of such Security shall be paid to the Company upon delivery of a Company Request to the Trustee or such Paying Agent, or, if then held by the Company, shall be discharged from such trust.</w:t>
      </w:r>
    </w:p>
    <w:p>
      <w:pPr>
        <w:spacing w:after="0" w:line="188"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11.5.</w:t>
      </w:r>
      <w:r>
        <w:rPr>
          <w:sz w:val="20"/>
          <w:szCs w:val="20"/>
          <w:color w:val="auto"/>
        </w:rPr>
        <w:tab/>
      </w:r>
      <w:r>
        <w:rPr>
          <w:rFonts w:ascii="Arial" w:cs="Arial" w:eastAsia="Arial" w:hAnsi="Arial"/>
          <w:sz w:val="16"/>
          <w:szCs w:val="16"/>
          <w:u w:val="single" w:color="auto"/>
          <w:color w:val="auto"/>
        </w:rPr>
        <w:t>Deposit of Redemption Price</w:t>
      </w:r>
      <w:r>
        <w:rPr>
          <w:rFonts w:ascii="Arial" w:cs="Arial" w:eastAsia="Arial" w:hAnsi="Arial"/>
          <w:sz w:val="16"/>
          <w:szCs w:val="16"/>
          <w:color w:val="auto"/>
        </w:rPr>
        <w:t>.</w:t>
      </w:r>
    </w:p>
    <w:p>
      <w:pPr>
        <w:spacing w:after="0" w:line="22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Prior to 11:00 A.M., New York City time, on any Redemption Date, the Company shall deposit with the Trustee or with a Paying Agent (or, if the Company is acting as its own Paying Agent, segregate and hold in trust as provided in Section 10.3) an amount of money sufficient to pay the Redemption Price of, and (except if the Redemption Date shall be an Interest Payment Date) accrued interest on, all the Securities which are to be redeemed on that date.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0"/>
          </w:cols>
          <w:pgMar w:left="440" w:top="274" w:right="479" w:bottom="1440" w:gutter="0" w:footer="0" w:header="0"/>
        </w:sectPr>
      </w:pPr>
    </w:p>
    <w:bookmarkStart w:id="179" w:name="page180"/>
    <w:bookmarkEnd w:id="179"/>
    <w:p>
      <w:pPr>
        <w:ind w:left="440"/>
        <w:spacing w:after="0"/>
        <w:tabs>
          <w:tab w:leader="none" w:pos="1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11.6.</w:t>
      </w:r>
      <w:r>
        <w:rPr>
          <w:sz w:val="20"/>
          <w:szCs w:val="20"/>
          <w:color w:val="auto"/>
        </w:rPr>
        <w:tab/>
      </w:r>
      <w:r>
        <w:rPr>
          <w:rFonts w:ascii="Arial" w:cs="Arial" w:eastAsia="Arial" w:hAnsi="Arial"/>
          <w:sz w:val="16"/>
          <w:szCs w:val="16"/>
          <w:u w:val="single" w:color="auto"/>
          <w:color w:val="auto"/>
        </w:rPr>
        <w:t>Securities Payable on Redemption Date</w:t>
      </w:r>
      <w:r>
        <w:rPr>
          <w:rFonts w:ascii="Arial" w:cs="Arial" w:eastAsia="Arial" w:hAnsi="Arial"/>
          <w:sz w:val="16"/>
          <w:szCs w:val="16"/>
          <w:color w:val="auto"/>
        </w:rPr>
        <w:t>.</w:t>
      </w:r>
    </w:p>
    <w:p>
      <w:pPr>
        <w:spacing w:after="0" w:line="225"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unless otherwise specified as contemplated by Section 3.1,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3.7.</w:t>
      </w:r>
    </w:p>
    <w:p>
      <w:pPr>
        <w:spacing w:after="0" w:line="178"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70"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11.7.</w:t>
      </w:r>
      <w:r>
        <w:rPr>
          <w:sz w:val="20"/>
          <w:szCs w:val="20"/>
          <w:color w:val="auto"/>
        </w:rPr>
        <w:tab/>
      </w:r>
      <w:r>
        <w:rPr>
          <w:rFonts w:ascii="Arial" w:cs="Arial" w:eastAsia="Arial" w:hAnsi="Arial"/>
          <w:sz w:val="15"/>
          <w:szCs w:val="15"/>
          <w:u w:val="single" w:color="auto"/>
          <w:color w:val="auto"/>
        </w:rPr>
        <w:t>Securities Redeemed in Part</w:t>
      </w:r>
      <w:r>
        <w:rPr>
          <w:rFonts w:ascii="Arial" w:cs="Arial" w:eastAsia="Arial" w:hAnsi="Arial"/>
          <w:sz w:val="15"/>
          <w:szCs w:val="15"/>
          <w:color w:val="auto"/>
        </w:rPr>
        <w:t>.</w:t>
      </w:r>
    </w:p>
    <w:p>
      <w:pPr>
        <w:spacing w:after="0" w:line="22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if applicable, the Subsidiary Guarantors shall execute the notations of Subsidiary Guarantees endorsed thereon,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SUBORDINATION OF SECURITIES</w:t>
      </w:r>
    </w:p>
    <w:p>
      <w:pPr>
        <w:spacing w:after="0" w:line="229"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12.1.</w:t>
      </w:r>
      <w:r>
        <w:rPr>
          <w:sz w:val="20"/>
          <w:szCs w:val="20"/>
          <w:color w:val="auto"/>
        </w:rPr>
        <w:tab/>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w:t>
      </w:r>
    </w:p>
    <w:p>
      <w:pPr>
        <w:spacing w:after="0" w:line="225" w:lineRule="exact"/>
        <w:rPr>
          <w:sz w:val="20"/>
          <w:szCs w:val="20"/>
          <w:color w:val="auto"/>
        </w:rPr>
      </w:pPr>
    </w:p>
    <w:p>
      <w:pPr>
        <w:ind w:right="840" w:firstLine="441"/>
        <w:spacing w:after="0" w:line="342" w:lineRule="auto"/>
        <w:rPr>
          <w:sz w:val="20"/>
          <w:szCs w:val="20"/>
          <w:color w:val="auto"/>
        </w:rPr>
      </w:pPr>
      <w:r>
        <w:rPr>
          <w:rFonts w:ascii="Arial" w:cs="Arial" w:eastAsia="Arial" w:hAnsi="Arial"/>
          <w:sz w:val="16"/>
          <w:szCs w:val="16"/>
          <w:color w:val="auto"/>
        </w:rPr>
        <w:t>Unless otherwise provided with respect to the Securities of any series in or pursuant to the Board Resolution or supplemental indenture establishing such series of Securities pursuant to Section 3.1, the provisions of this Article shall be applicable to each series of Securities.</w:t>
      </w:r>
    </w:p>
    <w:p>
      <w:pPr>
        <w:spacing w:after="0" w:line="124"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12.2.</w:t>
      </w:r>
      <w:r>
        <w:rPr>
          <w:sz w:val="20"/>
          <w:szCs w:val="20"/>
          <w:color w:val="auto"/>
        </w:rPr>
        <w:tab/>
      </w:r>
      <w:r>
        <w:rPr>
          <w:rFonts w:ascii="Arial" w:cs="Arial" w:eastAsia="Arial" w:hAnsi="Arial"/>
          <w:sz w:val="16"/>
          <w:szCs w:val="16"/>
          <w:u w:val="single" w:color="auto"/>
          <w:color w:val="auto"/>
        </w:rPr>
        <w:t>Securities Subordinate to Senior Debt</w:t>
      </w:r>
      <w:r>
        <w:rPr>
          <w:rFonts w:ascii="Arial" w:cs="Arial" w:eastAsia="Arial" w:hAnsi="Arial"/>
          <w:sz w:val="16"/>
          <w:szCs w:val="16"/>
          <w:color w:val="auto"/>
        </w:rPr>
        <w:t>.</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The Company covenants and agrees, and each Holder of a Security, by his acceptance thereof, likewise covenants and agrees, that, to the extent and in the manner hereinafter set forth in this Article (subject to the provisions of Article IV and Article XVI), the payment of the principal of (and premium, if any) and interest on each and all of the Securities of such series is hereby expressly made subordinate and subject in right of payment to the prior payment in full of all Senior Debt of the Company.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4" w:right="439" w:bottom="1440" w:gutter="0" w:footer="0" w:header="0"/>
        </w:sectPr>
      </w:pPr>
    </w:p>
    <w:bookmarkStart w:id="180" w:name="page181"/>
    <w:bookmarkEnd w:id="18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provisions of this Article XII shall prevent the occurrence of any Event of Default.</w:t>
      </w:r>
    </w:p>
    <w:p>
      <w:pPr>
        <w:spacing w:after="0" w:line="225"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12.3.</w:t>
      </w:r>
      <w:r>
        <w:rPr>
          <w:sz w:val="20"/>
          <w:szCs w:val="20"/>
          <w:color w:val="auto"/>
        </w:rPr>
        <w:tab/>
      </w:r>
      <w:r>
        <w:rPr>
          <w:rFonts w:ascii="Arial" w:cs="Arial" w:eastAsia="Arial" w:hAnsi="Arial"/>
          <w:sz w:val="16"/>
          <w:szCs w:val="16"/>
          <w:u w:val="single" w:color="auto"/>
          <w:color w:val="auto"/>
        </w:rPr>
        <w:t>Payment Over of Proceeds Upon Dissolution, Etc</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In the event of (a) any insolvency or bankruptcy case or proceeding, or any receivership, liquidation, reorganization or other similar case or proceeding in connection 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marshalling of assets and liabilities of the Company, then and in any such event specified in (a), (b) or (c) above (each such event, if any, herein sometimes referred to as a “Proceeding”) the holders of Senior Debt of the Company shall be entitled to receive payment in full of all amounts due or to become due on or in respect of all Senior Debt of the Company, or provision shall be made for such payment in cash or cash equivalents or otherwise in a manner satisfactory to the holders of Senior Debt of the Company, before the Holders of the Securities are entitled to receive any payment or distribution of any kind or character, whether in cash, property or securities (including any payment or distribution which may be payable or deliverable by reason of the payment of any other indebtedness of the Company subordinated to the payment of the Securities, such payment or distribution being hereinafter referred to as a “Junior Subordinated Payment”), on account of principal of (or premium, if any) or interest on the Securities or on account of any purchase or other acquisition of Securities by the Company or any Subsidiary of the Company (all such payments, distributions, purchases and acquisitions, other than the payment or distribution of stock or securities of the Company referred to in the second succeeding paragraph, herein referred to, individually and collectively, as a “Securities Payment”), and to that end the holders of Senior Debt of the Company shall be entitled to receive, for application to the payment thereof, any Securities Payment which may be payable or deliverable in respect of the Securities in any such Proceeding.</w:t>
      </w:r>
    </w:p>
    <w:p>
      <w:pPr>
        <w:spacing w:after="0" w:line="183"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In the event that, notwithstanding the foregoing provisions of this Section, the Trustee or the Holder of any Security shall have received any Securities Payment before all Senior Debt of the Company is paid in full or payment thereof provided for in cash or cash equivalents or otherwise in a manner satisfactory to the holders of Senior Debt of the Company, and if such fact shall, at or prior to the time of such Securities Payment, have been made known to the Trustee or, as the case may be, such Holder, then and in such event such Securities Payment shall be paid over or delivered forthwith to the trustee in bankruptcy, receiver, liquidating trustee, custodian, assignee, agent or other Person making payment or distribution of assets of the Company for application to the payment of all Senior Debt of the Company remaining unpaid, to the extent necessary to pay all Senior Debt of the Company in full, after giving effect to any concurrent payment or distribution to or for the holders of Senior Debt of the Company.</w:t>
      </w:r>
    </w:p>
    <w:p>
      <w:pPr>
        <w:spacing w:after="0" w:line="167"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For purposes of this Article only, the words “any payment or distribution of any kind or character, whether in cash, property or securities” shall not be deemed to include a payment or distribution of stock or securities of the Company provided for by a plan of reorganization or readjustment authorized by an order or decree of a court of competent jurisdiction in a reorganization proceeding under any applicable bankruptcy law or of any other corporation provided for by such plan of reorganization or readjustment which stock or securities are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181" w:name="page182"/>
    <w:bookmarkEnd w:id="181"/>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subordinated in right of payment to all then outstanding Senior Debt of the Company to substantially the same extent as the Securities are so subordinated as provided in this Article. The consolidation of the Company with, or the merger of the Company into, another Person or the liquidation or dissolution of the Company following the conveyance or other disposition of all or substantially all of its assets to another Person upon the terms and conditions set forth in Article VIII shall not be deemed a Proceeding for the purposes of this Section if the Person formed by such consolidation or into which the Company is merged or the Person which acquires by conveyance or other disposition such assets, as the case may be, shall, as a part of such consolidation, merger, conveyance or transfer, comply with the conditions set forth in Article VIII.</w:t>
      </w:r>
    </w:p>
    <w:p>
      <w:pPr>
        <w:spacing w:after="0" w:line="178"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12.4.</w:t>
      </w:r>
      <w:r>
        <w:rPr>
          <w:sz w:val="20"/>
          <w:szCs w:val="20"/>
          <w:color w:val="auto"/>
        </w:rPr>
        <w:tab/>
      </w:r>
      <w:r>
        <w:rPr>
          <w:rFonts w:ascii="Arial" w:cs="Arial" w:eastAsia="Arial" w:hAnsi="Arial"/>
          <w:sz w:val="16"/>
          <w:szCs w:val="16"/>
          <w:u w:val="single" w:color="auto"/>
          <w:color w:val="auto"/>
        </w:rPr>
        <w:t>No Payment When Senior Debt of the Company in Default</w:t>
      </w:r>
      <w:r>
        <w:rPr>
          <w:rFonts w:ascii="Arial" w:cs="Arial" w:eastAsia="Arial" w:hAnsi="Arial"/>
          <w:sz w:val="16"/>
          <w:szCs w:val="16"/>
          <w:color w:val="auto"/>
        </w:rPr>
        <w:t>.</w:t>
      </w:r>
    </w:p>
    <w:p>
      <w:pPr>
        <w:spacing w:after="0" w:line="225"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In the event that any Senior Payment Default (as defined below) shall have occurred and be continuing, then no Securities Payment shall be made unless and until such Senior Payment Default shall have been cured or waived or shall have ceased to exist or all amounts then due and payable in respect of Senior Debt of the Company shall have been paid in full, or provision shall have been made for such payment in cash or cash equivalents or otherwise in a manner satisfactory to the holders of Senior Debt of the Company; provided, however, that nothing in this Section shall prevent the satisfaction of any sinking fund payment in accordance with Article XVI by delivering and crediting pursuant to Section 16.2 Securities which have been acquired (upon redemption or otherwise) prior to such Senior Payment Default.</w:t>
      </w:r>
    </w:p>
    <w:p>
      <w:pPr>
        <w:spacing w:after="0" w:line="178" w:lineRule="exact"/>
        <w:rPr>
          <w:sz w:val="20"/>
          <w:szCs w:val="20"/>
          <w:color w:val="auto"/>
        </w:rPr>
      </w:pPr>
    </w:p>
    <w:p>
      <w:pPr>
        <w:ind w:right="200" w:firstLine="441"/>
        <w:spacing w:after="0" w:line="308" w:lineRule="auto"/>
        <w:rPr>
          <w:sz w:val="20"/>
          <w:szCs w:val="20"/>
          <w:color w:val="auto"/>
        </w:rPr>
      </w:pPr>
      <w:r>
        <w:rPr>
          <w:rFonts w:ascii="Arial" w:cs="Arial" w:eastAsia="Arial" w:hAnsi="Arial"/>
          <w:sz w:val="17"/>
          <w:szCs w:val="17"/>
          <w:color w:val="auto"/>
        </w:rPr>
        <w:t>“Senior Payment Default” means any default in the payment of principal of (or premium, if any) or interest on any Senior Debt of the Company when due, whether at the Stated Maturity of any such payment or by declaration of acceleration, call for redemption or otherwise.</w:t>
      </w:r>
    </w:p>
    <w:p>
      <w:pPr>
        <w:spacing w:after="0" w:line="14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In the event that any Senior Nonmonetary Default (as defined below) shall have occurred and be continuing, then, upon the receipt by the Company, the Subsidiary Guarantors and the Trustee of written notice of such Senior Nonmonetary Default from the agent for the Designated Senior Debt which is the subject of such Senior Nonmonetary Default, no Securities Payment shall be made during the period (the “Payment Blockage Period”) commencing on the date of such receipt of such written notice and ending on the earlier of (i) the date on which such Senior Nonmonetary Default shall have been cured or waived or shall have ceased to exist or all Designated Senior Debt the subject of such Senior Nonmonetary Default shall have been discharged; (ii) the 179th day after the date of such receipt of such written notice; or (iii) the date on which the Payment Blockage Period shall have been terminated by written notice to the Company, any Subsidiary Guarantor or the Trustee from the agent for the Designated Senior Debt initiating the Payment Blockage Period; provided, however, that nothing in this Section shall prevent the satisfaction of any sinking fund payment in accordance with Article XVI by delivering and crediting pursuant to Section 16.2 Securities which have been acquired (upon redemption or otherwise) prior to the date of such receipt of such written notice. No more than one Payment Blockage Period may be commenced with respect to the Securities of a particular series during any 360-day period and there shall be a period of at least 181 consecutive days in each 360-day period when no Payment Blockage Period is in effect.</w:t>
      </w:r>
    </w:p>
    <w:p>
      <w:pPr>
        <w:spacing w:after="0" w:line="180"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For all purposes of this paragraph, no Senior Nonmonetary Default that existed or was continuing on the date of commencement of any Payment Blockage Period shall be, or be made,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182" w:name="page183"/>
    <w:bookmarkEnd w:id="182"/>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basis for the commencement of a subsequent Payment Blockage Period, whether or not within a period of 360 consecutive days, unless such Senior Nonmonetary Default shall have been cured for a period of not less than 90 consecutive days.</w:t>
      </w:r>
    </w:p>
    <w:p>
      <w:pPr>
        <w:spacing w:after="0" w:line="170"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“Senior Nonmonetary Default” means the occurrence or existence and continuance of any event of default with respect to any Designated Senior Debt, other than a Senior Payment Default, permitting the holders of such Designated Senior Debt (or a trustee or agent on behalf of the holders thereof) to declare such Designated Senior Debt due and payable prior to the date on which it would otherwise become due and payable.</w:t>
      </w:r>
    </w:p>
    <w:p>
      <w:pPr>
        <w:spacing w:after="0" w:line="166"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In the event that, notwithstanding the foregoing, the Company shall make any Securities Payment to the Trustee or any Holder prohibited by the foregoing provisions of this Section, and if such fact shall, at or prior to the time of such Securities Payment, have been made known to the Trustee or, as the case may be, such Holder, then and in such event such Securities Payment shall be paid over and delivered forthwith to the Company.</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provisions of this Section shall not apply to any Securities Payment with respect to which Section 12.3 would be applicable.</w:t>
      </w:r>
    </w:p>
    <w:p>
      <w:pPr>
        <w:spacing w:after="0" w:line="225"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12.5.</w:t>
      </w:r>
      <w:r>
        <w:rPr>
          <w:sz w:val="20"/>
          <w:szCs w:val="20"/>
          <w:color w:val="auto"/>
        </w:rPr>
        <w:tab/>
      </w:r>
      <w:r>
        <w:rPr>
          <w:rFonts w:ascii="Arial" w:cs="Arial" w:eastAsia="Arial" w:hAnsi="Arial"/>
          <w:sz w:val="16"/>
          <w:szCs w:val="16"/>
          <w:u w:val="single" w:color="auto"/>
          <w:color w:val="auto"/>
        </w:rPr>
        <w:t>Payment Permitted If No Default</w:t>
      </w:r>
      <w:r>
        <w:rPr>
          <w:rFonts w:ascii="Arial" w:cs="Arial" w:eastAsia="Arial" w:hAnsi="Arial"/>
          <w:sz w:val="16"/>
          <w:szCs w:val="16"/>
          <w:color w:val="auto"/>
        </w:rPr>
        <w:t>.</w:t>
      </w:r>
    </w:p>
    <w:p>
      <w:pPr>
        <w:spacing w:after="0" w:line="225"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Nothing contained in this Article or elsewhere in this Indenture or in any of the Securities shall prevent (a) the Company, at any time except during the pendency of any Proceeding referred to in Section 12.3 or under the conditions described in Section 12.4, from making Securities Payments, or (b) the application by the Trustee of any money deposited with it hereunder to Securities Payments or the retention of such Securities Payment by the Holders, if, at the time of such application by the Trustee, it did not have knowledge that such Securities Payment would have been prohibited by the provisions of this Article.</w:t>
      </w:r>
    </w:p>
    <w:p>
      <w:pPr>
        <w:spacing w:after="0" w:line="188"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12.6.</w:t>
      </w:r>
      <w:r>
        <w:rPr>
          <w:sz w:val="20"/>
          <w:szCs w:val="20"/>
          <w:color w:val="auto"/>
        </w:rPr>
        <w:tab/>
      </w:r>
      <w:r>
        <w:rPr>
          <w:rFonts w:ascii="Arial" w:cs="Arial" w:eastAsia="Arial" w:hAnsi="Arial"/>
          <w:sz w:val="16"/>
          <w:szCs w:val="16"/>
          <w:u w:val="single" w:color="auto"/>
          <w:color w:val="auto"/>
        </w:rPr>
        <w:t>Subrogation to Rights of Holders of Senior Debt of the Company</w:t>
      </w:r>
      <w:r>
        <w:rPr>
          <w:rFonts w:ascii="Arial" w:cs="Arial" w:eastAsia="Arial" w:hAnsi="Arial"/>
          <w:sz w:val="16"/>
          <w:szCs w:val="16"/>
          <w:color w:val="auto"/>
        </w:rPr>
        <w:t>.</w:t>
      </w:r>
    </w:p>
    <w:p>
      <w:pPr>
        <w:spacing w:after="0" w:line="225" w:lineRule="exact"/>
        <w:rPr>
          <w:sz w:val="20"/>
          <w:szCs w:val="20"/>
          <w:color w:val="auto"/>
        </w:rPr>
      </w:pPr>
    </w:p>
    <w:p>
      <w:pPr>
        <w:ind w:right="200" w:firstLine="441"/>
        <w:spacing w:after="0" w:line="270" w:lineRule="auto"/>
        <w:rPr>
          <w:sz w:val="20"/>
          <w:szCs w:val="20"/>
          <w:color w:val="auto"/>
        </w:rPr>
      </w:pPr>
      <w:r>
        <w:rPr>
          <w:rFonts w:ascii="Arial" w:cs="Arial" w:eastAsia="Arial" w:hAnsi="Arial"/>
          <w:sz w:val="17"/>
          <w:szCs w:val="17"/>
          <w:color w:val="auto"/>
        </w:rPr>
        <w:t>Subject to the payment in full of all amounts due or to become due on or in respect of Senior Debt of the Company, or the provision for such payment in cash or cash equivalents or otherwise in a manner satisfactory to the holders of Senior Debt of the Company, the Holders of the Securities shall be subrogated to the rights of the holders of such Senior Debt of the Company to receive payments and distributions of cash, property and securities applicable to the Senior Debt of the Company until the principal of (and premium, if any) and interest on the Securities shall be paid in full. For purposes of such subrogation, no payments or distributions to the holders of the Senior Debt of the Company of any cash, property or securities to which the Holders of the Securities or the Trustee would be entitled except for the provisions of this Article, and no payments over pursuant to the provisions of this Article to the holders of Senior Debt of the Company by Holders of the Securities or the Trustee, shall, as among the Company, its creditors other than holders of Senior Debt of the Company and the Holders of the Securities, be deemed to be a payment or distribution by the Company to or on account of the Senior Debt of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0"/>
          </w:cols>
          <w:pgMar w:left="440" w:top="274" w:right="439" w:bottom="1440" w:gutter="0" w:footer="0" w:header="0"/>
        </w:sectPr>
      </w:pPr>
    </w:p>
    <w:bookmarkStart w:id="183" w:name="page184"/>
    <w:bookmarkEnd w:id="183"/>
    <w:p>
      <w:pPr>
        <w:ind w:left="440"/>
        <w:spacing w:after="0"/>
        <w:tabs>
          <w:tab w:leader="none" w:pos="1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12.7.</w:t>
      </w:r>
      <w:r>
        <w:rPr>
          <w:sz w:val="20"/>
          <w:szCs w:val="20"/>
          <w:color w:val="auto"/>
        </w:rPr>
        <w:tab/>
      </w:r>
      <w:r>
        <w:rPr>
          <w:rFonts w:ascii="Arial" w:cs="Arial" w:eastAsia="Arial" w:hAnsi="Arial"/>
          <w:sz w:val="16"/>
          <w:szCs w:val="16"/>
          <w:u w:val="single" w:color="auto"/>
          <w:color w:val="auto"/>
        </w:rPr>
        <w:t>Provisions Solely to Define Relative Rights</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provisions of this Article are and are intended solely for the purpose of defining the relative rights of the Holders on the one hand and the holders of Senior Debt of the Company on the other hand. Nothing contained in this Article or elsewhere in this Indenture or in the Securities is intended to or shall (a) impair, as among the Company, its creditors other than holders of Senior Debt of the Company and the Holders of the Securities, the obligation of the Company, which is absolute and unconditional (and which, subject to the rights under this Article of the holders of Senior Debt of the Company, is intended to rank equally with all other general obligations of the Company), to pay to the Holders of the Securities the principal of (and premium, if any) and interest on the Securities as and when the same shall become due and payable in accordance with their terms; or (b) affect the relative rights against the Company of the Holders of the Securities and creditors of the Company other than the holders of Senior Debt of the Company; or (c) prevent the Trustee or the Holder of any Security from exercising all remedies otherwise permitted by applicable law upon default under this Indenture, subject to the rights, if any, under this Article of the holders of Senior Debt of the Company to receive cash, property and securities otherwise payable or deliverable to the Trustee or such Holder.</w:t>
      </w:r>
    </w:p>
    <w:p>
      <w:pPr>
        <w:spacing w:after="0" w:line="178"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12.8.</w:t>
      </w:r>
      <w:r>
        <w:rPr>
          <w:sz w:val="20"/>
          <w:szCs w:val="20"/>
          <w:color w:val="auto"/>
        </w:rPr>
        <w:tab/>
      </w:r>
      <w:r>
        <w:rPr>
          <w:rFonts w:ascii="Arial" w:cs="Arial" w:eastAsia="Arial" w:hAnsi="Arial"/>
          <w:sz w:val="16"/>
          <w:szCs w:val="16"/>
          <w:u w:val="single" w:color="auto"/>
          <w:color w:val="auto"/>
        </w:rPr>
        <w:t>Trustee to Effectuate Subordination</w:t>
      </w:r>
      <w:r>
        <w:rPr>
          <w:rFonts w:ascii="Arial" w:cs="Arial" w:eastAsia="Arial" w:hAnsi="Arial"/>
          <w:sz w:val="16"/>
          <w:szCs w:val="16"/>
          <w:color w:val="auto"/>
        </w:rPr>
        <w:t>.</w:t>
      </w:r>
    </w:p>
    <w:p>
      <w:pPr>
        <w:spacing w:after="0" w:line="225" w:lineRule="exact"/>
        <w:rPr>
          <w:sz w:val="20"/>
          <w:szCs w:val="20"/>
          <w:color w:val="auto"/>
        </w:rPr>
      </w:pPr>
    </w:p>
    <w:p>
      <w:pPr>
        <w:ind w:right="320" w:firstLine="441"/>
        <w:spacing w:after="0" w:line="342" w:lineRule="auto"/>
        <w:rPr>
          <w:sz w:val="20"/>
          <w:szCs w:val="20"/>
          <w:color w:val="auto"/>
        </w:rPr>
      </w:pPr>
      <w:r>
        <w:rPr>
          <w:rFonts w:ascii="Arial" w:cs="Arial" w:eastAsia="Arial" w:hAnsi="Arial"/>
          <w:sz w:val="16"/>
          <w:szCs w:val="16"/>
          <w:color w:val="auto"/>
        </w:rPr>
        <w:t>Each Holder of a Security by his acceptance thereof authorizes and directs the Trustee on his behalf to take such action as may be necessary or appropriate to effectuate the subordination provided in this Article and appoints the Trustee his attorney-in-fact for any and all such purposes.</w:t>
      </w:r>
    </w:p>
    <w:p>
      <w:pPr>
        <w:spacing w:after="0" w:line="124"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12.9.</w:t>
      </w:r>
      <w:r>
        <w:rPr>
          <w:sz w:val="20"/>
          <w:szCs w:val="20"/>
          <w:color w:val="auto"/>
        </w:rPr>
        <w:tab/>
      </w:r>
      <w:r>
        <w:rPr>
          <w:rFonts w:ascii="Arial" w:cs="Arial" w:eastAsia="Arial" w:hAnsi="Arial"/>
          <w:sz w:val="16"/>
          <w:szCs w:val="16"/>
          <w:u w:val="single" w:color="auto"/>
          <w:color w:val="auto"/>
        </w:rPr>
        <w:t>No Waiver of Subordination Provisions</w:t>
      </w:r>
      <w:r>
        <w:rPr>
          <w:rFonts w:ascii="Arial" w:cs="Arial" w:eastAsia="Arial" w:hAnsi="Arial"/>
          <w:sz w:val="16"/>
          <w:szCs w:val="16"/>
          <w:color w:val="auto"/>
        </w:rPr>
        <w:t>.</w:t>
      </w:r>
    </w:p>
    <w:p>
      <w:pPr>
        <w:spacing w:after="0" w:line="22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No right of any present or future holder of any Senior Debt of the Company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any such holder may have or be otherwise charged with.</w:t>
      </w:r>
    </w:p>
    <w:p>
      <w:pPr>
        <w:spacing w:after="0" w:line="187"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color w:val="auto"/>
        </w:rPr>
        <w:t>Without in any way limiting the generality of the foregoing paragraph, the holders of Senior Debt of the Company may, at any time and from time to time, without the consent of or notice to the Trustee or the Holders of the Securities, without incurring responsibility to the Holders of the Securities and without impairing or releasing the subordination provided in this Article or the obligations hereunder of the Holders of the Securities to the holders of Senior Debt of the Company, do any one or more of the following: (i) change the manner, place or terms of payment or extend the time of payment of, or renew or alter, Senior Debt of the Company, or otherwise amend or supplement in any manner Senior Debt of the Company or any instrument evidencing the same or any agreement under which Senior Debt of the Company is outstanding; (ii) sell, exchange, release or otherwise deal with any property pledged, mortgaged or otherwise securing Senior Debt of the Company; (iii) release any Person liable in any manner for the collection of Senior Debt of the Company; and (iv) exercise or refrain from exercising any rights against the Company and any other Person.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0"/>
          </w:cols>
          <w:pgMar w:left="440" w:top="274" w:right="439" w:bottom="1440" w:gutter="0" w:footer="0" w:header="0"/>
        </w:sectPr>
      </w:pPr>
    </w:p>
    <w:bookmarkStart w:id="184" w:name="page185"/>
    <w:bookmarkEnd w:id="184"/>
    <w:p>
      <w:pPr>
        <w:ind w:left="440"/>
        <w:spacing w:after="0"/>
        <w:tabs>
          <w:tab w:leader="none" w:pos="1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12.10.</w:t>
      </w:r>
      <w:r>
        <w:rPr>
          <w:sz w:val="20"/>
          <w:szCs w:val="20"/>
          <w:color w:val="auto"/>
        </w:rPr>
        <w:tab/>
      </w:r>
      <w:r>
        <w:rPr>
          <w:rFonts w:ascii="Arial" w:cs="Arial" w:eastAsia="Arial" w:hAnsi="Arial"/>
          <w:sz w:val="16"/>
          <w:szCs w:val="16"/>
          <w:u w:val="single" w:color="auto"/>
          <w:color w:val="auto"/>
        </w:rPr>
        <w:t>Notice to Trustee</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The Company shall give prompt written notice to the Trustee of any fact known to the Company which would prohibit the making of any payment to or by the Trustee in respect of the Securities. Notwithstanding the provisions of this Article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Debt of the Company or from any trustee therefor; and, prior to the receipt of any such written notice, the Trustee, subject to the provisions of Section 6.1, shall be entitled in all respects to assume that no such facts exist; provided, however, that if the Trustee shall not have received the notice provided for in this Section at least three Business Days prior to the date upon which by the terms hereof any money may become payable for any purpose (including, without limitation, the payment of the principal of (and premium, if any) or interest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three Business Days prior to such date.</w:t>
      </w:r>
    </w:p>
    <w:p>
      <w:pPr>
        <w:spacing w:after="0" w:line="169"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Subject to the provisions of Section 6.1, the Trustee shall be entitled to rely on the delivery to it of a written notice by a Person representing himself to be a holder of Senior Debt of the Company (or a trustee therefor) to establish that such notice has been given by a holder of Senior Debt of the Company (or a trustee therefor). In the event that the Trustee determines in good faith that further evidence is required with respect to the right of any Person as a holder of Senior Debt of the Company to participate in any payment or distribution pursuant to this Article, the Trustee may request such Person to furnish evidence to the reasonable satisfaction of the Trustee as to the amount of Senior Debt of the Company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w:t>
      </w:r>
    </w:p>
    <w:p>
      <w:pPr>
        <w:spacing w:after="0" w:line="179" w:lineRule="exact"/>
        <w:rPr>
          <w:sz w:val="20"/>
          <w:szCs w:val="20"/>
          <w:color w:val="auto"/>
        </w:rPr>
      </w:pPr>
    </w:p>
    <w:p>
      <w:pPr>
        <w:ind w:left="440"/>
        <w:spacing w:after="0"/>
        <w:tabs>
          <w:tab w:leader="none" w:pos="1640" w:val="left"/>
        </w:tabs>
        <w:rPr>
          <w:sz w:val="20"/>
          <w:szCs w:val="20"/>
          <w:color w:val="auto"/>
        </w:rPr>
      </w:pPr>
      <w:r>
        <w:rPr>
          <w:rFonts w:ascii="Arial" w:cs="Arial" w:eastAsia="Arial" w:hAnsi="Arial"/>
          <w:sz w:val="18"/>
          <w:szCs w:val="18"/>
          <w:color w:val="auto"/>
        </w:rPr>
        <w:t>Section 12.11.</w:t>
      </w:r>
      <w:r>
        <w:rPr>
          <w:sz w:val="20"/>
          <w:szCs w:val="20"/>
          <w:color w:val="auto"/>
        </w:rPr>
        <w:tab/>
      </w:r>
      <w:r>
        <w:rPr>
          <w:rFonts w:ascii="Arial" w:cs="Arial" w:eastAsia="Arial" w:hAnsi="Arial"/>
          <w:sz w:val="16"/>
          <w:szCs w:val="16"/>
          <w:u w:val="single" w:color="auto"/>
          <w:color w:val="auto"/>
        </w:rPr>
        <w:t>Reliance on Judicial Order or Certificate of Liquidating Agent</w:t>
      </w:r>
      <w:r>
        <w:rPr>
          <w:rFonts w:ascii="Arial" w:cs="Arial" w:eastAsia="Arial" w:hAnsi="Arial"/>
          <w:sz w:val="16"/>
          <w:szCs w:val="16"/>
          <w:color w:val="auto"/>
        </w:rPr>
        <w:t>.</w:t>
      </w:r>
    </w:p>
    <w:p>
      <w:pPr>
        <w:spacing w:after="0" w:line="225"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Upon any payment or distribution of assets of the Company referred to in this Article, the Trustee, subject to the provisions of Section 6.1, and the Holders of the Securities shall be entitled to rely upon any order or decree entered by any court of competent jurisdiction in which such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Debt of the Company and other indebtedness of the Company, the amount thereof or payable thereon, the amount or amounts paid or distributed thereon and all other facts pertinent thereto or to this Article.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185" w:name="page186"/>
    <w:bookmarkEnd w:id="185"/>
    <w:p>
      <w:pPr>
        <w:ind w:left="440"/>
        <w:spacing w:after="0"/>
        <w:tabs>
          <w:tab w:leader="none" w:pos="1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12.12.</w:t>
      </w:r>
      <w:r>
        <w:rPr>
          <w:sz w:val="20"/>
          <w:szCs w:val="20"/>
          <w:color w:val="auto"/>
        </w:rPr>
        <w:tab/>
      </w:r>
      <w:r>
        <w:rPr>
          <w:rFonts w:ascii="Arial" w:cs="Arial" w:eastAsia="Arial" w:hAnsi="Arial"/>
          <w:sz w:val="16"/>
          <w:szCs w:val="16"/>
          <w:u w:val="single" w:color="auto"/>
          <w:color w:val="auto"/>
        </w:rPr>
        <w:t>Trustee Not Fiduciary for Holders of Senior Debt of the Company</w:t>
      </w:r>
      <w:r>
        <w:rPr>
          <w:rFonts w:ascii="Arial" w:cs="Arial" w:eastAsia="Arial" w:hAnsi="Arial"/>
          <w:sz w:val="16"/>
          <w:szCs w:val="16"/>
          <w:color w:val="auto"/>
        </w:rPr>
        <w:t>.</w:t>
      </w:r>
    </w:p>
    <w:p>
      <w:pPr>
        <w:spacing w:after="0" w:line="225" w:lineRule="exact"/>
        <w:rPr>
          <w:sz w:val="20"/>
          <w:szCs w:val="20"/>
          <w:color w:val="auto"/>
        </w:rPr>
      </w:pPr>
    </w:p>
    <w:p>
      <w:pPr>
        <w:ind w:right="400" w:firstLine="441"/>
        <w:spacing w:after="0" w:line="312" w:lineRule="auto"/>
        <w:rPr>
          <w:sz w:val="20"/>
          <w:szCs w:val="20"/>
          <w:color w:val="auto"/>
        </w:rPr>
      </w:pPr>
      <w:r>
        <w:rPr>
          <w:rFonts w:ascii="Arial" w:cs="Arial" w:eastAsia="Arial" w:hAnsi="Arial"/>
          <w:sz w:val="16"/>
          <w:szCs w:val="16"/>
          <w:color w:val="auto"/>
        </w:rPr>
        <w:t>The Trustee shall not be deemed to owe any fiduciary duty to the holders of Senior Debt of the Company and shall not be liable to any such holders if it shall in good faith mistakenly pay over or distribute to Holders of Securities or to the Company, a Subsidiary Guarantor or to any other Person cash, property or securities to which any holders of Senior Debt of the Company shall be entitled by virtue of this Article or otherwise.</w:t>
      </w:r>
    </w:p>
    <w:p>
      <w:pPr>
        <w:spacing w:after="0" w:line="147" w:lineRule="exact"/>
        <w:rPr>
          <w:sz w:val="20"/>
          <w:szCs w:val="20"/>
          <w:color w:val="auto"/>
        </w:rPr>
      </w:pPr>
    </w:p>
    <w:p>
      <w:pPr>
        <w:ind w:left="440"/>
        <w:spacing w:after="0"/>
        <w:tabs>
          <w:tab w:leader="none" w:pos="1640" w:val="left"/>
        </w:tabs>
        <w:rPr>
          <w:sz w:val="20"/>
          <w:szCs w:val="20"/>
          <w:color w:val="auto"/>
        </w:rPr>
      </w:pPr>
      <w:r>
        <w:rPr>
          <w:rFonts w:ascii="Arial" w:cs="Arial" w:eastAsia="Arial" w:hAnsi="Arial"/>
          <w:sz w:val="18"/>
          <w:szCs w:val="18"/>
          <w:color w:val="auto"/>
        </w:rPr>
        <w:t>Section 12.13.</w:t>
      </w:r>
      <w:r>
        <w:rPr>
          <w:sz w:val="20"/>
          <w:szCs w:val="20"/>
          <w:color w:val="auto"/>
        </w:rPr>
        <w:tab/>
      </w:r>
      <w:r>
        <w:rPr>
          <w:rFonts w:ascii="Arial" w:cs="Arial" w:eastAsia="Arial" w:hAnsi="Arial"/>
          <w:sz w:val="16"/>
          <w:szCs w:val="16"/>
          <w:u w:val="single" w:color="auto"/>
          <w:color w:val="auto"/>
        </w:rPr>
        <w:t>Rights of Trustee as Holder of Senior Debt of the Company; Preservation of Trustee’s Rights</w:t>
      </w:r>
      <w:r>
        <w:rPr>
          <w:rFonts w:ascii="Arial" w:cs="Arial" w:eastAsia="Arial" w:hAnsi="Arial"/>
          <w:sz w:val="16"/>
          <w:szCs w:val="16"/>
          <w:color w:val="auto"/>
        </w:rPr>
        <w:t>.</w:t>
      </w:r>
    </w:p>
    <w:p>
      <w:pPr>
        <w:spacing w:after="0" w:line="225"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The Trustee in its individual capacity shall be entitled to all the rights set forth in this Article with respect to any Senior Debt of the Company which may at any time be held by it, to the same extent as any other holder of Senior Debt of the Company, and nothing in this Indenture shall deprive the Trustee of any of its rights as such holder.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Nothing in this Article shall apply to claims of, or payments to, the Trustee under or pursuant to Section 6.7.</w:t>
      </w:r>
    </w:p>
    <w:p>
      <w:pPr>
        <w:spacing w:after="0" w:line="225" w:lineRule="exact"/>
        <w:rPr>
          <w:sz w:val="20"/>
          <w:szCs w:val="20"/>
          <w:color w:val="auto"/>
        </w:rPr>
      </w:pPr>
    </w:p>
    <w:p>
      <w:pPr>
        <w:ind w:left="440"/>
        <w:spacing w:after="0"/>
        <w:tabs>
          <w:tab w:leader="none" w:pos="1640" w:val="left"/>
        </w:tabs>
        <w:rPr>
          <w:sz w:val="20"/>
          <w:szCs w:val="20"/>
          <w:color w:val="auto"/>
        </w:rPr>
      </w:pPr>
      <w:r>
        <w:rPr>
          <w:rFonts w:ascii="Arial" w:cs="Arial" w:eastAsia="Arial" w:hAnsi="Arial"/>
          <w:sz w:val="18"/>
          <w:szCs w:val="18"/>
          <w:color w:val="auto"/>
        </w:rPr>
        <w:t>Section 12.14.</w:t>
      </w:r>
      <w:r>
        <w:rPr>
          <w:sz w:val="20"/>
          <w:szCs w:val="20"/>
          <w:color w:val="auto"/>
        </w:rPr>
        <w:tab/>
      </w:r>
      <w:r>
        <w:rPr>
          <w:rFonts w:ascii="Arial" w:cs="Arial" w:eastAsia="Arial" w:hAnsi="Arial"/>
          <w:sz w:val="16"/>
          <w:szCs w:val="16"/>
          <w:u w:val="single" w:color="auto"/>
          <w:color w:val="auto"/>
        </w:rPr>
        <w:t>Article Applicable to Paying Agents</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In case at any time any Paying Agent other than the Trustee shall have been appointed by the Company and be then acting hereunder, the term “Trustee” as used in this Article shall in such case (unless the context otherwise requires) be construed as extending to and including such Paying Agent within its meaning as fully for all intents and purposes as if such Paying Agent were named in this Article in addition to or in place of the Trustee; provided, however, that Section 12.13 shall not apply to the Company, any Subsidiary Guarantor or any Affiliate of the Company if it or such Subsidiary Guarantor or Affiliate acts as Paying Agent.</w:t>
      </w:r>
    </w:p>
    <w:p>
      <w:pPr>
        <w:spacing w:after="0" w:line="188" w:lineRule="exact"/>
        <w:rPr>
          <w:sz w:val="20"/>
          <w:szCs w:val="20"/>
          <w:color w:val="auto"/>
        </w:rPr>
      </w:pPr>
    </w:p>
    <w:p>
      <w:pPr>
        <w:ind w:left="440"/>
        <w:spacing w:after="0"/>
        <w:tabs>
          <w:tab w:leader="none" w:pos="1640" w:val="left"/>
        </w:tabs>
        <w:rPr>
          <w:sz w:val="20"/>
          <w:szCs w:val="20"/>
          <w:color w:val="auto"/>
        </w:rPr>
      </w:pPr>
      <w:r>
        <w:rPr>
          <w:rFonts w:ascii="Arial" w:cs="Arial" w:eastAsia="Arial" w:hAnsi="Arial"/>
          <w:sz w:val="18"/>
          <w:szCs w:val="18"/>
          <w:color w:val="auto"/>
        </w:rPr>
        <w:t>Section 12.15.</w:t>
      </w:r>
      <w:r>
        <w:rPr>
          <w:sz w:val="20"/>
          <w:szCs w:val="20"/>
          <w:color w:val="auto"/>
        </w:rPr>
        <w:tab/>
      </w:r>
      <w:r>
        <w:rPr>
          <w:rFonts w:ascii="Arial" w:cs="Arial" w:eastAsia="Arial" w:hAnsi="Arial"/>
          <w:sz w:val="16"/>
          <w:szCs w:val="16"/>
          <w:u w:val="single" w:color="auto"/>
          <w:color w:val="auto"/>
        </w:rPr>
        <w:t>Defeasance of this Article XII</w:t>
      </w:r>
      <w:r>
        <w:rPr>
          <w:rFonts w:ascii="Arial" w:cs="Arial" w:eastAsia="Arial" w:hAnsi="Arial"/>
          <w:sz w:val="16"/>
          <w:szCs w:val="16"/>
          <w:color w:val="auto"/>
        </w:rPr>
        <w:t>.</w:t>
      </w:r>
    </w:p>
    <w:p>
      <w:pPr>
        <w:spacing w:after="0" w:line="225"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The subordination of the Securities of a series provided by this Article XII is expressly made subject to the provisions for Defeasance or Covenant Defeasance in Article XV hereof and, anything herein to the contrary notwithstanding, upon the effectiveness of any such Defeasance or Covenant Defeasance, the Securities of such series then outstanding shall thereupon cease to be subordinated pursuant to this Article XII.</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SUBSIDIARY GUARANTEES</w:t>
      </w:r>
    </w:p>
    <w:p>
      <w:pPr>
        <w:spacing w:after="0" w:line="229"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13.1.</w:t>
      </w:r>
      <w:r>
        <w:rPr>
          <w:sz w:val="20"/>
          <w:szCs w:val="20"/>
          <w:color w:val="auto"/>
        </w:rPr>
        <w:tab/>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Unless the Company elects to issue any series of Securities without the benefit of the Subsidiary Guarantees, which election shall be evidenced in or pursuant to the Board Resolution or supplemental indenture establishing such series of Securities pursuant to Section 3.1, the provisions of this Article shall be applicable to each series of Securities except as otherwise specified in or pursuant to the Board Resolution or supplemental indenture establishing such series pursuant to Section 3.1.</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186" w:name="page187"/>
    <w:bookmarkEnd w:id="186"/>
    <w:p>
      <w:pPr>
        <w:ind w:left="440"/>
        <w:spacing w:after="0"/>
        <w:tabs>
          <w:tab w:leader="none" w:pos="1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13.2.</w:t>
      </w:r>
      <w:r>
        <w:rPr>
          <w:sz w:val="20"/>
          <w:szCs w:val="20"/>
          <w:color w:val="auto"/>
        </w:rPr>
        <w:tab/>
      </w:r>
      <w:r>
        <w:rPr>
          <w:rFonts w:ascii="Arial" w:cs="Arial" w:eastAsia="Arial" w:hAnsi="Arial"/>
          <w:sz w:val="16"/>
          <w:szCs w:val="16"/>
          <w:u w:val="single" w:color="auto"/>
          <w:color w:val="auto"/>
        </w:rPr>
        <w:t>Subsidiary Guarantees</w:t>
      </w:r>
      <w:r>
        <w:rPr>
          <w:rFonts w:ascii="Arial" w:cs="Arial" w:eastAsia="Arial" w:hAnsi="Arial"/>
          <w:sz w:val="16"/>
          <w:szCs w:val="16"/>
          <w:color w:val="auto"/>
        </w:rPr>
        <w:t>.</w:t>
      </w:r>
    </w:p>
    <w:p>
      <w:pPr>
        <w:spacing w:after="0" w:line="225"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Subject to Section 13.1, each Subsidiary Guarantor hereby, jointly and severally, fully and unconditionally guarantees to each Holder of a Security authenticated and delivered by the Trustee, the due and punctual payment of the principal of (and premium, if any) and interest on such Security when and as the same shall become due and payable, whether at the Stated Maturity, by acceleration, call for redemption, offer to purchase or otherwise, in accordance with the terms of such Security and of this Indenture, and each Subsidiary Guarantor similarly guarantees to the Trustee the payment of all amounts owing to the Trustee in accordance with the terms of this Indenture. In case of the failure of the Company punctually to make any such payment, each Subsidiary Guarantor hereby, jointly and severally, agrees to cause such payment to be made punctually when and as the same shall become due and payable, whether at the Stated Maturity or by acceleration, call for redemption, offer to purchase or otherwise, and as if such payment were made by the Company.</w:t>
      </w:r>
    </w:p>
    <w:p>
      <w:pPr>
        <w:spacing w:after="0" w:line="179"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Each of the Subsidiary Guarantors hereby jointly and severally agrees that its obligations hereunder shall be absolute, unconditional, irrespective of, and shall be unaffected by, the validity, regularity or enforceability of such Security or this Indenture, the absence of any action to enforce the same or any release, amendment, waiver or indulgence granted to the Company or any other guarantor or any consent to departure from any requirement of any other guarantee of all or any of the Securities of such series or any other circumstances which might otherwise constitute a legal or equitable discharge or defense of a surety or guarantor; provided, however, that, notwithstanding the foregoing, no such release, amendment, waiver or indulgence shall, without the consent of such Subsidiary Guarantor, increase the principal amount of such Security, or increase the interest rate thereon, or alter the Stated Maturity thereof. Each of the Subsidiary Guarantors hereby waives the benefits of diligence, presentment, demand for payment, any requirement that the Trustee or any of the Holders protect, secure, perfect or insure any security interest in or other lien on any property subject thereto or exhaust any right or take any action against the Company or any other Person or any collateral, filing of claims with a court in the event of insolvency or bankruptcy of the Company, any right to require a proceeding first against the Company, protest or notice with respect to such Security or the indebtedness evidenced thereby and all demands whatsoever, and covenants that this Subsidiary Guarantee will not be discharged in respect of such Security except by complete performance of the obligations contained in such Security and in such Subsidiary Guarantee. Each Subsidiary Guarantor agrees that if, after the occurrence and during the continuance of an Event of Default, the Trustee or any of the Holders are prevented by applicable law from exercising their respective rights to accelerate the maturity of the Securities of a series, to collect interest on the Securities of a series, or to enforce or exercise any other right or remedy with respect to the Securities of a series, such Subsidiary Guarantor agrees to pay to the Trustee for the account of the Holders, upon demand therefor, the amount that would otherwise have been due and payable had such rights and remedies been permitted to be exercised by the Trustee or any of the Holders.</w:t>
      </w:r>
    </w:p>
    <w:p>
      <w:pPr>
        <w:spacing w:after="0" w:line="394"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The indebtedness of each Subsidiary Guarantor evidenced by the Subsidiary Guarantees is, to the extent provided in this Indenture, subordinate and subject in right of payment to the prior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187" w:name="page188"/>
    <w:bookmarkEnd w:id="187"/>
    <w:p>
      <w:pPr>
        <w:ind w:right="3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in full of all Senior Debt of each Subsidiary Guarantor, and the Subsidiary Guarantees are issued subject to the provisions of this Indenture with respect thereto. Each Holder of such Security, by accepting the same, will be deemed to have (a) agreed to and be bound by such provisions,</w:t>
      </w:r>
    </w:p>
    <w:p>
      <w:pPr>
        <w:ind w:right="160" w:firstLine="4"/>
        <w:spacing w:after="0" w:line="261" w:lineRule="auto"/>
        <w:tabs>
          <w:tab w:leader="none" w:pos="2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authorized and directed the Trustee on his behalf to take such action as may be necessary or appropriate to effectuate the subordination so provided and (c) appointed the Trustee his attorney-in-fact for any and all such purposes.</w:t>
      </w:r>
    </w:p>
    <w:p>
      <w:pPr>
        <w:spacing w:after="0" w:line="184"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Each Subsidiary Guarantor shall be subrogated to all rights of the Holders of the Securities upon which its Subsidiary Guarantee is endorsed against the Company in respect of any amounts paid by such Subsidiary Guarantor on account of such Security pursuant to the provisions of its Subsidiary Guarantee or this Indenture; provided, however, that no Subsidiary Guarantor shall be entitled to enforce or to receive any payments arising out of, or based upon, such right of subrogation until the principal of (and premium, if any) and interest on all Securities of the relevant series issued hereunder shall have been paid in full.</w:t>
      </w:r>
    </w:p>
    <w:p>
      <w:pPr>
        <w:spacing w:after="0" w:line="188"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Each Subsidiary Guarantor that makes or is required to make any payment in respect of its Subsidiary Guarantee shall be entitled to seek contribution from the other Subsidiary Guarantors to the extent permitted by applicable law; provided, however, that no Subsidiary Guarantor shall be entitled to enforce or receive any payments arising out of, or based upon, such right of contribution until the principal of (and premium, if any) and interest on all Securities of the relevant series issued hereunder shall have been paid in full.</w:t>
      </w:r>
    </w:p>
    <w:p>
      <w:pPr>
        <w:spacing w:after="0" w:line="187"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Each Subsidiary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part of the Company’s assets, and shall, to the fullest extent permitted by law, continue to be effective or be reinstated, as the case may be, if at any time payment and performance of the Securities of a series, is, pursuant to applicable law, rescinded or reduced in amount, or must otherwise be restored or returned by any Holder of the Securities, whether as a “voidable preference,” “fraudulent transfer,” or otherwise, all as though such payment or performance had not been made. In the event that any payment, or any part thereof, is rescinded, reduced, restored or returned, the Securities shall, to the fullest extent permitted by law, be reinstated and deemed reduced only by such amount paid and not so rescinded, reduced, restored or returned.</w:t>
      </w:r>
    </w:p>
    <w:p>
      <w:pPr>
        <w:spacing w:after="0" w:line="192"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13.3.</w:t>
      </w:r>
      <w:r>
        <w:rPr>
          <w:sz w:val="20"/>
          <w:szCs w:val="20"/>
          <w:color w:val="auto"/>
        </w:rPr>
        <w:tab/>
      </w:r>
      <w:r>
        <w:rPr>
          <w:rFonts w:ascii="Arial" w:cs="Arial" w:eastAsia="Arial" w:hAnsi="Arial"/>
          <w:sz w:val="16"/>
          <w:szCs w:val="16"/>
          <w:u w:val="single" w:color="auto"/>
          <w:color w:val="auto"/>
        </w:rPr>
        <w:t>Execution and Delivery of Notations of Subsidiary Guarantees</w:t>
      </w:r>
      <w:r>
        <w:rPr>
          <w:rFonts w:ascii="Arial" w:cs="Arial" w:eastAsia="Arial" w:hAnsi="Arial"/>
          <w:sz w:val="16"/>
          <w:szCs w:val="16"/>
          <w:color w:val="auto"/>
        </w:rPr>
        <w:t>.</w:t>
      </w:r>
    </w:p>
    <w:p>
      <w:pPr>
        <w:spacing w:after="0" w:line="225"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To further evidence the Subsidiary Guarantee set forth in Section 13.2, each of the Subsidiary Guarantors hereby agrees that a notation relating to such Subsidiary Guarantee, substantially in the form set forth in Section 2.4, shall be endorsed on each Security entitled to the benefits of the Subsidiary Guarantee authenticated and delivered by the Trustee and executed by either manual or facsimile signature of an officer of such Subsidiary Guarantor, or in the case of a Subsidiary Guarantor that is a limited partnership, an officer of the general partner of each Subsidiary Guarantor. Each of the Subsidiary Guarantors hereby agrees that the Subsidiary Guarantee set forth in Section 13.2 shall remain in full force and effect notwithstanding any failure to endorse on each Security a notation relating to the Subsidiary Guarantee. If any officer of the Subsidiary Guarantor, or in the case of a Subsidiary Guarantor that is a limited partnership, any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4" w:right="439" w:bottom="1440" w:gutter="0" w:footer="0" w:header="0"/>
        </w:sectPr>
      </w:pPr>
    </w:p>
    <w:bookmarkStart w:id="188" w:name="page189"/>
    <w:bookmarkEnd w:id="18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 of the general partner of the Subsidiary Guarantor, whose signature is on this Indenture or a Security no longer holds that office at the time the Trustee authenticates such Security or at any time thereafter, the Subsidiary Guarantee of such Security shall be valid nevertheless. The delivery of any Security by the Trustee, after the authentication thereof hereunder, shall constitute due delivery of the Subsidiary Guarantee set forth in this Indenture on behalf of the Subsidiary Guarantors.</w:t>
      </w:r>
    </w:p>
    <w:p>
      <w:pPr>
        <w:spacing w:after="0" w:line="187"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13.4.</w:t>
      </w:r>
      <w:r>
        <w:rPr>
          <w:sz w:val="20"/>
          <w:szCs w:val="20"/>
          <w:color w:val="auto"/>
        </w:rPr>
        <w:tab/>
      </w:r>
      <w:r>
        <w:rPr>
          <w:rFonts w:ascii="Arial" w:cs="Arial" w:eastAsia="Arial" w:hAnsi="Arial"/>
          <w:sz w:val="16"/>
          <w:szCs w:val="16"/>
          <w:u w:val="single" w:color="auto"/>
          <w:color w:val="auto"/>
        </w:rPr>
        <w:t>Release of Subsidiary Guarantors</w:t>
      </w:r>
      <w:r>
        <w:rPr>
          <w:rFonts w:ascii="Arial" w:cs="Arial" w:eastAsia="Arial" w:hAnsi="Arial"/>
          <w:sz w:val="16"/>
          <w:szCs w:val="16"/>
          <w:color w:val="auto"/>
        </w:rPr>
        <w:t>.</w:t>
      </w:r>
    </w:p>
    <w:p>
      <w:pPr>
        <w:spacing w:after="0" w:line="225"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Unless otherwise specified pursuant to Section 3.1 with respect to a series of Securities, each Subsidiary Guarantee will remain in effect with respect to the respective Subsidiary Guarantor until the entire principal of, premium, if any, and interest on the Securities to which such Subsidiary Guarantee relates shall have been paid in full or otherwise satisfied and discharged in accordance with the provisions of such Securities and this Indenture and all amounts owing to the Trustee hereunder have been paid; provided, however, that if (i) such Subsidiary Guarantor ceases to be a Subsidiary in compliance with the applicable provisions of this Indenture, (ii) either Defeasance or Covenant Defeasance occurs with respect to such Securities pursuant to Article XV or (iii) all or substantially all of the assets of such Subsidiary Guarantor or all of the Capital Stock of such Subsidiary Guarantor is sold (including by sale, merger, consolidation or otherwise) by the Company or any Subsidiary in a transaction complying with the requirements of this Indenture, then, in each case of (i), (ii) or (iii), upon delivery by the Company of an Officers’ Certificate and an Opinion of Counsel stating that all conditions precedent herein provided for relating to the release of such Subsidiary Guarantor from its obligations under its Subsidiary Guarantee and this Article XIII have been complied with, such Subsidiary Guarantor shall be released and discharged of its obligations under its Subsidiary Guarantee and under this Article XIII without any action on the part of the Trustee or any Holder, and the Trustee shall execute any documents reasonably required in order to acknowledge the release of such Subsidiary Guarantor from its obligations under its Subsidiary Guarantee endorsed on the Securities of such series and under this Article XIII.</w:t>
      </w:r>
    </w:p>
    <w:p>
      <w:pPr>
        <w:spacing w:after="0" w:line="188"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13.5.</w:t>
      </w:r>
      <w:r>
        <w:rPr>
          <w:sz w:val="20"/>
          <w:szCs w:val="20"/>
          <w:color w:val="auto"/>
        </w:rPr>
        <w:tab/>
      </w:r>
      <w:r>
        <w:rPr>
          <w:rFonts w:ascii="Arial" w:cs="Arial" w:eastAsia="Arial" w:hAnsi="Arial"/>
          <w:sz w:val="16"/>
          <w:szCs w:val="16"/>
          <w:u w:val="single" w:color="auto"/>
          <w:color w:val="auto"/>
        </w:rPr>
        <w:t>Additional Subsidiary Guarantors</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Unless otherwise specified pursuant to Section 3.1 with respect to a series of Securities, the Company will cause any domestic Wholly Owned Subsidiary of the Company that becomes a Subsidiary after the date the Securities of a series are first issued hereunder to become a Subsidiary Guarantor as soon as practicable after such Subsidiary becomes a Subsidiary. The Company shall cause any such Wholly Owned Subsidiary to become a Subsidiary Guarantor with respect to the Securities by executing and delivering to the Trustee (a) a supplemental indenture, in form and substance satisfactory to the Trustee, which subjects such Person to the provisions (including the representations and warranties) of this Indenture as a Subsidiary Guarantor and (b) an Opinion of Counsel to the effect that such supplemental indenture has been duly authorized and executed by such Person and such supplemental indenture and such Person’s obligations under its Subsidiary Guarantee and this Indenture constitute the legal, valid, binding and enforceable obligations of such Person (subject to such customary exceptions concerning creditors’ rights and equitable principles as may be acceptable to the Trustee in its discretion).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440" w:top="274" w:right="439" w:bottom="1440" w:gutter="0" w:footer="0" w:header="0"/>
        </w:sectPr>
      </w:pPr>
    </w:p>
    <w:bookmarkStart w:id="189" w:name="page190"/>
    <w:bookmarkEnd w:id="189"/>
    <w:p>
      <w:pPr>
        <w:ind w:left="440"/>
        <w:spacing w:after="0"/>
        <w:tabs>
          <w:tab w:leader="none" w:pos="1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13.6.</w:t>
      </w:r>
      <w:r>
        <w:rPr>
          <w:sz w:val="20"/>
          <w:szCs w:val="20"/>
          <w:color w:val="auto"/>
        </w:rPr>
        <w:tab/>
      </w:r>
      <w:r>
        <w:rPr>
          <w:rFonts w:ascii="Arial" w:cs="Arial" w:eastAsia="Arial" w:hAnsi="Arial"/>
          <w:sz w:val="17"/>
          <w:szCs w:val="17"/>
          <w:u w:val="single" w:color="auto"/>
          <w:color w:val="auto"/>
        </w:rPr>
        <w:t>Limitation on Liability</w:t>
      </w:r>
      <w:r>
        <w:rPr>
          <w:rFonts w:ascii="Arial" w:cs="Arial" w:eastAsia="Arial" w:hAnsi="Arial"/>
          <w:sz w:val="17"/>
          <w:szCs w:val="17"/>
          <w:color w:val="auto"/>
        </w:rPr>
        <w:t>.</w:t>
      </w:r>
    </w:p>
    <w:p>
      <w:pPr>
        <w:spacing w:after="0" w:line="225" w:lineRule="exact"/>
        <w:rPr>
          <w:sz w:val="20"/>
          <w:szCs w:val="20"/>
          <w:color w:val="auto"/>
        </w:rPr>
      </w:pPr>
    </w:p>
    <w:p>
      <w:pPr>
        <w:ind w:right="400" w:firstLine="441"/>
        <w:spacing w:after="0" w:line="259" w:lineRule="auto"/>
        <w:rPr>
          <w:sz w:val="20"/>
          <w:szCs w:val="20"/>
          <w:color w:val="auto"/>
        </w:rPr>
      </w:pPr>
      <w:r>
        <w:rPr>
          <w:rFonts w:ascii="Arial" w:cs="Arial" w:eastAsia="Arial" w:hAnsi="Arial"/>
          <w:sz w:val="18"/>
          <w:szCs w:val="18"/>
          <w:color w:val="auto"/>
        </w:rPr>
        <w:t>Any term or provision of this Indenture to the contrary notwithstanding, the maximum amount of the Subsidiary Guarantee of any Subsidiary Guarantor shall not exceed the maximum amount that can be hereby guaranteed by such Subsidiary Guarantor without rendering such Subsidiary Guarantee voidable under applicable law relating to fraudulent conveyance or fraudulent transfer or similar laws affecting the rights of creditors generally.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SUBORDINATION OF SUBSIDIARY GUARANTEES</w:t>
      </w:r>
    </w:p>
    <w:p>
      <w:pPr>
        <w:spacing w:after="0" w:line="229"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14.1.</w:t>
      </w:r>
      <w:r>
        <w:rPr>
          <w:sz w:val="20"/>
          <w:szCs w:val="20"/>
          <w:color w:val="auto"/>
        </w:rPr>
        <w:tab/>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w:t>
      </w:r>
    </w:p>
    <w:p>
      <w:pPr>
        <w:spacing w:after="0" w:line="225" w:lineRule="exact"/>
        <w:rPr>
          <w:sz w:val="20"/>
          <w:szCs w:val="20"/>
          <w:color w:val="auto"/>
        </w:rPr>
      </w:pPr>
    </w:p>
    <w:p>
      <w:pPr>
        <w:ind w:right="840" w:firstLine="441"/>
        <w:spacing w:after="0" w:line="342" w:lineRule="auto"/>
        <w:rPr>
          <w:sz w:val="20"/>
          <w:szCs w:val="20"/>
          <w:color w:val="auto"/>
        </w:rPr>
      </w:pPr>
      <w:r>
        <w:rPr>
          <w:rFonts w:ascii="Arial" w:cs="Arial" w:eastAsia="Arial" w:hAnsi="Arial"/>
          <w:sz w:val="16"/>
          <w:szCs w:val="16"/>
          <w:color w:val="auto"/>
        </w:rPr>
        <w:t>Unless otherwise provided with respect to the Securities of any series in or pursuant to the Board Resolution or supplemental indenture establishing such series of Securities pursuant to Section 3.1, the provisions of this Article shall be applicable to each series of Securities.</w:t>
      </w:r>
    </w:p>
    <w:p>
      <w:pPr>
        <w:spacing w:after="0" w:line="124"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14.2.</w:t>
      </w:r>
      <w:r>
        <w:rPr>
          <w:sz w:val="20"/>
          <w:szCs w:val="20"/>
          <w:color w:val="auto"/>
        </w:rPr>
        <w:tab/>
      </w:r>
      <w:r>
        <w:rPr>
          <w:rFonts w:ascii="Arial" w:cs="Arial" w:eastAsia="Arial" w:hAnsi="Arial"/>
          <w:sz w:val="16"/>
          <w:szCs w:val="16"/>
          <w:u w:val="single" w:color="auto"/>
          <w:color w:val="auto"/>
        </w:rPr>
        <w:t>Subsidiary Guarantees Subordinate to Senior Debt of Subsidiary Guarantors</w:t>
      </w:r>
      <w:r>
        <w:rPr>
          <w:rFonts w:ascii="Arial" w:cs="Arial" w:eastAsia="Arial" w:hAnsi="Arial"/>
          <w:sz w:val="16"/>
          <w:szCs w:val="16"/>
          <w:color w:val="auto"/>
        </w:rPr>
        <w:t>.</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Each Subsidiary Guarantor covenants and agrees, and each Holder of a Security, by his acceptance thereof, likewise covenants and agrees, that, to the extent and in the manner hereinafter set forth in this Article (subject to the provisions of Article IV and Article XV), the Subsidiary Guarantee of such Subsidiary Guarantor is hereby expressly made subordinate and subject in right of payment to the prior payment in full of all Senior Debt of such Subsidiary Guarantor.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provisions of this Article XIV shall prevent the occurrence of any Event of Default.</w:t>
      </w:r>
    </w:p>
    <w:p>
      <w:pPr>
        <w:spacing w:after="0" w:line="225"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14.3.</w:t>
      </w:r>
      <w:r>
        <w:rPr>
          <w:sz w:val="20"/>
          <w:szCs w:val="20"/>
          <w:color w:val="auto"/>
        </w:rPr>
        <w:tab/>
      </w:r>
      <w:r>
        <w:rPr>
          <w:rFonts w:ascii="Arial" w:cs="Arial" w:eastAsia="Arial" w:hAnsi="Arial"/>
          <w:sz w:val="16"/>
          <w:szCs w:val="16"/>
          <w:u w:val="single" w:color="auto"/>
          <w:color w:val="auto"/>
        </w:rPr>
        <w:t>Payment Over of Proceeds Upon Dissolution, Etc</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In the event of (a) any insolvency or bankruptcy case or proceeding, or any receivership, liquidation, reorganization or other similar case or proceeding in connection therewith, relative to any Subsidiary Guarantor or to its creditors, as such, or to its assets, or (b) any liquidation, dissolution or other winding up of any Subsidiary Guarantor, whether voluntary or involuntary and whether or not involving insolvency or bankruptcy, or (c) any assignment for the benefit of creditors or any other marshalling of assets and liabilities of any Subsidiary Guarantor, then and in any such event specified in (a), (b) or (c) above (each such event, if any, herein sometimes referred to as a “Guarantor Proceeding”) the holders of Senior Debt of such Subsidiary Guarantor shall be entitled to receive payment in full of all amounts due or to become due on or in respect of all Senior Debt of such Subsidiary Guarantor, or provision shall be made for such payment in cash or cash equivalents or otherwise in a manner satisfactory to the holders of Senior Debt of such Subsidiary Guarantor, before the Holders of the Securities are entitled to receive any payment or distribution of any kind or character, whether in cash, property or securities (including any payment or distribution which may be payable or deliverable by reason of the payment of any other indebtedness of such Subsidiary Guarantor subordinated to the payment of the Securities, such payment or distribution being hereinafter referred to as a “Guarantor Junior Subordinated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74" w:right="439" w:bottom="1440" w:gutter="0" w:footer="0" w:header="0"/>
        </w:sectPr>
      </w:pPr>
    </w:p>
    <w:bookmarkStart w:id="190" w:name="page191"/>
    <w:bookmarkEnd w:id="190"/>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on account of the Subsidiary Guarantee of such Subsidiary Guarantor (all such payments, other than the payment or distribution of stock or securities of a Subsidiary Guarantor referred to in the second succeeding paragraph, herein referred to, individually and collectively, as a “Guarantee Payment”), and to that end the holders of Senior Debt of such Subsidiary Guarantor shall be entitled to receive, for application to the payment thereof, any Guarantee Payment which may be payable or deliverable in respect of such Subsidiary Guarantor’s Subsidiary Guarantee in any such Guarantor Proceeding.</w:t>
      </w:r>
    </w:p>
    <w:p>
      <w:pPr>
        <w:spacing w:after="0" w:line="188"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In the event that, notwithstanding the foregoing provisions of this Section, the Trustee or the Holder of any Security shall have received any Guarantee Payment before all Senior Debt of such Subsidiary Guarantor is paid in full or payment thereof provided for in cash or cash equivalents or otherwise in a manner satisfactory to the holders of Senior Debt of such Subsidiary Guarantor, and if such fact shall, at or prior to the time of such Guarantee Payment, have been made known to the Trustee or, as the case may be, such Holder, then and in such event such Guarantee Payment shall be paid over or delivered forthwith to the trustee in bankruptcy, receiver, liquidating trustee, custodian, assignee, agent or other Person making payment or distribution of assets of such Subsidiary Guarantor for application to the payment of all Senior Debt of such Subsidiary Guarantor remaining unpaid, to the extent necessary to pay all Senior Debt of such Subsidiary Guarantor in full, after giving effect to any concurrent payment or distribution to or for the holders of Senior Debt of such Subsidiary Guarantor.</w:t>
      </w:r>
    </w:p>
    <w:p>
      <w:pPr>
        <w:spacing w:after="0" w:line="179" w:lineRule="exact"/>
        <w:rPr>
          <w:sz w:val="20"/>
          <w:szCs w:val="20"/>
          <w:color w:val="auto"/>
        </w:rPr>
      </w:pPr>
    </w:p>
    <w:p>
      <w:pPr>
        <w:ind w:right="60" w:firstLine="441"/>
        <w:spacing w:after="0" w:line="288" w:lineRule="auto"/>
        <w:rPr>
          <w:sz w:val="20"/>
          <w:szCs w:val="20"/>
          <w:color w:val="auto"/>
        </w:rPr>
      </w:pPr>
      <w:r>
        <w:rPr>
          <w:rFonts w:ascii="Arial" w:cs="Arial" w:eastAsia="Arial" w:hAnsi="Arial"/>
          <w:sz w:val="16"/>
          <w:szCs w:val="16"/>
          <w:color w:val="auto"/>
        </w:rPr>
        <w:t>For purposes of this Article only, the words “any payment or distribution of any kind or character, whether in cash, property or securities” shall not be deemed to include a payment or distribution of stock or securities of a Subsidiary Guarantor provided for by a plan of reorganization or readjustment authorized by an order or decree of a court of competent jurisdiction in a reorganization proceeding under any applicable bankruptcy law or of any other corporation provided for by such plan of reorganization or readjustment which stock or securities are subordinated in right of payment to all then outstanding Senior Debt of such Subsidiary Guarantor to substantially the same extent as the Subsidiary Guarantees are so subordinated as provided in this Article. The consolidation of a Subsidiary Guarantor with, or the merger of a Subsidiary Guarantor into, another Person or the liquidation or dissolution of such Subsidiary Guarantor following the conveyance or other disposition of all or substantially all of its assets to another Person upon the terms and conditions set forth in Article VIII shall not be deemed a Guarantor Proceeding for the purposes of this Section if the Person formed by such consolidation or into which such Subsidiary Guarantor is merged or the Person which acquires by conveyance or transfer such assets, as the case may be, shall, as a part of such consolidation, merger, conveyance or other disposition, comply with the conditions set forth in Article VIII.</w:t>
      </w:r>
    </w:p>
    <w:p>
      <w:pPr>
        <w:spacing w:after="0" w:line="169"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14.4.</w:t>
      </w:r>
      <w:r>
        <w:rPr>
          <w:sz w:val="20"/>
          <w:szCs w:val="20"/>
          <w:color w:val="auto"/>
        </w:rPr>
        <w:tab/>
      </w:r>
      <w:r>
        <w:rPr>
          <w:rFonts w:ascii="Arial" w:cs="Arial" w:eastAsia="Arial" w:hAnsi="Arial"/>
          <w:sz w:val="16"/>
          <w:szCs w:val="16"/>
          <w:u w:val="single" w:color="auto"/>
          <w:color w:val="auto"/>
        </w:rPr>
        <w:t>No Payment When Senior Debt of such Subsidiary Guarantor in Default</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In the event that any Senior Payment Default shall have occurred and be continuing, then no Guarantee Payment shall be made unless and until such Senior Payment Default shall have been cured or waived or shall have ceased to exist or all amounts then due and payable in respect of the relevant Senior Debt of the Company shall have been paid in full, or provision shall have been made for such payment in cash or cash equivalents or otherwise in a manner satisfactory to the holders of such Senior Debt; provided, that nothing in this Section shall prevent the satisfaction of any sinking fund payment in accordance with Article XVI by delivering and crediting pursuant to Section 16.2 Securities which have been acquired (upon redemption or otherwise) prior to such Senior Payment Default.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440" w:top="274" w:right="439" w:bottom="1440" w:gutter="0" w:footer="0" w:header="0"/>
        </w:sectPr>
      </w:pPr>
    </w:p>
    <w:bookmarkStart w:id="191" w:name="page192"/>
    <w:bookmarkEnd w:id="191"/>
    <w:p>
      <w:pPr>
        <w:ind w:right="40" w:firstLine="44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any Senior Nonmonetary Default shall have occurred and be continuing, then, upon the receipt by the Company, the Subsidiary Guarantors and the Trustee of written notice of such Senior Nonmonetary Default from any holder, or agent for the holders, of any Designated Senior Debt of the Company, no Guarantee Payment shall be made during the applicable Payment Blockage Period; provided, however, that nothing in this Section shall prevent the satisfaction of any sinking fund payment in accordance with Article XVI by delivering and crediting pursuant to Section 16.2 Securities which have been acquired (upon redemption or otherwise) prior to the date of such receipt of such written notice. No more than one Payment Blockage Period may be commenced with respect to the Subsidiary Guarantees during any 360-day period and there shall be a period of at least 181 consecutive days in each 360-day period when no Payment Blockage Period is in effect. For all purposes of this paragraph, no Senior Nonmonetary Default that existed or was continuing on the date of commencement of any Payment Blockage Period shall be, or be made, the basis for the commencement of a subsequent Payment Blockage Period, whether or not within a period of 360 consecutive days, unless such Senior Nonmonetary Default shall have been cured for a period of not less than 90 consecutive days.</w:t>
      </w:r>
    </w:p>
    <w:p>
      <w:pPr>
        <w:spacing w:after="0" w:line="169"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In the event that, notwithstanding the foregoing, a Subsidiary Guarantor shall make any Guarantee Payment to the Trustee or any Holder prohibited by the foregoing provisions of this Section, and if such fact shall, at or prior to the time of such Guarantee Payment, have been made known to the Trustee or, as the case may be, such Holder, then and in such event such Guarantee Payment shall be paid over and delivered forthwith to the Company.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provisions of this Section shall not apply to any Guarantee Payment with respect to which Section 14.3 would be applicable.</w:t>
      </w:r>
    </w:p>
    <w:p>
      <w:pPr>
        <w:spacing w:after="0" w:line="225"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14.5.</w:t>
      </w:r>
      <w:r>
        <w:rPr>
          <w:sz w:val="20"/>
          <w:szCs w:val="20"/>
          <w:color w:val="auto"/>
        </w:rPr>
        <w:tab/>
      </w:r>
      <w:r>
        <w:rPr>
          <w:rFonts w:ascii="Arial" w:cs="Arial" w:eastAsia="Arial" w:hAnsi="Arial"/>
          <w:sz w:val="16"/>
          <w:szCs w:val="16"/>
          <w:u w:val="single" w:color="auto"/>
          <w:color w:val="auto"/>
        </w:rPr>
        <w:t>Payment Permitted If No Default</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Nothing contained in this Article or elsewhere in this Indenture or in any of the Subsidiary Guarantees shall prevent (a) a Subsidiary Guarantor, at any time except during the pendency of any Guarantor Proceeding referred to in Section 14.3 or under the conditions described in Section 14.4, from making Guarantee Payments, or (b) the application by the Trustee of any money deposited with it hereunder to Guarantee Payments or the retention of such Guarantee Payment by the Holders, if, at the time of such application by the Trustee, it did not have knowledge that such Guarantee Payment would have been prohibited by the provisions of this Article.</w:t>
      </w:r>
    </w:p>
    <w:p>
      <w:pPr>
        <w:spacing w:after="0" w:line="188"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14.6.</w:t>
      </w:r>
      <w:r>
        <w:rPr>
          <w:sz w:val="20"/>
          <w:szCs w:val="20"/>
          <w:color w:val="auto"/>
        </w:rPr>
        <w:tab/>
      </w:r>
      <w:r>
        <w:rPr>
          <w:rFonts w:ascii="Arial" w:cs="Arial" w:eastAsia="Arial" w:hAnsi="Arial"/>
          <w:sz w:val="16"/>
          <w:szCs w:val="16"/>
          <w:u w:val="single" w:color="auto"/>
          <w:color w:val="auto"/>
        </w:rPr>
        <w:t>Subrogation to Rights of Holders of Senior Debt of such Subsidiary Guarantor</w:t>
      </w:r>
      <w:r>
        <w:rPr>
          <w:rFonts w:ascii="Arial" w:cs="Arial" w:eastAsia="Arial" w:hAnsi="Arial"/>
          <w:sz w:val="16"/>
          <w:szCs w:val="16"/>
          <w:color w:val="auto"/>
        </w:rPr>
        <w:t>.</w:t>
      </w:r>
    </w:p>
    <w:p>
      <w:pPr>
        <w:spacing w:after="0" w:line="225" w:lineRule="exact"/>
        <w:rPr>
          <w:sz w:val="20"/>
          <w:szCs w:val="20"/>
          <w:color w:val="auto"/>
        </w:rPr>
      </w:pPr>
    </w:p>
    <w:p>
      <w:pPr>
        <w:jc w:val="both"/>
        <w:ind w:right="40" w:firstLine="441"/>
        <w:spacing w:after="0" w:line="302" w:lineRule="auto"/>
        <w:rPr>
          <w:sz w:val="20"/>
          <w:szCs w:val="20"/>
          <w:color w:val="auto"/>
        </w:rPr>
      </w:pPr>
      <w:r>
        <w:rPr>
          <w:rFonts w:ascii="Arial" w:cs="Arial" w:eastAsia="Arial" w:hAnsi="Arial"/>
          <w:sz w:val="16"/>
          <w:szCs w:val="16"/>
          <w:color w:val="auto"/>
        </w:rPr>
        <w:t>Subject to the payment in full of all amounts due or to become due on or in respect of Senior Debt of a Subsidiary Guarantor, or the provision for such payment in cash or cash equivalents or otherwise in a manner satisfactory to the holders of Senior Debt of such Subsidiary Guarantor, the Holders of the Securities shall be subrogated to the rights of the holders of such Senior Debt of such Subsidiary Guarantor to receive payments and distributions of cash, property and securities applicable to the Senior Debt of such Subsidiary Guarantor until the principal of</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60"/>
          </w:cols>
          <w:pgMar w:left="440" w:top="274" w:right="499" w:bottom="1440" w:gutter="0" w:footer="0" w:header="0"/>
        </w:sectPr>
      </w:pPr>
    </w:p>
    <w:bookmarkStart w:id="192" w:name="page193"/>
    <w:bookmarkEnd w:id="19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premium, if any) and interest on the Securities shall be paid in full. For purposes of such subrogation, no payments or distributions to the holders of the Senior Debt of a Subsidiary Guarantor of any cash, property or securities to which the Holders of the Securities or the Trustee would be entitled except for the provisions of this Article, and no payments over pursuant to the provisions of this Article to the holders of Senior Debt of a Subsidiary Guarantor by Holders of the Securities or the Trustee, shall, as among a Subsidiary Guarantor, its creditors other than holders of Senior Debt of such Subsidiary Guarantor and the Holders of the Securities, be deemed to be a payment or distribution by such Subsidiary Guarantor to or on account of the Senior Debt of such Subsidiary Guarantor.</w:t>
      </w:r>
    </w:p>
    <w:p>
      <w:pPr>
        <w:spacing w:after="0" w:line="193"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14.7.</w:t>
      </w:r>
      <w:r>
        <w:rPr>
          <w:sz w:val="20"/>
          <w:szCs w:val="20"/>
          <w:color w:val="auto"/>
        </w:rPr>
        <w:tab/>
      </w:r>
      <w:r>
        <w:rPr>
          <w:rFonts w:ascii="Arial" w:cs="Arial" w:eastAsia="Arial" w:hAnsi="Arial"/>
          <w:sz w:val="16"/>
          <w:szCs w:val="16"/>
          <w:u w:val="single" w:color="auto"/>
          <w:color w:val="auto"/>
        </w:rPr>
        <w:t>Provisions Solely to Define Relative Rights</w:t>
      </w:r>
      <w:r>
        <w:rPr>
          <w:rFonts w:ascii="Arial" w:cs="Arial" w:eastAsia="Arial" w:hAnsi="Arial"/>
          <w:sz w:val="16"/>
          <w:szCs w:val="16"/>
          <w:color w:val="auto"/>
        </w:rPr>
        <w:t>.</w:t>
      </w:r>
    </w:p>
    <w:p>
      <w:pPr>
        <w:spacing w:after="0" w:line="225"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The provisions of this Article are and are intended solely for the purpose of defining the relative rights of the Holders on the one hand and the holders of Senior Debt of a Subsidiary Guarantor on the other hand. Nothing contained in this Article or elsewhere in this Indenture or in the Subsidiary Guarantees is intended to or shall (a) impair, as among a Subsidiary Guarantor, its creditors other than holders of Senior Debt of such Subsidiary Guarantor and the Holders of the Securities, the obligation of such Subsidiary Guarantor, which is absolute and unconditional (and which, subject to the rights under this Article of the holders of Senior Debt of such Subsidiary Guarantor, is intended to rank equally with all other general obligations of such Subsidiary Guarantor), to guarantee payment to the Holders of the Securities of the principal of (and premium, if any) and interest on the Securities as and when the same shall become due and payable in accordance with their terms; or (b) affect the relative rights against a Subsidiary Guarantor of the Holders of the Securities and creditors of such Subsidiary Guarantor other than the holders of Senior Debt of such Subsidiary Guarantor; or (c) prevent the Trustee or the Holder of any Security from exercising all remedies otherwise permitted by applicable law upon default under this Indenture, subject to the rights, if any, under this Article of the holders of Senior Debt of a Subsidiary Guarantor to receive cash, property and securities otherwise payable or deliverable to the Trustee or such Holder.</w:t>
      </w:r>
    </w:p>
    <w:p>
      <w:pPr>
        <w:spacing w:after="0" w:line="183"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14.8.</w:t>
      </w:r>
      <w:r>
        <w:rPr>
          <w:sz w:val="20"/>
          <w:szCs w:val="20"/>
          <w:color w:val="auto"/>
        </w:rPr>
        <w:tab/>
      </w:r>
      <w:r>
        <w:rPr>
          <w:rFonts w:ascii="Arial" w:cs="Arial" w:eastAsia="Arial" w:hAnsi="Arial"/>
          <w:sz w:val="16"/>
          <w:szCs w:val="16"/>
          <w:u w:val="single" w:color="auto"/>
          <w:color w:val="auto"/>
        </w:rPr>
        <w:t>Trustee to Effectuate Subordination</w:t>
      </w:r>
      <w:r>
        <w:rPr>
          <w:rFonts w:ascii="Arial" w:cs="Arial" w:eastAsia="Arial" w:hAnsi="Arial"/>
          <w:sz w:val="16"/>
          <w:szCs w:val="16"/>
          <w:color w:val="auto"/>
        </w:rPr>
        <w:t>.</w:t>
      </w:r>
    </w:p>
    <w:p>
      <w:pPr>
        <w:spacing w:after="0" w:line="225" w:lineRule="exact"/>
        <w:rPr>
          <w:sz w:val="20"/>
          <w:szCs w:val="20"/>
          <w:color w:val="auto"/>
        </w:rPr>
      </w:pPr>
    </w:p>
    <w:p>
      <w:pPr>
        <w:ind w:right="320" w:firstLine="441"/>
        <w:spacing w:after="0" w:line="342" w:lineRule="auto"/>
        <w:rPr>
          <w:sz w:val="20"/>
          <w:szCs w:val="20"/>
          <w:color w:val="auto"/>
        </w:rPr>
      </w:pPr>
      <w:r>
        <w:rPr>
          <w:rFonts w:ascii="Arial" w:cs="Arial" w:eastAsia="Arial" w:hAnsi="Arial"/>
          <w:sz w:val="16"/>
          <w:szCs w:val="16"/>
          <w:color w:val="auto"/>
        </w:rPr>
        <w:t>Each Holder of a Security by his acceptance thereof authorizes and directs the Trustee on his behalf to take such action as may be necessary or appropriate to effectuate the subordination provided in this Article and appoints the Trustee his attorney-in-fact for any and all such purposes.</w:t>
      </w:r>
    </w:p>
    <w:p>
      <w:pPr>
        <w:spacing w:after="0" w:line="124"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14.9.</w:t>
      </w:r>
      <w:r>
        <w:rPr>
          <w:sz w:val="20"/>
          <w:szCs w:val="20"/>
          <w:color w:val="auto"/>
        </w:rPr>
        <w:tab/>
      </w:r>
      <w:r>
        <w:rPr>
          <w:rFonts w:ascii="Arial" w:cs="Arial" w:eastAsia="Arial" w:hAnsi="Arial"/>
          <w:sz w:val="16"/>
          <w:szCs w:val="16"/>
          <w:u w:val="single" w:color="auto"/>
          <w:color w:val="auto"/>
        </w:rPr>
        <w:t>No Waiver of Subordination Provisions</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No right of any present or future holder of any Senior Debt of a Subsidiary Guarantor to enforce subordination as herein provided shall at any time in any way be prejudiced or impaired by any act or failure to act on the part of such Subsidiary Guarantor or by any act or failure to act, in good faith, by any such holder, or by any noncompliance by such Subsidiary Guarantor with the terms, provisions and covenants of this Indenture, regardless of any knowledge thereof any such holder may have or be otherwise charged with.</w:t>
      </w:r>
    </w:p>
    <w:p>
      <w:pPr>
        <w:spacing w:after="0" w:line="187"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Without in any way limiting the generality of the foregoing paragraph, the holders of Senior Debt of a Subsidiary Guarantor may, at any time and from time to time, without the consent of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0"/>
          </w:cols>
          <w:pgMar w:left="440" w:top="274" w:right="439" w:bottom="1440" w:gutter="0" w:footer="0" w:header="0"/>
        </w:sectPr>
      </w:pPr>
    </w:p>
    <w:bookmarkStart w:id="193" w:name="page194"/>
    <w:bookmarkEnd w:id="193"/>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to the Trustee or the Holders of the Securities, without incurring responsibility to the Holders of the Securities and without impairing or releasing the subordination provided in this Article or the obligations hereunder of the Holders of the Securities to the holders of Senior Debt of such Subsidiary Guarantor, do any one or more of the following: (i) change the manner, place or terms of payment or extend the time of payment of, or renew or alter, Senior Debt of such Subsidiary Guarantor, or otherwise amend or supplement in any manner Senior Debt of such Subsidiary Guarantor or any instrument evidencing the same or any agreement under which Senior Debt of such Subsidiary Guarantor is outstanding; (ii) sell, exchange, release or otherwise deal with any property pledged, mortgaged or otherwise securing Senior Debt of such Subsidiary Guarantor; (iii) release any Person liable in any manner for the collection of Senior Debt of such Subsidiary Guarantor; and (iv) exercise or refrain from exercising any rights against such Subsidiary Guarantor and any other Person.</w:t>
      </w:r>
    </w:p>
    <w:p>
      <w:pPr>
        <w:spacing w:after="0" w:line="192" w:lineRule="exact"/>
        <w:rPr>
          <w:sz w:val="20"/>
          <w:szCs w:val="20"/>
          <w:color w:val="auto"/>
        </w:rPr>
      </w:pPr>
    </w:p>
    <w:p>
      <w:pPr>
        <w:ind w:left="440"/>
        <w:spacing w:after="0"/>
        <w:tabs>
          <w:tab w:leader="none" w:pos="1640" w:val="left"/>
        </w:tabs>
        <w:rPr>
          <w:sz w:val="20"/>
          <w:szCs w:val="20"/>
          <w:color w:val="auto"/>
        </w:rPr>
      </w:pPr>
      <w:r>
        <w:rPr>
          <w:rFonts w:ascii="Arial" w:cs="Arial" w:eastAsia="Arial" w:hAnsi="Arial"/>
          <w:sz w:val="18"/>
          <w:szCs w:val="18"/>
          <w:color w:val="auto"/>
        </w:rPr>
        <w:t>Section 14.10.</w:t>
      </w:r>
      <w:r>
        <w:rPr>
          <w:sz w:val="20"/>
          <w:szCs w:val="20"/>
          <w:color w:val="auto"/>
        </w:rPr>
        <w:tab/>
      </w:r>
      <w:r>
        <w:rPr>
          <w:rFonts w:ascii="Arial" w:cs="Arial" w:eastAsia="Arial" w:hAnsi="Arial"/>
          <w:sz w:val="16"/>
          <w:szCs w:val="16"/>
          <w:u w:val="single" w:color="auto"/>
          <w:color w:val="auto"/>
        </w:rPr>
        <w:t>Notice to Trustee</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Each Subsidiary Guarantor shall give prompt written notice to the Trustee of any fact known to such Subsidiary Guarantor which would prohibit the making of any payment to or by the Trustee in respect of its Subsidiary Guarantee. Notwithstanding the provisions of this Article or any other provision of this Indenture, the Trustee shall not be charged with knowledge of the existence of any facts which would prohibit the making of any payment to or by the Trustee in respect of the Subsidiary Guarantees, unless and until the Trustee shall have received written notice thereof from a Subsidiary Guarantor or a holder of Senior Debt of such Subsidiary Guarantor or from any trustee therefor; and, prior to the receipt of any such written notice, the Trustee, subject to the provisions of Section 6.1, shall be entitled in all respects to assume that no such facts exist; provided, however, that if the Trustee shall not have received the notice provided for in this Section at least three Business Days prior to the date upon which by the terms hereof any money may become payable for any purpose (including, without limitation, the payment of the principal of (and premium, if any) or interest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three Business Days prior to such date.</w:t>
      </w:r>
    </w:p>
    <w:p>
      <w:pPr>
        <w:spacing w:after="0" w:line="183"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Subject to the provisions of Section 6.1, the Trustee shall be entitled to rely on the delivery to it of a written notice by a Person representing himself to be a holder of Senior Debt of a Subsidiary Guarantor (or a trustee therefor) to establish that such notice has been given by a holder of Senior Debt of such Subsidiary Guarantor (or a trustee therefor). In the event that the Trustee determines in good faith that further evidence is required with respect to the right of any Person as a holder of Senior Debt of a Subsidiary Guarantor to participate in any payment or distribution pursuant to this Article, the Trustee may request such Person to furnish evidence to the reasonable satisfaction of the Trustee as to the amount of Senior Debt of such Subsidiary Guarantor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40"/>
          </w:cols>
          <w:pgMar w:left="440" w:top="274" w:right="519" w:bottom="1440" w:gutter="0" w:footer="0" w:header="0"/>
        </w:sectPr>
      </w:pPr>
    </w:p>
    <w:bookmarkStart w:id="194" w:name="page195"/>
    <w:bookmarkEnd w:id="194"/>
    <w:p>
      <w:pPr>
        <w:ind w:left="440"/>
        <w:spacing w:after="0"/>
        <w:tabs>
          <w:tab w:leader="none" w:pos="1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14.11.</w:t>
      </w:r>
      <w:r>
        <w:rPr>
          <w:sz w:val="20"/>
          <w:szCs w:val="20"/>
          <w:color w:val="auto"/>
        </w:rPr>
        <w:tab/>
      </w:r>
      <w:r>
        <w:rPr>
          <w:rFonts w:ascii="Arial" w:cs="Arial" w:eastAsia="Arial" w:hAnsi="Arial"/>
          <w:sz w:val="16"/>
          <w:szCs w:val="16"/>
          <w:u w:val="single" w:color="auto"/>
          <w:color w:val="auto"/>
        </w:rPr>
        <w:t>Reliance on Judicial Order or Certificate of Liquidating Agent</w:t>
      </w:r>
      <w:r>
        <w:rPr>
          <w:rFonts w:ascii="Arial" w:cs="Arial" w:eastAsia="Arial" w:hAnsi="Arial"/>
          <w:sz w:val="16"/>
          <w:szCs w:val="16"/>
          <w:color w:val="auto"/>
        </w:rPr>
        <w:t>.</w:t>
      </w:r>
    </w:p>
    <w:p>
      <w:pPr>
        <w:spacing w:after="0" w:line="225"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Upon any payment or distribution of assets of a Subsidiary Guarantor referred to in this Article, the Trustee, subject to the provisions of Section 6.1, and the Holders of the Securities shall be entitled to rely upon any order or decree entered by any court of competent jurisdiction in which such Guarantor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Debt of such Subsidiary Guarantor and other indebtedness of such Subsidiary Guarantor, the amount thereof or payable thereon, the amount or amounts paid or distributed thereon and all other facts pertinent thereto or to this Article.</w:t>
      </w:r>
    </w:p>
    <w:p>
      <w:pPr>
        <w:spacing w:after="0" w:line="189" w:lineRule="exact"/>
        <w:rPr>
          <w:sz w:val="20"/>
          <w:szCs w:val="20"/>
          <w:color w:val="auto"/>
        </w:rPr>
      </w:pPr>
    </w:p>
    <w:p>
      <w:pPr>
        <w:ind w:left="440"/>
        <w:spacing w:after="0"/>
        <w:tabs>
          <w:tab w:leader="none" w:pos="1640" w:val="left"/>
        </w:tabs>
        <w:rPr>
          <w:sz w:val="20"/>
          <w:szCs w:val="20"/>
          <w:color w:val="auto"/>
        </w:rPr>
      </w:pPr>
      <w:r>
        <w:rPr>
          <w:rFonts w:ascii="Arial" w:cs="Arial" w:eastAsia="Arial" w:hAnsi="Arial"/>
          <w:sz w:val="18"/>
          <w:szCs w:val="18"/>
          <w:color w:val="auto"/>
        </w:rPr>
        <w:t>Section 14.12.</w:t>
      </w:r>
      <w:r>
        <w:rPr>
          <w:sz w:val="20"/>
          <w:szCs w:val="20"/>
          <w:color w:val="auto"/>
        </w:rPr>
        <w:tab/>
      </w:r>
      <w:r>
        <w:rPr>
          <w:rFonts w:ascii="Arial" w:cs="Arial" w:eastAsia="Arial" w:hAnsi="Arial"/>
          <w:sz w:val="16"/>
          <w:szCs w:val="16"/>
          <w:u w:val="single" w:color="auto"/>
          <w:color w:val="auto"/>
        </w:rPr>
        <w:t>Trustee Not Fiduciary for Holders of Senior Debt of such Subsidiary Guarantor</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Trustee shall not be deemed to owe any fiduciary duty to the holders of Senior Debt of a Subsidiary Guarantor and shall not be liable to any such holders if it shall in good faith mistakenly pay over or distribute to Holders of Securities or to the Company, a Subsidiary Guarantor, or to any other Person cash, property or securities to which any holders of Senior Debt of such Subsidiary Guarantor shall be entitled by virtue of this Article or otherwise.</w:t>
      </w:r>
    </w:p>
    <w:p>
      <w:pPr>
        <w:spacing w:after="0" w:line="187" w:lineRule="exact"/>
        <w:rPr>
          <w:sz w:val="20"/>
          <w:szCs w:val="20"/>
          <w:color w:val="auto"/>
        </w:rPr>
      </w:pPr>
    </w:p>
    <w:p>
      <w:pPr>
        <w:ind w:left="440"/>
        <w:spacing w:after="0"/>
        <w:tabs>
          <w:tab w:leader="none" w:pos="1640" w:val="left"/>
        </w:tabs>
        <w:rPr>
          <w:sz w:val="20"/>
          <w:szCs w:val="20"/>
          <w:color w:val="auto"/>
        </w:rPr>
      </w:pPr>
      <w:r>
        <w:rPr>
          <w:rFonts w:ascii="Arial" w:cs="Arial" w:eastAsia="Arial" w:hAnsi="Arial"/>
          <w:sz w:val="18"/>
          <w:szCs w:val="18"/>
          <w:color w:val="auto"/>
        </w:rPr>
        <w:t>Section 14.13.</w:t>
      </w:r>
      <w:r>
        <w:rPr>
          <w:sz w:val="20"/>
          <w:szCs w:val="20"/>
          <w:color w:val="auto"/>
        </w:rPr>
        <w:tab/>
      </w:r>
      <w:r>
        <w:rPr>
          <w:rFonts w:ascii="Arial" w:cs="Arial" w:eastAsia="Arial" w:hAnsi="Arial"/>
          <w:sz w:val="16"/>
          <w:szCs w:val="16"/>
          <w:u w:val="single" w:color="auto"/>
          <w:color w:val="auto"/>
        </w:rPr>
        <w:t>Rights of Trustee as Holder of Senior Debt of such Subsidiary Guarantor; Preservation of Trustee’s Rights</w:t>
      </w:r>
      <w:r>
        <w:rPr>
          <w:rFonts w:ascii="Arial" w:cs="Arial" w:eastAsia="Arial" w:hAnsi="Arial"/>
          <w:sz w:val="16"/>
          <w:szCs w:val="16"/>
          <w:color w:val="auto"/>
        </w:rPr>
        <w:t>.</w:t>
      </w:r>
    </w:p>
    <w:p>
      <w:pPr>
        <w:spacing w:after="0" w:line="225"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The Trustee in its individual capacity shall be entitled to all the rights set forth in this Article with respect to any Senior Debt of a Subsidiary Guarantor which may at any time be held by it, to the same extent as any other holder of Senior Debt of such Subsidiary Guarantor, and nothing in this Indenture shall deprive the Trustee of any of its rights as such holder.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Nothing in this Article shall apply to claims of, or payments to, the Trustee under or pursuant to Section 6.7.</w:t>
      </w:r>
    </w:p>
    <w:p>
      <w:pPr>
        <w:spacing w:after="0" w:line="225" w:lineRule="exact"/>
        <w:rPr>
          <w:sz w:val="20"/>
          <w:szCs w:val="20"/>
          <w:color w:val="auto"/>
        </w:rPr>
      </w:pPr>
    </w:p>
    <w:p>
      <w:pPr>
        <w:ind w:left="440"/>
        <w:spacing w:after="0"/>
        <w:tabs>
          <w:tab w:leader="none" w:pos="1640" w:val="left"/>
        </w:tabs>
        <w:rPr>
          <w:sz w:val="20"/>
          <w:szCs w:val="20"/>
          <w:color w:val="auto"/>
        </w:rPr>
      </w:pPr>
      <w:r>
        <w:rPr>
          <w:rFonts w:ascii="Arial" w:cs="Arial" w:eastAsia="Arial" w:hAnsi="Arial"/>
          <w:sz w:val="18"/>
          <w:szCs w:val="18"/>
          <w:color w:val="auto"/>
        </w:rPr>
        <w:t>Section 14.14.</w:t>
      </w:r>
      <w:r>
        <w:rPr>
          <w:sz w:val="20"/>
          <w:szCs w:val="20"/>
          <w:color w:val="auto"/>
        </w:rPr>
        <w:tab/>
      </w:r>
      <w:r>
        <w:rPr>
          <w:rFonts w:ascii="Arial" w:cs="Arial" w:eastAsia="Arial" w:hAnsi="Arial"/>
          <w:sz w:val="16"/>
          <w:szCs w:val="16"/>
          <w:u w:val="single" w:color="auto"/>
          <w:color w:val="auto"/>
        </w:rPr>
        <w:t>Article Applicable to Paying Agents</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In case at any time any Paying Agent other than the Trustee shall have been appointed by the Company and be then acting hereunder, the term “Trustee” as used in this Article shall in such case (unless the context otherwise requires) be construed as extending to and including such Paying Agent within its meaning as fully for all intents and purposes as if such Paying Agent were named in this Article in addition to or in place of the Trustee; provided, however, that Section 14.13 shall not apply to the Company, any Subsidiary Guarantor or any Affiliate of the Company if it or such Subsidiary Guarantor or Affiliate acts as Paying Agent.</w:t>
      </w:r>
    </w:p>
    <w:p>
      <w:pPr>
        <w:spacing w:after="0" w:line="188" w:lineRule="exact"/>
        <w:rPr>
          <w:sz w:val="20"/>
          <w:szCs w:val="20"/>
          <w:color w:val="auto"/>
        </w:rPr>
      </w:pPr>
    </w:p>
    <w:p>
      <w:pPr>
        <w:ind w:left="440"/>
        <w:spacing w:after="0"/>
        <w:tabs>
          <w:tab w:leader="none" w:pos="1640" w:val="left"/>
        </w:tabs>
        <w:rPr>
          <w:sz w:val="20"/>
          <w:szCs w:val="20"/>
          <w:color w:val="auto"/>
        </w:rPr>
      </w:pPr>
      <w:r>
        <w:rPr>
          <w:rFonts w:ascii="Arial" w:cs="Arial" w:eastAsia="Arial" w:hAnsi="Arial"/>
          <w:sz w:val="18"/>
          <w:szCs w:val="18"/>
          <w:color w:val="auto"/>
        </w:rPr>
        <w:t>Section 14.15.</w:t>
      </w:r>
      <w:r>
        <w:rPr>
          <w:sz w:val="20"/>
          <w:szCs w:val="20"/>
          <w:color w:val="auto"/>
        </w:rPr>
        <w:tab/>
      </w:r>
      <w:r>
        <w:rPr>
          <w:rFonts w:ascii="Arial" w:cs="Arial" w:eastAsia="Arial" w:hAnsi="Arial"/>
          <w:sz w:val="16"/>
          <w:szCs w:val="16"/>
          <w:u w:val="single" w:color="auto"/>
          <w:color w:val="auto"/>
        </w:rPr>
        <w:t>Defeasance of this Article XIV</w:t>
      </w:r>
      <w:r>
        <w:rPr>
          <w:rFonts w:ascii="Arial" w:cs="Arial" w:eastAsia="Arial" w:hAnsi="Arial"/>
          <w:sz w:val="16"/>
          <w:szCs w:val="16"/>
          <w:color w:val="auto"/>
        </w:rPr>
        <w:t>.</w:t>
      </w:r>
    </w:p>
    <w:p>
      <w:pPr>
        <w:spacing w:after="0" w:line="225" w:lineRule="exact"/>
        <w:rPr>
          <w:sz w:val="20"/>
          <w:szCs w:val="20"/>
          <w:color w:val="auto"/>
        </w:rPr>
      </w:pPr>
    </w:p>
    <w:p>
      <w:pPr>
        <w:ind w:right="460" w:firstLine="441"/>
        <w:spacing w:after="0" w:line="342" w:lineRule="auto"/>
        <w:rPr>
          <w:sz w:val="20"/>
          <w:szCs w:val="20"/>
          <w:color w:val="auto"/>
        </w:rPr>
      </w:pPr>
      <w:r>
        <w:rPr>
          <w:rFonts w:ascii="Arial" w:cs="Arial" w:eastAsia="Arial" w:hAnsi="Arial"/>
          <w:sz w:val="16"/>
          <w:szCs w:val="16"/>
          <w:color w:val="auto"/>
        </w:rPr>
        <w:t>The subordination of the Subsidiary Guarantees provided by this Article XIV is expressly made subject to the provisions for Defeasance or Covenant Defeasance of a series of Securities in Article XV hereof and, anything herein to the contrary notwithstanding, upon the effectiveness of</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195" w:name="page196"/>
    <w:bookmarkEnd w:id="195"/>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such Defeasance or Covenant Defeasance with respect to a series of Securities, the Subsidiary Guarantees of the Securities of such series shall thereupon cease to be subordinated pursuant to this Article XIV.</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DEFEASANCE AND COVENANT DEFEASANCE</w:t>
      </w:r>
    </w:p>
    <w:p>
      <w:pPr>
        <w:spacing w:after="0" w:line="229"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15.1.</w:t>
      </w:r>
      <w:r>
        <w:rPr>
          <w:sz w:val="20"/>
          <w:szCs w:val="20"/>
          <w:color w:val="auto"/>
        </w:rPr>
        <w:tab/>
      </w:r>
      <w:r>
        <w:rPr>
          <w:rFonts w:ascii="Arial" w:cs="Arial" w:eastAsia="Arial" w:hAnsi="Arial"/>
          <w:sz w:val="16"/>
          <w:szCs w:val="16"/>
          <w:u w:val="single" w:color="auto"/>
          <w:color w:val="auto"/>
        </w:rPr>
        <w:t>Company’s Option to Effect Defeasance or Covenant Defeasance</w:t>
      </w:r>
      <w:r>
        <w:rPr>
          <w:rFonts w:ascii="Arial" w:cs="Arial" w:eastAsia="Arial" w:hAnsi="Arial"/>
          <w:sz w:val="16"/>
          <w:szCs w:val="16"/>
          <w:color w:val="auto"/>
        </w:rPr>
        <w:t>.</w:t>
      </w:r>
    </w:p>
    <w:p>
      <w:pPr>
        <w:spacing w:after="0" w:line="225"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The Company may elect, at its option at any time, to have Section 15.2 or Section 15.3 applied to any Securities or any series of Securities, as the case may be, designated pursuant to Section 3.1 as being defeasible pursuant to such Section 15.2 or 15.3, in accordance with any applicable requirements provided pursuant to Section 3.1 and upon compliance with the conditions set forth below in this Article. Any such election shall be evidenced in or pursuant to a Board Resolution or in another manner specified as contemplated by Section 3.1 for such Securities.</w:t>
      </w:r>
    </w:p>
    <w:p>
      <w:pPr>
        <w:spacing w:after="0" w:line="154"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15.2.</w:t>
      </w:r>
      <w:r>
        <w:rPr>
          <w:sz w:val="20"/>
          <w:szCs w:val="20"/>
          <w:color w:val="auto"/>
        </w:rPr>
        <w:tab/>
      </w:r>
      <w:r>
        <w:rPr>
          <w:rFonts w:ascii="Arial" w:cs="Arial" w:eastAsia="Arial" w:hAnsi="Arial"/>
          <w:sz w:val="15"/>
          <w:szCs w:val="15"/>
          <w:u w:val="single" w:color="auto"/>
          <w:color w:val="auto"/>
        </w:rPr>
        <w:t>Defeasance and Discharge</w:t>
      </w:r>
      <w:r>
        <w:rPr>
          <w:rFonts w:ascii="Arial" w:cs="Arial" w:eastAsia="Arial" w:hAnsi="Arial"/>
          <w:sz w:val="15"/>
          <w:szCs w:val="15"/>
          <w:color w:val="auto"/>
        </w:rPr>
        <w:t>.</w:t>
      </w:r>
    </w:p>
    <w:p>
      <w:pPr>
        <w:spacing w:after="0" w:line="225"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Upon the Company’s exercise of its option (if any) to have this Section applied to any Securities or any series of Securities, as the case may be, the Company shall be deemed to have been discharged from its obligations, and each Subsidiary Guarantor shall be deemed to have been discharged from its obligations with respect to its Subsidiary Guarantee of such Securities, and the provisions of Articles XII and XIV shall cease to be effective, with respect to such Securities and Subsidiary Guarantees as provided in this Section on and after the date the conditions set forth in Section 15.4 are satisfied (herein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Section 15.4 and as more fully set forth in such Section, payments in respect of the principal of and any premium and interest on such Securities when payments are due, or, if applicable, to convert such Securities in accordance with their terms, (2) the Company’s and each Subsidiary Guarantor’s obligations with respect to such Securities under Sections 3.4, 3.5, 3.6, 10.2 and 10.3, and, if applicable, their obligations with respect to the conversion of such Securities, (3) the rights, powers, trusts, duties and immunities of the Trustee hereunder and (4) this Article. Subject to compliance with this Article, the Company may exercise its option (if any) to have this Section applied to any Securities notwithstanding the prior exercise of its option (if any) to have Section 15.3 applied to such Securities.</w:t>
      </w:r>
    </w:p>
    <w:p>
      <w:pPr>
        <w:spacing w:after="0" w:line="172"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15.3.</w:t>
      </w:r>
      <w:r>
        <w:rPr>
          <w:sz w:val="20"/>
          <w:szCs w:val="20"/>
          <w:color w:val="auto"/>
        </w:rPr>
        <w:tab/>
      </w:r>
      <w:r>
        <w:rPr>
          <w:rFonts w:ascii="Arial" w:cs="Arial" w:eastAsia="Arial" w:hAnsi="Arial"/>
          <w:sz w:val="15"/>
          <w:szCs w:val="15"/>
          <w:u w:val="single" w:color="auto"/>
          <w:color w:val="auto"/>
        </w:rPr>
        <w:t>Covenant Defeasance</w:t>
      </w:r>
      <w:r>
        <w:rPr>
          <w:rFonts w:ascii="Arial" w:cs="Arial" w:eastAsia="Arial" w:hAnsi="Arial"/>
          <w:sz w:val="15"/>
          <w:szCs w:val="15"/>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Upon the Company’s exercise of its option (if any) to have this Section applied to any Securities or any series of Securities, as the case may be,</w:t>
      </w:r>
    </w:p>
    <w:p>
      <w:pPr>
        <w:spacing w:after="0" w:line="46" w:lineRule="exact"/>
        <w:rPr>
          <w:sz w:val="20"/>
          <w:szCs w:val="20"/>
          <w:color w:val="auto"/>
        </w:rPr>
      </w:pPr>
    </w:p>
    <w:p>
      <w:pPr>
        <w:ind w:left="5420" w:right="1340" w:hanging="5416"/>
        <w:spacing w:after="0" w:line="433" w:lineRule="auto"/>
        <w:tabs>
          <w:tab w:leader="none" w:pos="2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Company shall be released from its obligations under Section 8.1(3), Sections 10.5 through 10.8, inclusive, and any covenants 74</w:t>
      </w:r>
    </w:p>
    <w:p>
      <w:pPr>
        <w:sectPr>
          <w:pgSz w:w="11900" w:h="16838" w:orient="portrait"/>
          <w:cols w:equalWidth="0" w:num="1">
            <w:col w:w="10960"/>
          </w:cols>
          <w:pgMar w:left="440" w:top="274" w:right="499" w:bottom="1440" w:gutter="0" w:footer="0" w:header="0"/>
        </w:sectPr>
      </w:pPr>
    </w:p>
    <w:bookmarkStart w:id="196" w:name="page197"/>
    <w:bookmarkEnd w:id="196"/>
    <w:p>
      <w:pPr>
        <w:ind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pursuant to Section 3.1(22), 9.1(2) or 9.1(7) for the benefit of the Holders of such Securities, and (2) the occurrence of any event specified in Sections 5.1(5) (with respect to any of Section 8.1(3), Sections 10.5 through 10.8, inclusive, and any such covenants provided pursuant to</w:t>
      </w:r>
    </w:p>
    <w:p>
      <w:pPr>
        <w:ind w:right="40"/>
        <w:spacing w:after="0" w:line="252" w:lineRule="auto"/>
        <w:rPr>
          <w:sz w:val="20"/>
          <w:szCs w:val="20"/>
          <w:color w:val="auto"/>
        </w:rPr>
      </w:pPr>
      <w:r>
        <w:rPr>
          <w:rFonts w:ascii="Arial" w:cs="Arial" w:eastAsia="Arial" w:hAnsi="Arial"/>
          <w:sz w:val="18"/>
          <w:szCs w:val="18"/>
          <w:color w:val="auto"/>
        </w:rPr>
        <w:t>Section 3.1(22), 9.1(2) or 9.1(7)), 5.1(6)) and 5.1(9) shall be deemed not to be or result in an Event of Default and (3) the provisions of Articles XII, XIII and XIV shall cease to be effective, in each case with respect to such Securities and Subsidiary Guarantees as provided in this Section on and after the date the conditions set forth in Section 15.4 are satisfied (herein called “Covenant Defeasance”). For this purpose, such Covenant Defeasance means that, with respect to such Securities, the Company and the Subsidiary Guarantors, as applicable, may omit to comply with and shall have no liability in respect of any term, condition or limitation set forth in any such specified Section (to the extent so specified in the case of Section 5.1(5)) or Article XII, XIII or Article XIV, whether directly or indirectly by reason of any reference elsewhere herein to any such Section or Article or by reason of any reference in any such Section or Article to any other provision herein or in any other document, but the remainder of this Indenture and such Securities shall be unaffected thereby.</w:t>
      </w:r>
    </w:p>
    <w:p>
      <w:pPr>
        <w:spacing w:after="0" w:line="192"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15.4.</w:t>
      </w:r>
      <w:r>
        <w:rPr>
          <w:sz w:val="20"/>
          <w:szCs w:val="20"/>
          <w:color w:val="auto"/>
        </w:rPr>
        <w:tab/>
      </w:r>
      <w:r>
        <w:rPr>
          <w:rFonts w:ascii="Arial" w:cs="Arial" w:eastAsia="Arial" w:hAnsi="Arial"/>
          <w:sz w:val="16"/>
          <w:szCs w:val="16"/>
          <w:u w:val="single" w:color="auto"/>
          <w:color w:val="auto"/>
        </w:rPr>
        <w:t>Conditions to Defeasance or Covenant Defeasance</w:t>
      </w:r>
      <w:r>
        <w:rPr>
          <w:rFonts w:ascii="Arial" w:cs="Arial" w:eastAsia="Arial" w:hAnsi="Arial"/>
          <w:sz w:val="16"/>
          <w:szCs w:val="16"/>
          <w:color w:val="auto"/>
        </w:rPr>
        <w:t>.</w:t>
      </w:r>
    </w:p>
    <w:p>
      <w:pPr>
        <w:spacing w:after="0" w:line="225"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The following shall be the conditions to the application of Section 15.2 or Section 15.3 to any Securities or any series of Securities, as the case may be:</w:t>
      </w:r>
    </w:p>
    <w:p>
      <w:pPr>
        <w:spacing w:after="0" w:line="62" w:lineRule="exact"/>
        <w:rPr>
          <w:sz w:val="20"/>
          <w:szCs w:val="20"/>
          <w:color w:val="auto"/>
        </w:rPr>
      </w:pPr>
    </w:p>
    <w:p>
      <w:pPr>
        <w:ind w:firstLine="444"/>
        <w:spacing w:after="0" w:line="283" w:lineRule="auto"/>
        <w:tabs>
          <w:tab w:leader="none" w:pos="827"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Company shall irrevocably have deposited or caused to be deposited with the Trustee (or another trustee which satisfies the requirements contemplated by Section 6.9 and agrees to comply with the provisions of this Article applicable to it) as trust funds in trust for the purpose of making the following payments, specifically pledged as security for, and dedicated solely to, the benefits of the Holders of such Securities, (A) money in an amount, or (B) U.S. Government Obligations which through the scheduled payment of principal and interest in respect thereof in accordance with their terms will provide, not later than one day before the due date of any payment, money in an amount, or (C) a combination thereof, 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w:t>
      </w:r>
    </w:p>
    <w:p>
      <w:pPr>
        <w:spacing w:after="0" w:line="3" w:lineRule="exact"/>
        <w:rPr>
          <w:rFonts w:ascii="Arial" w:cs="Arial" w:eastAsia="Arial" w:hAnsi="Arial"/>
          <w:sz w:val="16"/>
          <w:szCs w:val="16"/>
          <w:color w:val="auto"/>
        </w:rPr>
      </w:pPr>
    </w:p>
    <w:p>
      <w:pPr>
        <w:ind w:right="40" w:firstLine="4"/>
        <w:spacing w:after="0" w:line="273" w:lineRule="auto"/>
        <w:tabs>
          <w:tab w:leader="none" w:pos="25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0"/>
          </w:cols>
          <w:pgMar w:left="440" w:top="274" w:right="439" w:bottom="1440" w:gutter="0" w:footer="0" w:header="0"/>
        </w:sectPr>
      </w:pPr>
    </w:p>
    <w:bookmarkStart w:id="197" w:name="page198"/>
    <w:bookmarkEnd w:id="197"/>
    <w:p>
      <w:pPr>
        <w:ind w:right="100" w:firstLine="444"/>
        <w:spacing w:after="0" w:line="288" w:lineRule="auto"/>
        <w:tabs>
          <w:tab w:leader="none" w:pos="831" w:val="left"/>
        </w:tabs>
        <w:numPr>
          <w:ilvl w:val="1"/>
          <w:numId w:val="1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an election to have Section 15.2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w:t>
      </w:r>
    </w:p>
    <w:p>
      <w:pPr>
        <w:ind w:firstLine="4"/>
        <w:spacing w:after="0" w:line="302" w:lineRule="auto"/>
        <w:tabs>
          <w:tab w:leader="none" w:pos="28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and Defeasance were not to occur.</w:t>
      </w:r>
    </w:p>
    <w:p>
      <w:pPr>
        <w:spacing w:after="0" w:line="47" w:lineRule="exact"/>
        <w:rPr>
          <w:rFonts w:ascii="Arial" w:cs="Arial" w:eastAsia="Arial" w:hAnsi="Arial"/>
          <w:sz w:val="16"/>
          <w:szCs w:val="16"/>
          <w:color w:val="auto"/>
        </w:rPr>
      </w:pPr>
    </w:p>
    <w:p>
      <w:pPr>
        <w:ind w:right="140" w:firstLine="444"/>
        <w:spacing w:after="0" w:line="302" w:lineRule="auto"/>
        <w:tabs>
          <w:tab w:leader="none" w:pos="831" w:val="left"/>
        </w:tabs>
        <w:numPr>
          <w:ilvl w:val="1"/>
          <w:numId w:val="136"/>
        </w:numPr>
        <w:rPr>
          <w:rFonts w:ascii="Arial" w:cs="Arial" w:eastAsia="Arial" w:hAnsi="Arial"/>
          <w:sz w:val="16"/>
          <w:szCs w:val="16"/>
          <w:color w:val="auto"/>
        </w:rPr>
      </w:pPr>
      <w:r>
        <w:rPr>
          <w:rFonts w:ascii="Arial" w:cs="Arial" w:eastAsia="Arial" w:hAnsi="Arial"/>
          <w:sz w:val="16"/>
          <w:szCs w:val="16"/>
          <w:color w:val="auto"/>
        </w:rPr>
        <w:t>In the event of an election to have Section 15.3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46" w:lineRule="exact"/>
        <w:rPr>
          <w:rFonts w:ascii="Arial" w:cs="Arial" w:eastAsia="Arial" w:hAnsi="Arial"/>
          <w:sz w:val="16"/>
          <w:szCs w:val="16"/>
          <w:color w:val="auto"/>
        </w:rPr>
      </w:pPr>
    </w:p>
    <w:p>
      <w:pPr>
        <w:ind w:right="100" w:firstLine="444"/>
        <w:spacing w:after="0" w:line="277" w:lineRule="auto"/>
        <w:tabs>
          <w:tab w:leader="none" w:pos="82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62" w:lineRule="exact"/>
        <w:rPr>
          <w:rFonts w:ascii="Arial" w:cs="Arial" w:eastAsia="Arial" w:hAnsi="Arial"/>
          <w:sz w:val="18"/>
          <w:szCs w:val="18"/>
          <w:color w:val="auto"/>
        </w:rPr>
      </w:pPr>
    </w:p>
    <w:p>
      <w:pPr>
        <w:ind w:right="20" w:firstLine="444"/>
        <w:spacing w:after="0" w:line="279" w:lineRule="auto"/>
        <w:tabs>
          <w:tab w:leader="none" w:pos="831" w:val="left"/>
        </w:tabs>
        <w:numPr>
          <w:ilvl w:val="1"/>
          <w:numId w:val="136"/>
        </w:numPr>
        <w:rPr>
          <w:rFonts w:ascii="Arial" w:cs="Arial" w:eastAsia="Arial" w:hAnsi="Arial"/>
          <w:sz w:val="17"/>
          <w:szCs w:val="17"/>
          <w:color w:val="auto"/>
        </w:rPr>
      </w:pPr>
      <w:r>
        <w:rPr>
          <w:rFonts w:ascii="Arial" w:cs="Arial" w:eastAsia="Arial" w:hAnsi="Arial"/>
          <w:sz w:val="17"/>
          <w:szCs w:val="17"/>
          <w:color w:val="auto"/>
        </w:rPr>
        <w:t>No event which is, or after notice or lapse of time or both would become, an Event of Default with respect to such Securities shall have occurred and be continuing at the time of such deposit or, with regard to any such event specified in Sections 5.1(6) and (7), at any time on or prior to the 121st day after the date of such deposit (it being understood that this condition shall not be deemed satisfied until after such 121st day) (in each case, other than as a result of borrowing funds in connection with such defeasance or granting of liens in connection herewith).</w:t>
      </w:r>
    </w:p>
    <w:p>
      <w:pPr>
        <w:spacing w:after="0" w:line="63" w:lineRule="exact"/>
        <w:rPr>
          <w:rFonts w:ascii="Arial" w:cs="Arial" w:eastAsia="Arial" w:hAnsi="Arial"/>
          <w:sz w:val="17"/>
          <w:szCs w:val="17"/>
          <w:color w:val="auto"/>
        </w:rPr>
      </w:pPr>
    </w:p>
    <w:p>
      <w:pPr>
        <w:ind w:right="60" w:firstLine="444"/>
        <w:spacing w:after="0" w:line="277" w:lineRule="auto"/>
        <w:tabs>
          <w:tab w:leader="none" w:pos="831" w:val="left"/>
        </w:tabs>
        <w:numPr>
          <w:ilvl w:val="1"/>
          <w:numId w:val="136"/>
        </w:numPr>
        <w:rPr>
          <w:rFonts w:ascii="Arial" w:cs="Arial" w:eastAsia="Arial" w:hAnsi="Arial"/>
          <w:sz w:val="18"/>
          <w:szCs w:val="18"/>
          <w:color w:val="auto"/>
        </w:rPr>
      </w:pPr>
      <w:r>
        <w:rPr>
          <w:rFonts w:ascii="Arial" w:cs="Arial" w:eastAsia="Arial" w:hAnsi="Arial"/>
          <w:sz w:val="18"/>
          <w:szCs w:val="18"/>
          <w:color w:val="auto"/>
        </w:rPr>
        <w:t>Such Defeasance or Covenant Defeasance shall not cause the Trustee to have a conflicting interest within the meaning of the Trust Indenture Act (assuming all Securities are in default within the meaning of such Act).</w:t>
      </w:r>
    </w:p>
    <w:p>
      <w:pPr>
        <w:spacing w:after="0" w:line="62" w:lineRule="exact"/>
        <w:rPr>
          <w:rFonts w:ascii="Arial" w:cs="Arial" w:eastAsia="Arial" w:hAnsi="Arial"/>
          <w:sz w:val="18"/>
          <w:szCs w:val="18"/>
          <w:color w:val="auto"/>
        </w:rPr>
      </w:pPr>
    </w:p>
    <w:p>
      <w:pPr>
        <w:ind w:firstLine="444"/>
        <w:spacing w:after="0" w:line="277" w:lineRule="auto"/>
        <w:tabs>
          <w:tab w:leader="none" w:pos="831" w:val="left"/>
        </w:tabs>
        <w:numPr>
          <w:ilvl w:val="1"/>
          <w:numId w:val="136"/>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material breach or violation of, or constitute a default under, any other material agreement or material instrument to which the Company or any Subsidiary is a party or by which it is bound.</w:t>
      </w:r>
    </w:p>
    <w:p>
      <w:pPr>
        <w:spacing w:after="0" w:line="62" w:lineRule="exact"/>
        <w:rPr>
          <w:rFonts w:ascii="Arial" w:cs="Arial" w:eastAsia="Arial" w:hAnsi="Arial"/>
          <w:sz w:val="18"/>
          <w:szCs w:val="18"/>
          <w:color w:val="auto"/>
        </w:rPr>
      </w:pPr>
    </w:p>
    <w:p>
      <w:pPr>
        <w:ind w:right="140" w:firstLine="444"/>
        <w:spacing w:after="0" w:line="302" w:lineRule="auto"/>
        <w:tabs>
          <w:tab w:leader="none" w:pos="821"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At the time of such deposit, (A) no default in the payment of any principal of or premium or interest on any Senior Debt of the Company or any Subsidiary Guarantor shall have occurred and be continuing, (B) no event of default with respect to any Senior Debt of the Company or any Subsidiary Guarantor shall have resulted in such Senior Debt becoming, and continuing to be, due and payable prior to the date on which it would otherwise have become due and payable (unless payment of such Senior Debt has been made or duly provided for), and (C) no</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20"/>
          </w:cols>
          <w:pgMar w:left="440" w:top="274" w:right="439" w:bottom="1440" w:gutter="0" w:footer="0" w:header="0"/>
        </w:sectPr>
      </w:pPr>
    </w:p>
    <w:bookmarkStart w:id="198" w:name="page199"/>
    <w:bookmarkEnd w:id="198"/>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material event of default with respect to any Senior Debt of the Company or any Subsidiary Guarantor shall have occurred and be continuing permitting (after notice or lapse of time or both) the holders of such Senior Debt (or a trustee on behalf of such holders) to declare such Senior Debt due and payable prior to the date on which it would otherwise have become due and payable.</w:t>
      </w:r>
    </w:p>
    <w:p>
      <w:pPr>
        <w:spacing w:after="0" w:line="73" w:lineRule="exact"/>
        <w:rPr>
          <w:sz w:val="20"/>
          <w:szCs w:val="20"/>
          <w:color w:val="auto"/>
        </w:rPr>
      </w:pPr>
    </w:p>
    <w:p>
      <w:pPr>
        <w:ind w:right="660" w:firstLine="444"/>
        <w:spacing w:after="0" w:line="277" w:lineRule="auto"/>
        <w:tabs>
          <w:tab w:leader="none" w:pos="82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170"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15.5.</w:t>
      </w:r>
      <w:r>
        <w:rPr>
          <w:sz w:val="20"/>
          <w:szCs w:val="20"/>
          <w:color w:val="auto"/>
        </w:rPr>
        <w:tab/>
      </w:r>
      <w:r>
        <w:rPr>
          <w:rFonts w:ascii="Arial" w:cs="Arial" w:eastAsia="Arial" w:hAnsi="Arial"/>
          <w:sz w:val="16"/>
          <w:szCs w:val="16"/>
          <w:u w:val="single" w:color="auto"/>
          <w:color w:val="auto"/>
        </w:rPr>
        <w:t>Deposited Money and U.S. Government Obligations to Be Held in Trust; Miscellaneous Provisions</w:t>
      </w:r>
      <w:r>
        <w:rPr>
          <w:rFonts w:ascii="Arial" w:cs="Arial" w:eastAsia="Arial" w:hAnsi="Arial"/>
          <w:sz w:val="16"/>
          <w:szCs w:val="16"/>
          <w:color w:val="auto"/>
        </w:rPr>
        <w:t>.</w:t>
      </w:r>
    </w:p>
    <w:p>
      <w:pPr>
        <w:spacing w:after="0" w:line="225"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Subject to the provisions of the last paragraph of Section 10.3, all money and U.S. Government Obligations (including the proceeds thereof) deposited with the Trustee or other qualifying trustee (solely for purposes of this Section and Section 15.6, the Trustee and any such other trustee are referred to collectively as the “Trustee”) pursuant to Section 15.4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Money and U.S. Government Obligations so held in trust shall not be subject to the provisions of Article XII or Article XIV.</w:t>
      </w:r>
    </w:p>
    <w:p>
      <w:pPr>
        <w:spacing w:after="0" w:line="167"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U.S. Government Obligations deposited pursuant to Section 15.4 or the principal and interest received in respect thereof other than any such tax, fee or other charge which by law is for the account of the Holders of Outstanding Securities.</w:t>
      </w:r>
    </w:p>
    <w:p>
      <w:pPr>
        <w:spacing w:after="0" w:line="181"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Anything in this Article to the contrary notwithstanding, the Trustee shall deliver or pay to the Company from time to time upon Company Request any money or U.S. Government Obligations held by it as provided in Section 15.4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188"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15.6.</w:t>
      </w:r>
      <w:r>
        <w:rPr>
          <w:sz w:val="20"/>
          <w:szCs w:val="20"/>
          <w:color w:val="auto"/>
        </w:rPr>
        <w:tab/>
      </w:r>
      <w:r>
        <w:rPr>
          <w:rFonts w:ascii="Arial" w:cs="Arial" w:eastAsia="Arial" w:hAnsi="Arial"/>
          <w:sz w:val="16"/>
          <w:szCs w:val="16"/>
          <w:u w:val="single" w:color="auto"/>
          <w:color w:val="auto"/>
        </w:rPr>
        <w:t>Reinstatement</w:t>
      </w:r>
      <w:r>
        <w:rPr>
          <w:rFonts w:ascii="Arial" w:cs="Arial" w:eastAsia="Arial" w:hAnsi="Arial"/>
          <w:sz w:val="16"/>
          <w:szCs w:val="16"/>
          <w:color w:val="auto"/>
        </w:rPr>
        <w:t>.</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15.2 or 15.3 shall be revived and reinstated as though no deposit had occurred pursuant to this Article with respect to such Securities, until such time as the Trustee or Paying Agent is permitted to apply all money held in trust pursuant to Section 15.5 with respect to such Securities in accordance with this Article; provided, however, that if the Company makes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199" w:name="page200"/>
    <w:bookmarkEnd w:id="199"/>
    <w:p>
      <w:pPr>
        <w:ind w:right="4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SINKING FUNDS</w:t>
      </w:r>
    </w:p>
    <w:p>
      <w:pPr>
        <w:spacing w:after="0" w:line="229"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16.1.</w:t>
      </w:r>
      <w:r>
        <w:rPr>
          <w:sz w:val="20"/>
          <w:szCs w:val="20"/>
          <w:color w:val="auto"/>
        </w:rPr>
        <w:tab/>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any series except as otherwise specified as contemplated by Section 3.1 for such Securities.</w:t>
      </w:r>
    </w:p>
    <w:p>
      <w:pPr>
        <w:spacing w:after="0" w:line="170" w:lineRule="exact"/>
        <w:rPr>
          <w:sz w:val="20"/>
          <w:szCs w:val="20"/>
          <w:color w:val="auto"/>
        </w:rPr>
      </w:pPr>
    </w:p>
    <w:p>
      <w:pPr>
        <w:jc w:val="both"/>
        <w:ind w:firstLine="441"/>
        <w:spacing w:after="0" w:line="302" w:lineRule="auto"/>
        <w:rPr>
          <w:sz w:val="20"/>
          <w:szCs w:val="20"/>
          <w:color w:val="auto"/>
        </w:rPr>
      </w:pPr>
      <w:r>
        <w:rPr>
          <w:rFonts w:ascii="Arial" w:cs="Arial" w:eastAsia="Arial" w:hAnsi="Arial"/>
          <w:sz w:val="16"/>
          <w:szCs w:val="16"/>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16.2. Each sinking fund payment shall be applied to the redemption of Securities as provided for by the terms of such Securities.</w:t>
      </w:r>
    </w:p>
    <w:p>
      <w:pPr>
        <w:spacing w:after="0" w:line="154"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16.2.</w:t>
      </w:r>
      <w:r>
        <w:rPr>
          <w:sz w:val="20"/>
          <w:szCs w:val="20"/>
          <w:color w:val="auto"/>
        </w:rPr>
        <w:tab/>
      </w:r>
      <w:r>
        <w:rPr>
          <w:rFonts w:ascii="Arial" w:cs="Arial" w:eastAsia="Arial" w:hAnsi="Arial"/>
          <w:sz w:val="16"/>
          <w:szCs w:val="16"/>
          <w:u w:val="single" w:color="auto"/>
          <w:color w:val="auto"/>
        </w:rPr>
        <w:t>Satisfaction of Sinking Fund Payments with Securities</w:t>
      </w:r>
      <w:r>
        <w:rPr>
          <w:rFonts w:ascii="Arial" w:cs="Arial" w:eastAsia="Arial" w:hAnsi="Arial"/>
          <w:sz w:val="16"/>
          <w:szCs w:val="16"/>
          <w:color w:val="auto"/>
        </w:rPr>
        <w:t>.</w:t>
      </w:r>
    </w:p>
    <w:p>
      <w:pPr>
        <w:spacing w:after="0" w:line="225"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The Company (1) may deliver Outstanding Securities of a series (other than any previously called for redemption) and (2) may apply as a credit Securities of a series which have been (x) converted or (y)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however,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67"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16.3.</w:t>
      </w:r>
      <w:r>
        <w:rPr>
          <w:sz w:val="20"/>
          <w:szCs w:val="20"/>
          <w:color w:val="auto"/>
        </w:rPr>
        <w:tab/>
      </w:r>
      <w:r>
        <w:rPr>
          <w:rFonts w:ascii="Arial" w:cs="Arial" w:eastAsia="Arial" w:hAnsi="Arial"/>
          <w:sz w:val="16"/>
          <w:szCs w:val="16"/>
          <w:u w:val="single" w:color="auto"/>
          <w:color w:val="auto"/>
        </w:rPr>
        <w:t>Redemption of Securities for Sinking Fund</w:t>
      </w:r>
      <w:r>
        <w:rPr>
          <w:rFonts w:ascii="Arial" w:cs="Arial" w:eastAsia="Arial" w:hAnsi="Arial"/>
          <w:sz w:val="16"/>
          <w:szCs w:val="16"/>
          <w:color w:val="auto"/>
        </w:rPr>
        <w:t>.</w:t>
      </w:r>
    </w:p>
    <w:p>
      <w:pPr>
        <w:spacing w:after="0" w:line="225"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Not less than 35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16.2 and will also deliver to the Trustee any Securities to be so delivered. Not less than 32 days prior to each such sinking fund payment date, the Trustee shall select the Securities to be redeemed upon such sinking fund payment date in the manner specified in Section 11.3 and cause notice of the redemption thereof to be given in the name of and at the expense of the Company in the manner provided in Section 1104. Such notice having been duly given, the redemption of such Securities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80"/>
          </w:cols>
          <w:pgMar w:left="440" w:top="274" w:right="479" w:bottom="1440" w:gutter="0" w:footer="0" w:header="0"/>
        </w:sectPr>
      </w:pPr>
    </w:p>
    <w:bookmarkStart w:id="200" w:name="page201"/>
    <w:bookmarkEnd w:id="200"/>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made upon the terms and in the manner stated in Sections 11.6 and 11.7. This instrument may be executed in any number of counterparts, each of which so executed shall be deemed to be an original, but all such counterparts shall together constitute but one and the same instrument.</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880"/>
          </w:cols>
          <w:pgMar w:left="440" w:top="274" w:right="579" w:bottom="1440" w:gutter="0" w:footer="0" w:header="0"/>
        </w:sectPr>
      </w:pPr>
    </w:p>
    <w:bookmarkStart w:id="201" w:name="page202"/>
    <w:bookmarkEnd w:id="20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Indenture to be duly executed, all as of the day and year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ISSUER: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CALIFORNIA RESOURCES CORPORATION</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4264025</wp:posOffset>
            </wp:positionH>
            <wp:positionV relativeFrom="paragraph">
              <wp:posOffset>-130810</wp:posOffset>
            </wp:positionV>
            <wp:extent cx="246126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4264025</wp:posOffset>
            </wp:positionH>
            <wp:positionV relativeFrom="paragraph">
              <wp:posOffset>22860</wp:posOffset>
            </wp:positionV>
            <wp:extent cx="246126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1">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-121920</wp:posOffset>
            </wp:positionV>
            <wp:extent cx="246126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SUBSIDIARY GUARANTORS: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[INSERT SUBSIDIARY GUARANTORS]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4264025</wp:posOffset>
            </wp:positionH>
            <wp:positionV relativeFrom="paragraph">
              <wp:posOffset>-130810</wp:posOffset>
            </wp:positionV>
            <wp:extent cx="246126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4264025</wp:posOffset>
            </wp:positionH>
            <wp:positionV relativeFrom="paragraph">
              <wp:posOffset>22860</wp:posOffset>
            </wp:positionV>
            <wp:extent cx="246126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4">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-121920</wp:posOffset>
            </wp:positionV>
            <wp:extent cx="24612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TRUSTEE: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[TRUSTEE’S 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4264025</wp:posOffset>
            </wp:positionH>
            <wp:positionV relativeFrom="paragraph">
              <wp:posOffset>-130810</wp:posOffset>
            </wp:positionV>
            <wp:extent cx="24612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4264025</wp:posOffset>
            </wp:positionH>
            <wp:positionV relativeFrom="paragraph">
              <wp:posOffset>22860</wp:posOffset>
            </wp:positionV>
            <wp:extent cx="24612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7">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-121920</wp:posOffset>
            </wp:positionV>
            <wp:extent cx="246126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 Page to Senior Indenture]</w:t>
      </w:r>
    </w:p>
    <w:p>
      <w:pPr>
        <w:sectPr>
          <w:pgSz w:w="11900" w:h="16838" w:orient="portrait"/>
          <w:cols w:equalWidth="0" w:num="1">
            <w:col w:w="9960"/>
          </w:cols>
          <w:pgMar w:left="880" w:top="274" w:right="105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SUBSIDIARY GUARANTORS</w:t>
      </w:r>
    </w:p>
    <w:p>
      <w:pPr>
        <w:spacing w:after="0" w:line="248" w:lineRule="exact"/>
        <w:rPr>
          <w:sz w:val="20"/>
          <w:szCs w:val="20"/>
          <w:color w:val="auto"/>
        </w:rPr>
      </w:pPr>
    </w:p>
    <w:p>
      <w:pPr>
        <w:ind w:left="1380"/>
        <w:spacing w:after="0"/>
        <w:tabs>
          <w:tab w:leader="none" w:pos="6480" w:val="left"/>
        </w:tabs>
        <w:rPr>
          <w:sz w:val="20"/>
          <w:szCs w:val="20"/>
          <w:color w:val="auto"/>
        </w:rPr>
      </w:pPr>
      <w:r>
        <w:rPr>
          <w:rFonts w:ascii="Arial" w:cs="Arial" w:eastAsia="Arial" w:hAnsi="Arial"/>
          <w:sz w:val="14"/>
          <w:szCs w:val="14"/>
          <w:b w:val="1"/>
          <w:bCs w:val="1"/>
          <w:u w:val="single" w:color="auto"/>
          <w:color w:val="auto"/>
        </w:rPr>
        <w:t>SUBSIDIARY</w:t>
      </w:r>
      <w:r>
        <w:rPr>
          <w:sz w:val="20"/>
          <w:szCs w:val="20"/>
          <w:color w:val="auto"/>
        </w:rPr>
        <w:tab/>
      </w:r>
      <w:r>
        <w:rPr>
          <w:rFonts w:ascii="Arial" w:cs="Arial" w:eastAsia="Arial" w:hAnsi="Arial"/>
          <w:sz w:val="14"/>
          <w:szCs w:val="14"/>
          <w:b w:val="1"/>
          <w:bCs w:val="1"/>
          <w:u w:val="single" w:color="auto"/>
          <w:color w:val="auto"/>
        </w:rPr>
        <w:t>STATE OF ORGANIZATION</w:t>
      </w:r>
    </w:p>
    <w:p>
      <w:pPr>
        <w:spacing w:after="0" w:line="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[Insert Subsidiary Guarantors]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w:t>
      </w:r>
    </w:p>
    <w:p>
      <w:pPr>
        <w:sectPr>
          <w:pgSz w:w="11900" w:h="16838" w:orient="portrait"/>
          <w:cols w:equalWidth="0" w:num="1">
            <w:col w:w="9019"/>
          </w:cols>
          <w:pgMar w:left="1440" w:top="270" w:right="1440"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449070" cy="1803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0">
                      <a:extLst>
                        <a:ext uri="{28A0092B-C50C-407E-A947-70E740481C1C}"/>
                      </a:extLst>
                    </a:blip>
                    <a:srcRect/>
                    <a:stretch>
                      <a:fillRect/>
                    </a:stretch>
                  </pic:blipFill>
                  <pic:spPr bwMode="auto">
                    <a:xfrm>
                      <a:off x="0" y="0"/>
                      <a:ext cx="144907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27200 Tourney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Clarita, CA 91355</w:t>
      </w:r>
    </w:p>
    <w:p>
      <w:pPr>
        <w:spacing w:after="0" w:line="11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Registration Statement on Form S-3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120" w:firstLine="441"/>
        <w:spacing w:after="0" w:line="281" w:lineRule="auto"/>
        <w:rPr>
          <w:sz w:val="20"/>
          <w:szCs w:val="20"/>
          <w:color w:val="auto"/>
        </w:rPr>
      </w:pPr>
      <w:r>
        <w:rPr>
          <w:rFonts w:ascii="Arial" w:cs="Arial" w:eastAsia="Arial" w:hAnsi="Arial"/>
          <w:sz w:val="17"/>
          <w:szCs w:val="17"/>
          <w:color w:val="auto"/>
        </w:rPr>
        <w:t>We have acted as counsel for California Resources Corporation,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certain of its subsidiaries with respect to the preparation and filing of a registration statement on Form S-3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filed on the date hereof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in connection with the registration under the Securities Act of 1933, as amended (the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of the offer and sale by the Company from time to time, pursuant to Rule 415 under the Securities Act, of:</w:t>
      </w:r>
    </w:p>
    <w:p>
      <w:pPr>
        <w:spacing w:after="0" w:line="74" w:lineRule="exact"/>
        <w:rPr>
          <w:sz w:val="20"/>
          <w:szCs w:val="20"/>
          <w:color w:val="auto"/>
        </w:rPr>
      </w:pPr>
    </w:p>
    <w:p>
      <w:pPr>
        <w:ind w:left="860" w:right="60" w:hanging="424"/>
        <w:spacing w:after="0" w:line="279" w:lineRule="auto"/>
        <w:tabs>
          <w:tab w:leader="none" w:pos="8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debt securities, which may be either senior or subordinated and may be issued in one or more series, consisting of notes, debentures or other evidences of indebtedness, certain of which may be convertible into or exchangeable for other securities (the “</w:t>
      </w:r>
      <w:r>
        <w:rPr>
          <w:rFonts w:ascii="Arial" w:cs="Arial" w:eastAsia="Arial" w:hAnsi="Arial"/>
          <w:sz w:val="17"/>
          <w:szCs w:val="17"/>
          <w:b w:val="1"/>
          <w:bCs w:val="1"/>
          <w:color w:val="auto"/>
        </w:rPr>
        <w:t>Debt Securities</w:t>
      </w:r>
      <w:r>
        <w:rPr>
          <w:rFonts w:ascii="Arial" w:cs="Arial" w:eastAsia="Arial" w:hAnsi="Arial"/>
          <w:sz w:val="17"/>
          <w:szCs w:val="17"/>
          <w:color w:val="auto"/>
        </w:rPr>
        <w:t>”) and which may be fully and unconditionally guaranteed (the “</w:t>
      </w:r>
      <w:r>
        <w:rPr>
          <w:rFonts w:ascii="Arial" w:cs="Arial" w:eastAsia="Arial" w:hAnsi="Arial"/>
          <w:sz w:val="17"/>
          <w:szCs w:val="17"/>
          <w:b w:val="1"/>
          <w:bCs w:val="1"/>
          <w:color w:val="auto"/>
        </w:rPr>
        <w:t>Guarantees</w:t>
      </w:r>
      <w:r>
        <w:rPr>
          <w:rFonts w:ascii="Arial" w:cs="Arial" w:eastAsia="Arial" w:hAnsi="Arial"/>
          <w:sz w:val="17"/>
          <w:szCs w:val="17"/>
          <w:color w:val="auto"/>
        </w:rPr>
        <w:t>”) by certain of the Company’s subsidiaries listed as co-registrants in the Registration Statement or an amendment thereto (the “</w:t>
      </w:r>
      <w:r>
        <w:rPr>
          <w:rFonts w:ascii="Arial" w:cs="Arial" w:eastAsia="Arial" w:hAnsi="Arial"/>
          <w:sz w:val="17"/>
          <w:szCs w:val="17"/>
          <w:b w:val="1"/>
          <w:bCs w:val="1"/>
          <w:color w:val="auto"/>
        </w:rPr>
        <w:t>Subsidiary Guarantors</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left="860" w:right="40" w:hanging="424"/>
        <w:spacing w:after="0" w:line="282" w:lineRule="auto"/>
        <w:tabs>
          <w:tab w:leader="none" w:pos="8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shares of preferred stock, par value $0.01 per share, of the Company, in one or more series (the “</w:t>
      </w:r>
      <w:r>
        <w:rPr>
          <w:rFonts w:ascii="Arial" w:cs="Arial" w:eastAsia="Arial" w:hAnsi="Arial"/>
          <w:sz w:val="18"/>
          <w:szCs w:val="18"/>
          <w:b w:val="1"/>
          <w:bCs w:val="1"/>
          <w:color w:val="auto"/>
        </w:rPr>
        <w:t>Preferred Stock</w:t>
      </w:r>
      <w:r>
        <w:rPr>
          <w:rFonts w:ascii="Arial" w:cs="Arial" w:eastAsia="Arial" w:hAnsi="Arial"/>
          <w:sz w:val="18"/>
          <w:szCs w:val="18"/>
          <w:color w:val="auto"/>
        </w:rPr>
        <w:t>”), which may be issued in the form of depositary shares evidenced by depositary receipts (the “</w:t>
      </w:r>
      <w:r>
        <w:rPr>
          <w:rFonts w:ascii="Arial" w:cs="Arial" w:eastAsia="Arial" w:hAnsi="Arial"/>
          <w:sz w:val="18"/>
          <w:szCs w:val="18"/>
          <w:b w:val="1"/>
          <w:bCs w:val="1"/>
          <w:color w:val="auto"/>
        </w:rPr>
        <w:t>Depositary Shares</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860" w:hanging="424"/>
        <w:spacing w:after="0"/>
        <w:tabs>
          <w:tab w:leader="none" w:pos="8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shares of common stock, par value $0.01 per share, of the Company (the “</w:t>
      </w:r>
      <w:r>
        <w:rPr>
          <w:rFonts w:ascii="Arial" w:cs="Arial" w:eastAsia="Arial" w:hAnsi="Arial"/>
          <w:sz w:val="18"/>
          <w:szCs w:val="18"/>
          <w:b w:val="1"/>
          <w:bCs w:val="1"/>
          <w:color w:val="auto"/>
        </w:rPr>
        <w:t>Common Stock</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860" w:right="240" w:hanging="424"/>
        <w:spacing w:after="0" w:line="282" w:lineRule="auto"/>
        <w:tabs>
          <w:tab w:leader="none" w:pos="8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warrants for the purchase of Common Stock (the “</w:t>
      </w:r>
      <w:r>
        <w:rPr>
          <w:rFonts w:ascii="Arial" w:cs="Arial" w:eastAsia="Arial" w:hAnsi="Arial"/>
          <w:sz w:val="18"/>
          <w:szCs w:val="18"/>
          <w:b w:val="1"/>
          <w:bCs w:val="1"/>
          <w:color w:val="auto"/>
        </w:rPr>
        <w:t>Warrants</w:t>
      </w:r>
      <w:r>
        <w:rPr>
          <w:rFonts w:ascii="Arial" w:cs="Arial" w:eastAsia="Arial" w:hAnsi="Arial"/>
          <w:sz w:val="18"/>
          <w:szCs w:val="18"/>
          <w:color w:val="auto"/>
        </w:rPr>
        <w:t>” and, together with the Debt Securities, the Guarantees, the Preferred Stock, the Depositary Shares and the Common Stock,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62"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color w:val="auto"/>
        </w:rPr>
        <w:t>We have also participated in the preparation of the prospectus (the “</w:t>
      </w:r>
      <w:r>
        <w:rPr>
          <w:rFonts w:ascii="Arial" w:cs="Arial" w:eastAsia="Arial" w:hAnsi="Arial"/>
          <w:sz w:val="18"/>
          <w:szCs w:val="18"/>
          <w:b w:val="1"/>
          <w:bCs w:val="1"/>
          <w:color w:val="auto"/>
        </w:rPr>
        <w:t>Prospectus</w:t>
      </w:r>
      <w:r>
        <w:rPr>
          <w:rFonts w:ascii="Arial" w:cs="Arial" w:eastAsia="Arial" w:hAnsi="Arial"/>
          <w:sz w:val="18"/>
          <w:szCs w:val="18"/>
          <w:color w:val="auto"/>
        </w:rPr>
        <w:t>”) contained in the Registration Statement to which this opinion is an exhibit. The Securities will be offered in amounts, at prices and on terms to be determined in light of market conditions at the time of sale and to be set forth in the Prospectus or in a supplement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5351145" cy="3257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1">
                      <a:extLst>
                        <a:ext uri="{28A0092B-C50C-407E-A947-70E740481C1C}"/>
                      </a:extLst>
                    </a:blip>
                    <a:srcRect/>
                    <a:stretch>
                      <a:fillRect/>
                    </a:stretch>
                  </pic:blipFill>
                  <pic:spPr bwMode="auto">
                    <a:xfrm>
                      <a:off x="0" y="0"/>
                      <a:ext cx="5351145" cy="3257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204" w:name="page205"/>
    <w:bookmarkEnd w:id="204"/>
    <w:p>
      <w:pPr>
        <w:jc w:val="right"/>
        <w:spacing w:after="0"/>
        <w:tabs>
          <w:tab w:leader="none" w:pos="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437515" cy="1714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437515" cy="171450"/>
                    </a:xfrm>
                    <a:prstGeom prst="rect">
                      <a:avLst/>
                    </a:prstGeom>
                    <a:noFill/>
                  </pic:spPr>
                </pic:pic>
              </a:graphicData>
            </a:graphic>
          </wp:anchor>
        </w:drawing>
        <w:t xml:space="preserve">California Resources Corporation </w:t>
      </w:r>
      <w:r>
        <w:rPr>
          <w:rFonts w:ascii="Arial" w:cs="Arial" w:eastAsia="Arial" w:hAnsi="Arial"/>
          <w:sz w:val="18"/>
          <w:szCs w:val="18"/>
          <w:color w:val="auto"/>
        </w:rPr>
        <w:t>November 16, 2018</w:t>
      </w:r>
      <w:r>
        <w:rPr>
          <w:sz w:val="20"/>
          <w:szCs w:val="20"/>
          <w:color w:val="auto"/>
        </w:rPr>
        <w:tab/>
      </w:r>
      <w:r>
        <w:rPr>
          <w:rFonts w:ascii="Arial" w:cs="Arial" w:eastAsia="Arial" w:hAnsi="Arial"/>
          <w:sz w:val="15"/>
          <w:szCs w:val="15"/>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00" w:firstLine="441"/>
        <w:spacing w:after="0" w:line="269" w:lineRule="auto"/>
        <w:rPr>
          <w:sz w:val="20"/>
          <w:szCs w:val="20"/>
          <w:color w:val="auto"/>
        </w:rPr>
      </w:pPr>
      <w:r>
        <w:rPr>
          <w:rFonts w:ascii="Arial" w:cs="Arial" w:eastAsia="Arial" w:hAnsi="Arial"/>
          <w:sz w:val="17"/>
          <w:szCs w:val="17"/>
          <w:color w:val="auto"/>
        </w:rPr>
        <w:t>In connection with the opinions expressed herein, we have examined, among other things, originals or copies, certified or otherwise identified to our satisfaction, of (i) the Registration Statement, including the Prospectus, (ii) the form of Indenture relating to the Debt Securities and filed as an exhibit to the Registration Statement (the “</w:t>
      </w:r>
      <w:r>
        <w:rPr>
          <w:rFonts w:ascii="Arial" w:cs="Arial" w:eastAsia="Arial" w:hAnsi="Arial"/>
          <w:sz w:val="17"/>
          <w:szCs w:val="17"/>
          <w:b w:val="1"/>
          <w:bCs w:val="1"/>
          <w:color w:val="auto"/>
        </w:rPr>
        <w:t>Senior Indenture</w:t>
      </w:r>
      <w:r>
        <w:rPr>
          <w:rFonts w:ascii="Arial" w:cs="Arial" w:eastAsia="Arial" w:hAnsi="Arial"/>
          <w:sz w:val="17"/>
          <w:szCs w:val="17"/>
          <w:color w:val="auto"/>
        </w:rPr>
        <w:t>”), (iii) the form of Subordinated Indenture relating to the Debt Securities and filed as an exhibit to the Registration Statement (the “</w:t>
      </w:r>
      <w:r>
        <w:rPr>
          <w:rFonts w:ascii="Arial" w:cs="Arial" w:eastAsia="Arial" w:hAnsi="Arial"/>
          <w:sz w:val="17"/>
          <w:szCs w:val="17"/>
          <w:b w:val="1"/>
          <w:bCs w:val="1"/>
          <w:color w:val="auto"/>
        </w:rPr>
        <w:t>Subordinated Indenture</w:t>
      </w:r>
      <w:r>
        <w:rPr>
          <w:rFonts w:ascii="Arial" w:cs="Arial" w:eastAsia="Arial" w:hAnsi="Arial"/>
          <w:sz w:val="17"/>
          <w:szCs w:val="17"/>
          <w:color w:val="auto"/>
        </w:rPr>
        <w:t>” and together with the Senior Indenture, the “</w:t>
      </w:r>
      <w:r>
        <w:rPr>
          <w:rFonts w:ascii="Arial" w:cs="Arial" w:eastAsia="Arial" w:hAnsi="Arial"/>
          <w:sz w:val="17"/>
          <w:szCs w:val="17"/>
          <w:b w:val="1"/>
          <w:bCs w:val="1"/>
          <w:color w:val="auto"/>
        </w:rPr>
        <w:t>Indentures</w:t>
      </w:r>
      <w:r>
        <w:rPr>
          <w:rFonts w:ascii="Arial" w:cs="Arial" w:eastAsia="Arial" w:hAnsi="Arial"/>
          <w:sz w:val="17"/>
          <w:szCs w:val="17"/>
          <w:color w:val="auto"/>
        </w:rPr>
        <w:t>”), (iv) the Amended and Restated Certificate of Incorporation, dated May 31, 2016, and the Amended and Restated Bylaws of the Company, dated November 4, 2015, (v) other formation documents and agreements, as applicable, of the Subsidiary Guarantors, (vi) the records of corporate proceedings that have occurred prior to the date hereof with respect to the Registration Statement and (vii) such other certificates, instruments and documents as we considered appropriate for purposes of the opinions hereafter expressed. We have also reviewed such questions of law as we have deemed necessary or appropriate. As to matters of fact relevant to the opinions expressed herein, and as to factual matters arising in connection with our examination of corporate documents, records and other documents and writings, we relied upon certificates and other communications of corporate officers of the Company, without further investigation as to the facts set forth therein.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rendering the opinions set forth below, we have assumed that:</w:t>
      </w:r>
    </w:p>
    <w:p>
      <w:pPr>
        <w:spacing w:after="0" w:line="131" w:lineRule="exact"/>
        <w:rPr>
          <w:sz w:val="20"/>
          <w:szCs w:val="20"/>
          <w:color w:val="auto"/>
        </w:rPr>
      </w:pPr>
    </w:p>
    <w:p>
      <w:pPr>
        <w:ind w:left="860" w:hanging="424"/>
        <w:spacing w:after="0"/>
        <w:tabs>
          <w:tab w:leader="none" w:pos="8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information contained in all documents reviewed by us is true and correct;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signatures on all documents examined by us are genuine;</w:t>
      </w:r>
    </w:p>
    <w:p>
      <w:pPr>
        <w:spacing w:after="0" w:line="130" w:lineRule="exact"/>
        <w:rPr>
          <w:rFonts w:ascii="Arial" w:cs="Arial" w:eastAsia="Arial" w:hAnsi="Arial"/>
          <w:sz w:val="18"/>
          <w:szCs w:val="18"/>
          <w:color w:val="auto"/>
        </w:rPr>
      </w:pPr>
    </w:p>
    <w:p>
      <w:pPr>
        <w:ind w:left="860" w:right="560" w:hanging="424"/>
        <w:spacing w:after="0" w:line="277" w:lineRule="auto"/>
        <w:tabs>
          <w:tab w:leader="none" w:pos="8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and all documents submitted to us as copies conform to the originals of those documents;</w:t>
      </w:r>
    </w:p>
    <w:p>
      <w:pPr>
        <w:spacing w:after="0" w:line="75" w:lineRule="exact"/>
        <w:rPr>
          <w:rFonts w:ascii="Arial" w:cs="Arial" w:eastAsia="Arial" w:hAnsi="Arial"/>
          <w:sz w:val="18"/>
          <w:szCs w:val="18"/>
          <w:color w:val="auto"/>
        </w:rPr>
      </w:pPr>
    </w:p>
    <w:p>
      <w:pPr>
        <w:ind w:left="860" w:right="180" w:hanging="424"/>
        <w:spacing w:after="0" w:line="277" w:lineRule="auto"/>
        <w:tabs>
          <w:tab w:leader="none" w:pos="8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each certificate from governmental officials reviewed by us is accurate, complete and authentic, and all official public records are accurate and complete;</w:t>
      </w:r>
    </w:p>
    <w:p>
      <w:pPr>
        <w:spacing w:after="0" w:line="75" w:lineRule="exact"/>
        <w:rPr>
          <w:rFonts w:ascii="Arial" w:cs="Arial" w:eastAsia="Arial" w:hAnsi="Arial"/>
          <w:sz w:val="18"/>
          <w:szCs w:val="18"/>
          <w:color w:val="auto"/>
        </w:rPr>
      </w:pPr>
    </w:p>
    <w:p>
      <w:pPr>
        <w:ind w:left="860" w:right="540" w:hanging="424"/>
        <w:spacing w:after="0" w:line="277" w:lineRule="auto"/>
        <w:tabs>
          <w:tab w:leader="none" w:pos="8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Registration Statement, and any amendments thereto (including post-effective amendments), will have become effective and such effectiveness shall not have been terminated or rescinded;</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prospectus supplement will have been prepared and filed with the Commission describing the Securities offered thereby;</w:t>
      </w:r>
    </w:p>
    <w:p>
      <w:pPr>
        <w:spacing w:after="0" w:line="126" w:lineRule="exact"/>
        <w:rPr>
          <w:rFonts w:ascii="Arial" w:cs="Arial" w:eastAsia="Arial" w:hAnsi="Arial"/>
          <w:sz w:val="18"/>
          <w:szCs w:val="18"/>
          <w:color w:val="auto"/>
        </w:rPr>
      </w:pPr>
    </w:p>
    <w:p>
      <w:pPr>
        <w:ind w:left="860" w:right="580" w:hanging="424"/>
        <w:spacing w:after="0" w:line="282" w:lineRule="auto"/>
        <w:tabs>
          <w:tab w:leader="none" w:pos="8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Indentures relating to the Debt Securities and a warrant agreement (“</w:t>
      </w:r>
      <w:r>
        <w:rPr>
          <w:rFonts w:ascii="Arial" w:cs="Arial" w:eastAsia="Arial" w:hAnsi="Arial"/>
          <w:sz w:val="18"/>
          <w:szCs w:val="18"/>
          <w:b w:val="1"/>
          <w:bCs w:val="1"/>
          <w:color w:val="auto"/>
        </w:rPr>
        <w:t>Warrant Agreement</w:t>
      </w:r>
      <w:r>
        <w:rPr>
          <w:rFonts w:ascii="Arial" w:cs="Arial" w:eastAsia="Arial" w:hAnsi="Arial"/>
          <w:sz w:val="18"/>
          <w:szCs w:val="18"/>
          <w:color w:val="auto"/>
        </w:rPr>
        <w:t>”) relating to the Warrants will be duly authorized, executed and delivered by the parties thereto;</w:t>
      </w:r>
    </w:p>
    <w:p>
      <w:pPr>
        <w:sectPr>
          <w:pgSz w:w="11900" w:h="16838" w:orient="portrait"/>
          <w:cols w:equalWidth="0" w:num="1">
            <w:col w:w="11020"/>
          </w:cols>
          <w:pgMar w:left="440" w:top="337" w:right="439" w:bottom="1440" w:gutter="0" w:footer="0" w:header="0"/>
        </w:sectPr>
      </w:pPr>
    </w:p>
    <w:bookmarkStart w:id="205" w:name="page206"/>
    <w:bookmarkEnd w:id="205"/>
    <w:p>
      <w:pPr>
        <w:ind w:left="5824"/>
        <w:spacing w:after="0"/>
        <w:tabs>
          <w:tab w:leader="none" w:pos="100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437515" cy="1714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437515" cy="171450"/>
                    </a:xfrm>
                    <a:prstGeom prst="rect">
                      <a:avLst/>
                    </a:prstGeom>
                    <a:noFill/>
                  </pic:spPr>
                </pic:pic>
              </a:graphicData>
            </a:graphic>
          </wp:anchor>
        </w:drawing>
        <w:t xml:space="preserve">California Resources Corporation </w:t>
      </w:r>
      <w:r>
        <w:rPr>
          <w:rFonts w:ascii="Arial" w:cs="Arial" w:eastAsia="Arial" w:hAnsi="Arial"/>
          <w:sz w:val="18"/>
          <w:szCs w:val="18"/>
          <w:color w:val="auto"/>
        </w:rPr>
        <w:t>November 16, 2018</w:t>
      </w:r>
      <w:r>
        <w:rPr>
          <w:sz w:val="20"/>
          <w:szCs w:val="20"/>
          <w:color w:val="auto"/>
        </w:rPr>
        <w:tab/>
      </w:r>
      <w:r>
        <w:rPr>
          <w:rFonts w:ascii="Arial" w:cs="Arial" w:eastAsia="Arial" w:hAnsi="Arial"/>
          <w:sz w:val="15"/>
          <w:szCs w:val="15"/>
          <w:color w:val="auto"/>
        </w:rPr>
        <w:t>Page 3</w:t>
      </w:r>
    </w:p>
    <w:p>
      <w:pPr>
        <w:sectPr>
          <w:pgSz w:w="11900" w:h="16838" w:orient="portrait"/>
          <w:cols w:equalWidth="0" w:num="1">
            <w:col w:w="10584"/>
          </w:cols>
          <w:pgMar w:left="876" w:top="33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24" w:right="40" w:hanging="424"/>
        <w:spacing w:after="0" w:line="277" w:lineRule="auto"/>
        <w:tabs>
          <w:tab w:leader="none" w:pos="42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at the time of the issuance of the Securities, the Company will be duly incorporated and validly existing and in good standing under the laws of the State of Delaware;</w:t>
      </w:r>
    </w:p>
    <w:p>
      <w:pPr>
        <w:spacing w:after="0" w:line="75"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at the time of the issuance of the Debt Securities, the Subsidiary Guarantors will be duly incorporated or organized and validly existing and in good standing under the laws of their respective jurisdictions of incorporation or organization;</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person signing the documents we examined has the legal capacity and authority to do so;</w:t>
      </w:r>
    </w:p>
    <w:p>
      <w:pPr>
        <w:spacing w:after="0" w:line="130" w:lineRule="exact"/>
        <w:rPr>
          <w:rFonts w:ascii="Arial" w:cs="Arial" w:eastAsia="Arial" w:hAnsi="Arial"/>
          <w:sz w:val="18"/>
          <w:szCs w:val="18"/>
          <w:color w:val="auto"/>
        </w:rPr>
      </w:pPr>
    </w:p>
    <w:p>
      <w:pPr>
        <w:ind w:left="424" w:right="460" w:hanging="424"/>
        <w:spacing w:after="0" w:line="342" w:lineRule="auto"/>
        <w:tabs>
          <w:tab w:leader="none" w:pos="42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Securities will be issued and sold in compliance with applicable federal and state securities laws and in the manner stated in the Registration Statement and any amendment thereto (including post-effective amendments) and the appropriate prospectus supplement;</w:t>
      </w:r>
    </w:p>
    <w:p>
      <w:pPr>
        <w:spacing w:after="0" w:line="29" w:lineRule="exact"/>
        <w:rPr>
          <w:rFonts w:ascii="Arial" w:cs="Arial" w:eastAsia="Arial" w:hAnsi="Arial"/>
          <w:sz w:val="16"/>
          <w:szCs w:val="16"/>
          <w:color w:val="auto"/>
        </w:rPr>
      </w:pPr>
    </w:p>
    <w:p>
      <w:pPr>
        <w:ind w:left="424" w:right="260" w:hanging="424"/>
        <w:spacing w:after="0" w:line="277" w:lineRule="auto"/>
        <w:tabs>
          <w:tab w:leader="none" w:pos="42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definitive purchase, underwriting or similar agreement with respect to any Securities offered will have been duly authorized and validly executed and delivered by the Company and the other parties thereto;</w:t>
      </w:r>
    </w:p>
    <w:p>
      <w:pPr>
        <w:spacing w:after="0" w:line="75" w:lineRule="exact"/>
        <w:rPr>
          <w:rFonts w:ascii="Arial" w:cs="Arial" w:eastAsia="Arial" w:hAnsi="Arial"/>
          <w:sz w:val="18"/>
          <w:szCs w:val="18"/>
          <w:color w:val="auto"/>
        </w:rPr>
      </w:pPr>
    </w:p>
    <w:p>
      <w:pPr>
        <w:ind w:left="424" w:right="700" w:hanging="424"/>
        <w:spacing w:after="0" w:line="277" w:lineRule="auto"/>
        <w:tabs>
          <w:tab w:leader="none" w:pos="42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Securities issuable upon conversion, exchange or exercise of any Security being offered will be duly authorized, created and, if appropriate, reserved for issuance upon such conversion, exchange or exercise; and</w:t>
      </w:r>
    </w:p>
    <w:p>
      <w:pPr>
        <w:spacing w:after="0" w:line="75" w:lineRule="exact"/>
        <w:rPr>
          <w:rFonts w:ascii="Arial" w:cs="Arial" w:eastAsia="Arial" w:hAnsi="Arial"/>
          <w:sz w:val="18"/>
          <w:szCs w:val="18"/>
          <w:color w:val="auto"/>
        </w:rPr>
      </w:pPr>
    </w:p>
    <w:p>
      <w:pPr>
        <w:ind w:left="424" w:right="340" w:hanging="424"/>
        <w:spacing w:after="0" w:line="308" w:lineRule="auto"/>
        <w:tabs>
          <w:tab w:leader="none" w:pos="42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at the time of any offering or sale of any shares of Common Stock or Preferred Stock, the Company shall have such number of shares of Common Stock or Preferred Stock, as set forth in such offering or sale, authorized or created and available for issuance.</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7"/>
          <w:szCs w:val="17"/>
          <w:color w:val="auto"/>
        </w:rPr>
        <w:t>Based on the foregoing and subject to the assumptions, qualifications, limitations and exceptions set forth herein, we are of the opinion that:</w:t>
      </w:r>
    </w:p>
    <w:p>
      <w:pPr>
        <w:spacing w:after="0" w:line="142" w:lineRule="exact"/>
        <w:rPr>
          <w:sz w:val="20"/>
          <w:szCs w:val="20"/>
          <w:color w:val="auto"/>
        </w:rPr>
      </w:pPr>
    </w:p>
    <w:p>
      <w:pPr>
        <w:ind w:left="424" w:right="80" w:hanging="424"/>
        <w:spacing w:after="0" w:line="290" w:lineRule="auto"/>
        <w:tabs>
          <w:tab w:leader="none" w:pos="424"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with respect to the Debt Securities, when (a) the applicable Indenture and, if applicable, the related Guarantees have been duly qualified under the Trust Indenture Act of 1939, as amended, (b)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of the Company has taken all necessary corporate action to approve the issuance and terms of the Debt Securities and, if applicable, the related Guarantees, the terms of the offering thereof and related matters, (c) the terms of such Debt Securities and, if applicable, the related Guarantees, and of their issuance and sale, have been duly established in conformity with the applicable Indenture so as not to violate any applicable law or result in a default under or breach of any agreement or instrument binding upon the Company or the Subsidiary Guarantors and so as to comply with any requirements or restrictions imposed by any court or governmental body having jurisdiction over the Company or the Subsidiary Guarantors, (d) any shares of Common Stock issuable upon the conversion of such Debt Securities, if applicable, have been duly</w:t>
      </w:r>
    </w:p>
    <w:p>
      <w:pPr>
        <w:sectPr>
          <w:pgSz w:w="11900" w:h="16838" w:orient="portrait"/>
          <w:cols w:equalWidth="0" w:num="1">
            <w:col w:w="10584"/>
          </w:cols>
          <w:pgMar w:left="876" w:top="337" w:right="439" w:bottom="1440" w:gutter="0" w:footer="0" w:header="0"/>
          <w:type w:val="continuous"/>
        </w:sectPr>
      </w:pPr>
    </w:p>
    <w:bookmarkStart w:id="206" w:name="page207"/>
    <w:bookmarkEnd w:id="206"/>
    <w:p>
      <w:pPr>
        <w:ind w:left="5824"/>
        <w:spacing w:after="0"/>
        <w:tabs>
          <w:tab w:leader="none" w:pos="100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437515" cy="1714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437515" cy="171450"/>
                    </a:xfrm>
                    <a:prstGeom prst="rect">
                      <a:avLst/>
                    </a:prstGeom>
                    <a:noFill/>
                  </pic:spPr>
                </pic:pic>
              </a:graphicData>
            </a:graphic>
          </wp:anchor>
        </w:drawing>
        <w:t xml:space="preserve">California Resources Corporation </w:t>
      </w:r>
      <w:r>
        <w:rPr>
          <w:rFonts w:ascii="Arial" w:cs="Arial" w:eastAsia="Arial" w:hAnsi="Arial"/>
          <w:sz w:val="18"/>
          <w:szCs w:val="18"/>
          <w:color w:val="auto"/>
        </w:rPr>
        <w:t>November 16, 2018</w:t>
      </w:r>
      <w:r>
        <w:rPr>
          <w:sz w:val="20"/>
          <w:szCs w:val="20"/>
          <w:color w:val="auto"/>
        </w:rPr>
        <w:tab/>
      </w:r>
      <w:r>
        <w:rPr>
          <w:rFonts w:ascii="Arial" w:cs="Arial" w:eastAsia="Arial" w:hAnsi="Arial"/>
          <w:sz w:val="15"/>
          <w:szCs w:val="15"/>
          <w:color w:val="auto"/>
        </w:rPr>
        <w:t>Page 4</w:t>
      </w:r>
    </w:p>
    <w:p>
      <w:pPr>
        <w:sectPr>
          <w:pgSz w:w="11900" w:h="16838" w:orient="portrait"/>
          <w:cols w:equalWidth="0" w:num="1">
            <w:col w:w="10584"/>
          </w:cols>
          <w:pgMar w:left="876" w:top="33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4" w:right="40"/>
        <w:spacing w:after="0" w:line="270" w:lineRule="auto"/>
        <w:rPr>
          <w:sz w:val="20"/>
          <w:szCs w:val="20"/>
          <w:color w:val="auto"/>
        </w:rPr>
      </w:pPr>
      <w:r>
        <w:rPr>
          <w:rFonts w:ascii="Arial" w:cs="Arial" w:eastAsia="Arial" w:hAnsi="Arial"/>
          <w:sz w:val="17"/>
          <w:szCs w:val="17"/>
          <w:color w:val="auto"/>
        </w:rPr>
        <w:t>and validly authorized for issuance and (e) such Debt Securities (which may include the related Guarantees) have been duly executed and authenticated in accordance with the applicable Indenture and issued and sold as contemplated in the applicable prospectus supplement and upon payment of the consideration for such Debt Securities as provided for in the applicable definitive purchase, underwriting or similar agreement, such Debt Securities and, if applicable, the related Guarantees will be legally issued and will constitute valid and legally binding obligations of the Company and the Subsidiary Guarantors, respectively, enforceable against the Company and the Subsidiary Guarantors in accordance with their terms, except as such enforcement may be subject to any applicable bankruptcy, insolvency (including, without limitation, all laws relating to fraudulent transfers), reorganization, moratorium and similar laws relating to or affecting creditors’ rights generally and to general equitable principles and covenants of good faith and fair dealing (regardless of whether enforcement is sought in a proceeding in equity or at law);</w:t>
      </w:r>
    </w:p>
    <w:p>
      <w:pPr>
        <w:spacing w:after="0" w:line="87" w:lineRule="exact"/>
        <w:rPr>
          <w:sz w:val="20"/>
          <w:szCs w:val="20"/>
          <w:color w:val="auto"/>
        </w:rPr>
      </w:pPr>
    </w:p>
    <w:p>
      <w:pPr>
        <w:ind w:left="424" w:hanging="424"/>
        <w:spacing w:after="0" w:line="271" w:lineRule="auto"/>
        <w:tabs>
          <w:tab w:leader="none" w:pos="424" w:val="left"/>
        </w:tabs>
        <w:numPr>
          <w:ilvl w:val="0"/>
          <w:numId w:val="142"/>
        </w:numPr>
        <w:rPr>
          <w:rFonts w:ascii="Arial" w:cs="Arial" w:eastAsia="Arial" w:hAnsi="Arial"/>
          <w:sz w:val="17"/>
          <w:szCs w:val="17"/>
          <w:color w:val="auto"/>
        </w:rPr>
      </w:pPr>
      <w:r>
        <w:rPr>
          <w:rFonts w:ascii="Arial" w:cs="Arial" w:eastAsia="Arial" w:hAnsi="Arial"/>
          <w:sz w:val="17"/>
          <w:szCs w:val="17"/>
          <w:color w:val="auto"/>
        </w:rPr>
        <w:t>with respect to shares of Common Stock offered by the Company, when (a) the Board has taken all necessary corporate action to approve the issuance and terms of the offering thereof and related matters and (b) certificates representing the shares of Common Stock have been duly executed, countersigned, registered and delivered (or non-certificated shares of Common Stock shall have been properly issued) either (i) in accordance with the applicable definitive purchase, underwriting or similar agreement approved by the Board, then upon payment of the consideration therefor (not less than the par value of the Common Stock) provided for therein or (ii) upon conversion, exchange or exercise of any other Security in accordance with the terms of the Security or the instrument governing the Security providing for the conversion, exchange or exercise as approved by the Board, for the consideration approved by the Board (not less than the par value of the Common Stock), such shares of Common Stock will be validly issued, fully paid and non-assessable;</w:t>
      </w:r>
    </w:p>
    <w:p>
      <w:pPr>
        <w:spacing w:after="0" w:line="84" w:lineRule="exact"/>
        <w:rPr>
          <w:rFonts w:ascii="Arial" w:cs="Arial" w:eastAsia="Arial" w:hAnsi="Arial"/>
          <w:sz w:val="17"/>
          <w:szCs w:val="17"/>
          <w:color w:val="auto"/>
        </w:rPr>
      </w:pPr>
    </w:p>
    <w:p>
      <w:pPr>
        <w:ind w:left="424" w:right="60" w:hanging="424"/>
        <w:spacing w:after="0" w:line="254" w:lineRule="auto"/>
        <w:tabs>
          <w:tab w:leader="none" w:pos="42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when (a) the Board has taken all necessary corporate action to approve the issuance and terms of the Warrants and the terms of the offering thereof, (b) the Warrant Agreement has been duly authorized and validly executed and delivered by the Company, (c) the terms of any Warrants and of their issuance and sale have been duly established in conformity with the applicable Warrant Agreement so as not to violate any applicable law or result in a default under or breach of any agreement or instrument binding upon the Company and so as to comply with any requirements or restrictions imposed by any court or governmental body having jurisdiction over the Company and (d) the Warrants have been duly executed and authenticated in accordance with the applicable Warrant Agreement and issued and sold as contemplated in the applicable prospectus supplement, the Warrants will constitute valid and binding obligations of the Company, subject to bankruptcy, insolvency</w:t>
      </w:r>
    </w:p>
    <w:p>
      <w:pPr>
        <w:sectPr>
          <w:pgSz w:w="11900" w:h="16838" w:orient="portrait"/>
          <w:cols w:equalWidth="0" w:num="1">
            <w:col w:w="10584"/>
          </w:cols>
          <w:pgMar w:left="876" w:top="337" w:right="439" w:bottom="1440" w:gutter="0" w:footer="0" w:header="0"/>
          <w:type w:val="continuous"/>
        </w:sectPr>
      </w:pPr>
    </w:p>
    <w:bookmarkStart w:id="207" w:name="page208"/>
    <w:bookmarkEnd w:id="207"/>
    <w:p>
      <w:pPr>
        <w:ind w:left="5824"/>
        <w:spacing w:after="0"/>
        <w:tabs>
          <w:tab w:leader="none" w:pos="100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437515" cy="171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437515" cy="171450"/>
                    </a:xfrm>
                    <a:prstGeom prst="rect">
                      <a:avLst/>
                    </a:prstGeom>
                    <a:noFill/>
                  </pic:spPr>
                </pic:pic>
              </a:graphicData>
            </a:graphic>
          </wp:anchor>
        </w:drawing>
        <w:t xml:space="preserve">California Resources Corporation </w:t>
      </w:r>
      <w:r>
        <w:rPr>
          <w:rFonts w:ascii="Arial" w:cs="Arial" w:eastAsia="Arial" w:hAnsi="Arial"/>
          <w:sz w:val="18"/>
          <w:szCs w:val="18"/>
          <w:color w:val="auto"/>
        </w:rPr>
        <w:t>November 16, 2018</w:t>
      </w:r>
      <w:r>
        <w:rPr>
          <w:sz w:val="20"/>
          <w:szCs w:val="20"/>
          <w:color w:val="auto"/>
        </w:rPr>
        <w:tab/>
      </w:r>
      <w:r>
        <w:rPr>
          <w:rFonts w:ascii="Arial" w:cs="Arial" w:eastAsia="Arial" w:hAnsi="Arial"/>
          <w:sz w:val="15"/>
          <w:szCs w:val="15"/>
          <w:color w:val="auto"/>
        </w:rPr>
        <w:t>Page 5</w:t>
      </w:r>
    </w:p>
    <w:p>
      <w:pPr>
        <w:sectPr>
          <w:pgSz w:w="11900" w:h="16838" w:orient="portrait"/>
          <w:cols w:equalWidth="0" w:num="1">
            <w:col w:w="10584"/>
          </w:cols>
          <w:pgMar w:left="876" w:top="33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4" w:right="140"/>
        <w:spacing w:after="0" w:line="264" w:lineRule="auto"/>
        <w:rPr>
          <w:sz w:val="20"/>
          <w:szCs w:val="20"/>
          <w:color w:val="auto"/>
        </w:rPr>
      </w:pPr>
      <w:r>
        <w:rPr>
          <w:rFonts w:ascii="Arial" w:cs="Arial" w:eastAsia="Arial" w:hAnsi="Arial"/>
          <w:sz w:val="18"/>
          <w:szCs w:val="18"/>
          <w:color w:val="auto"/>
        </w:rPr>
        <w:t>(including, without limitation, all laws relating to fraudulent transfers), reorganization, moratorium and similar laws relating to or affecting creditors’ rights generally and to general equitable principles and covenants of good faith and fair dealing (regardless of whether enforcement is sought in a proceeding in equity or at law);</w:t>
      </w:r>
    </w:p>
    <w:p>
      <w:pPr>
        <w:spacing w:after="0" w:line="87" w:lineRule="exact"/>
        <w:rPr>
          <w:sz w:val="20"/>
          <w:szCs w:val="20"/>
          <w:color w:val="auto"/>
        </w:rPr>
      </w:pPr>
    </w:p>
    <w:p>
      <w:pPr>
        <w:ind w:left="424" w:right="60" w:hanging="424"/>
        <w:spacing w:after="0" w:line="288" w:lineRule="auto"/>
        <w:tabs>
          <w:tab w:leader="none" w:pos="424" w:val="left"/>
        </w:tabs>
        <w:numPr>
          <w:ilvl w:val="0"/>
          <w:numId w:val="143"/>
        </w:numPr>
        <w:rPr>
          <w:rFonts w:ascii="Arial" w:cs="Arial" w:eastAsia="Arial" w:hAnsi="Arial"/>
          <w:sz w:val="16"/>
          <w:szCs w:val="16"/>
          <w:color w:val="auto"/>
        </w:rPr>
      </w:pPr>
      <w:r>
        <w:rPr>
          <w:rFonts w:ascii="Arial" w:cs="Arial" w:eastAsia="Arial" w:hAnsi="Arial"/>
          <w:sz w:val="16"/>
          <w:szCs w:val="16"/>
          <w:color w:val="auto"/>
        </w:rPr>
        <w:t>with respect to shares of any series of Preferred Stock, when (a) the Board has taken all necessary corporate action to approve the issuance and terms of the shares of the series, the terms of the offering thereof and related matters, including the adoption of a resolution establishing and designating the series and fixing and determining the preferences, limitations and relative rights thereof and the filing of a statement with respect to the series with the Secretary of State of the State of Delaware (the “</w:t>
      </w:r>
      <w:r>
        <w:rPr>
          <w:rFonts w:ascii="Arial" w:cs="Arial" w:eastAsia="Arial" w:hAnsi="Arial"/>
          <w:sz w:val="16"/>
          <w:szCs w:val="16"/>
          <w:b w:val="1"/>
          <w:bCs w:val="1"/>
          <w:color w:val="auto"/>
        </w:rPr>
        <w:t>Certificate of Designation</w:t>
      </w:r>
      <w:r>
        <w:rPr>
          <w:rFonts w:ascii="Arial" w:cs="Arial" w:eastAsia="Arial" w:hAnsi="Arial"/>
          <w:sz w:val="16"/>
          <w:szCs w:val="16"/>
          <w:color w:val="auto"/>
        </w:rPr>
        <w:t>”) and (b) certificates representing the shares of the series of Preferred Stock have been duly executed, countersigned, registered and delivered either (i) in accordance with the applicable definitive purchase, underwriting or similar agreement approved by the Board, then upon payment of the consideration therefor (not less than the par value of the Preferred Stock) provided for therein; or (ii) upon conversion, exchange or exercise of any other Security in accordance with the terms of the Security or the instrument governing the Security providing for the conversion, exchange or exercise as approved by the Board, for the consideration approved by the Board (not less than the par value of the Preferred Stock), the shares of the series of Preferred Stock will be validly issued, fully paid and non-assessable; and</w:t>
      </w:r>
    </w:p>
    <w:p>
      <w:pPr>
        <w:spacing w:after="0" w:line="74" w:lineRule="exact"/>
        <w:rPr>
          <w:rFonts w:ascii="Arial" w:cs="Arial" w:eastAsia="Arial" w:hAnsi="Arial"/>
          <w:sz w:val="16"/>
          <w:szCs w:val="16"/>
          <w:color w:val="auto"/>
        </w:rPr>
      </w:pPr>
    </w:p>
    <w:p>
      <w:pPr>
        <w:ind w:left="424" w:right="340" w:hanging="424"/>
        <w:spacing w:after="0" w:line="289" w:lineRule="auto"/>
        <w:tabs>
          <w:tab w:leader="none" w:pos="424" w:val="left"/>
        </w:tabs>
        <w:numPr>
          <w:ilvl w:val="0"/>
          <w:numId w:val="143"/>
        </w:numPr>
        <w:rPr>
          <w:rFonts w:ascii="Arial" w:cs="Arial" w:eastAsia="Arial" w:hAnsi="Arial"/>
          <w:sz w:val="16"/>
          <w:szCs w:val="16"/>
          <w:color w:val="auto"/>
        </w:rPr>
      </w:pPr>
      <w:r>
        <w:rPr>
          <w:rFonts w:ascii="Arial" w:cs="Arial" w:eastAsia="Arial" w:hAnsi="Arial"/>
          <w:sz w:val="16"/>
          <w:szCs w:val="16"/>
          <w:color w:val="auto"/>
        </w:rPr>
        <w:t>when (a) the Board has taken all necessary corporate action to approve the issuance and terms of the Depositary Shares, the terms of the offering thereof and related matters, including the adoption of a Certificate of Designation relating to the Preferred Stock underlying the Depositary Shares and the filing of the Certificate of Designation with the Secretary of State of the State of Delaware, (b) the depositary agreement or agreements relating to the Depositary Shares and the related depositary receipts have been duly authorized and validly executed and delivered by the Company and the depositary appointed by the Company, (c) the shares of Preferred Stock underlying the Depositary Shares have been deposited with the depositary under the applicable depositary agreement and (d) the depositary receipts representing the Depositary Shares have been duly executed, countersigned, registered and delivered in accordance with the appropriate depositary agreement approved by the Company, upon payment of the consideration thereof or provided for in the applicable definitive purchase, underwriting or similar agreement, the Depositary Shares will be legally issued.</w:t>
      </w:r>
    </w:p>
    <w:p>
      <w:pPr>
        <w:sectPr>
          <w:pgSz w:w="11900" w:h="16838" w:orient="portrait"/>
          <w:cols w:equalWidth="0" w:num="1">
            <w:col w:w="10584"/>
          </w:cols>
          <w:pgMar w:left="876" w:top="338" w:right="439" w:bottom="1440" w:gutter="0" w:footer="0" w:header="0"/>
          <w:type w:val="continuous"/>
        </w:sectPr>
      </w:pPr>
    </w:p>
    <w:bookmarkStart w:id="208" w:name="page209"/>
    <w:bookmarkEnd w:id="208"/>
    <w:p>
      <w:pPr>
        <w:jc w:val="right"/>
        <w:spacing w:after="0"/>
        <w:tabs>
          <w:tab w:leader="none" w:pos="4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437515" cy="1714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437515" cy="171450"/>
                    </a:xfrm>
                    <a:prstGeom prst="rect">
                      <a:avLst/>
                    </a:prstGeom>
                    <a:noFill/>
                  </pic:spPr>
                </pic:pic>
              </a:graphicData>
            </a:graphic>
          </wp:anchor>
        </w:drawing>
        <w:t xml:space="preserve">California Resources Corporation </w:t>
      </w:r>
      <w:r>
        <w:rPr>
          <w:rFonts w:ascii="Arial" w:cs="Arial" w:eastAsia="Arial" w:hAnsi="Arial"/>
          <w:sz w:val="18"/>
          <w:szCs w:val="18"/>
          <w:color w:val="auto"/>
        </w:rPr>
        <w:t>November 16, 2018</w:t>
      </w:r>
      <w:r>
        <w:rPr>
          <w:sz w:val="20"/>
          <w:szCs w:val="20"/>
          <w:color w:val="auto"/>
        </w:rPr>
        <w:tab/>
      </w:r>
      <w:r>
        <w:rPr>
          <w:rFonts w:ascii="Arial" w:cs="Arial" w:eastAsia="Arial" w:hAnsi="Arial"/>
          <w:sz w:val="15"/>
          <w:szCs w:val="15"/>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opinions expressed herein are qualified in their entirety and subject to the following:</w:t>
      </w:r>
    </w:p>
    <w:p>
      <w:pPr>
        <w:spacing w:after="0" w:line="131" w:lineRule="exact"/>
        <w:rPr>
          <w:sz w:val="20"/>
          <w:szCs w:val="20"/>
          <w:color w:val="auto"/>
        </w:rPr>
      </w:pPr>
    </w:p>
    <w:p>
      <w:pPr>
        <w:ind w:left="860" w:hanging="424"/>
        <w:spacing w:after="0" w:line="257" w:lineRule="auto"/>
        <w:tabs>
          <w:tab w:leader="none" w:pos="8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With respect to our opinions expressed above, as they relate to Debt Securities denominated in a currency other than U.S. dollars, we note that effective enforcement of a foreign currency claim in the New York state courts or the federal courts sitting in the State of New York may be limited by requirements that the claim (or a foreign currency judgment in respect of such claim) be converted to U.S. dollars at the rate of exchange prevailing on a specified date. We express no opinion as to whether a federal court sitting in the State of New York would award a judgment in a currency other than U.S. dollars.</w:t>
      </w:r>
    </w:p>
    <w:p>
      <w:pPr>
        <w:spacing w:after="0" w:line="93" w:lineRule="exact"/>
        <w:rPr>
          <w:rFonts w:ascii="Arial" w:cs="Arial" w:eastAsia="Arial" w:hAnsi="Arial"/>
          <w:sz w:val="18"/>
          <w:szCs w:val="18"/>
          <w:color w:val="auto"/>
        </w:rPr>
      </w:pPr>
    </w:p>
    <w:p>
      <w:pPr>
        <w:ind w:left="860" w:right="260" w:hanging="424"/>
        <w:spacing w:after="0" w:line="264" w:lineRule="auto"/>
        <w:tabs>
          <w:tab w:leader="none" w:pos="8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enforceability of any document, instrument or Security may be limited by or subject to bankruptcy, insolvency, fraudulent transfer or conveyance, reorganization, moratorium or other similar laws relating to or affecting creditors’ rights generally, and general equitable or public policy principles;</w:t>
      </w:r>
    </w:p>
    <w:p>
      <w:pPr>
        <w:spacing w:after="0" w:line="86" w:lineRule="exact"/>
        <w:rPr>
          <w:rFonts w:ascii="Arial" w:cs="Arial" w:eastAsia="Arial" w:hAnsi="Arial"/>
          <w:sz w:val="18"/>
          <w:szCs w:val="18"/>
          <w:color w:val="auto"/>
        </w:rPr>
      </w:pPr>
    </w:p>
    <w:p>
      <w:pPr>
        <w:ind w:left="860" w:hanging="424"/>
        <w:spacing w:after="0" w:line="259" w:lineRule="auto"/>
        <w:tabs>
          <w:tab w:leader="none" w:pos="8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We express no opinions concerning (a) the validity or enforceability of any provisions contained in either of the Indentures that purport to waive or not give effect to the rights to notices, defenses, subrogation or other rights or benefits that cannot be effectively waived under applicable law; or (b) the enforceability of indemnification provisions to the extent they purport to relate to liabilities resulting from or based upon negligence or any violation of federal or state securities or blue sky laws.</w:t>
      </w:r>
    </w:p>
    <w:p>
      <w:pPr>
        <w:spacing w:after="0" w:line="92" w:lineRule="exact"/>
        <w:rPr>
          <w:rFonts w:ascii="Arial" w:cs="Arial" w:eastAsia="Arial" w:hAnsi="Arial"/>
          <w:sz w:val="18"/>
          <w:szCs w:val="18"/>
          <w:color w:val="auto"/>
        </w:rPr>
      </w:pPr>
    </w:p>
    <w:p>
      <w:pPr>
        <w:ind w:left="860" w:right="80" w:hanging="424"/>
        <w:spacing w:after="0" w:line="291" w:lineRule="auto"/>
        <w:tabs>
          <w:tab w:leader="none" w:pos="8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foregoing opinions are limited to the laws of the State of Texas, the State of New York, the General Corporation Law of the State of Delaware and the Delaware Limited Liability Company Act (including the applicable provisions of the Delaware Constitution and the reported judicial decisions interpreting these laws) and the federal laws of the United States of America, in each case as in effect on the date hereof, including the applicable statutory provisions to these laws, the rules and regulations underlying such provisions, and the applicable judicial and regulatory determinations interpreting these laws, and we undertake no duty to update or supplement the foregoing opinions to reflect any facts or circumstances that may hereafter come to our attention or to reflect any changes in any law that may hereafter occur or become effective. We are expressing no opinion as to the effect of the laws of any other jurisdiction, domestic or foreign.</w:t>
      </w:r>
    </w:p>
    <w:p>
      <w:pPr>
        <w:spacing w:after="0" w:line="167"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8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Vinson &amp; Elkins L.L.P.</w:t>
      </w:r>
    </w:p>
    <w:p>
      <w:pPr>
        <w:sectPr>
          <w:pgSz w:w="11900" w:h="16838" w:orient="portrait"/>
          <w:cols w:equalWidth="0" w:num="1">
            <w:col w:w="11020"/>
          </w:cols>
          <w:pgMar w:left="440" w:top="337" w:right="4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consent to the use of our report dated February 26, 2018, with respect to the consolidated balance sheets of California Resources Corporation and subsidiaries as of December 31, 2017 and 2016, and the related consolidated statements of operations, comprehensive income, equity, and cash flows for each of the years in the three-year period ended December 31, 2017, and the related notes (collectively, the consolidated financial statements), and the effectiveness of internal control over financial reporting as of December 31, 2017, incorporated herein by reference and to the reference to our firm under the heading “Experts” in the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2018</w:t>
      </w:r>
    </w:p>
    <w:p>
      <w:pPr>
        <w:sectPr>
          <w:pgSz w:w="11900" w:h="16838" w:orient="portrait"/>
          <w:cols w:equalWidth="0" w:num="1">
            <w:col w:w="11020"/>
          </w:cols>
          <w:pgMar w:left="440" w:top="125" w:right="4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Petroleum Engineers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hereby consent to the incorporation by reference into this Registration Statement on Form S-3 of references to our name and to our letter dated February 13, 2018 relating to our audit of California Resources Corporation’s 2017 oil and gas proved reserves.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RYDER SCOTT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TBPE Firm Registration No. F-1580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2018</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68E121F"/>
    <w:multiLevelType w:val="hybridMultilevel"/>
    <w:lvl w:ilvl="0">
      <w:lvlJc w:val="left"/>
      <w:lvlText w:val="(%1)"/>
      <w:numFmt w:val="decimal"/>
      <w:start w:val="1"/>
    </w:lvl>
  </w:abstractNum>
  <w:abstractNum w:abstractNumId="1">
    <w:nsid w:val="1EBA5D23"/>
    <w:multiLevelType w:val="hybridMultilevel"/>
    <w:lvl w:ilvl="0">
      <w:lvlJc w:val="left"/>
      <w:lvlText w:val="(%1)"/>
      <w:numFmt w:val="decimal"/>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
      <w:numFmt w:val="bullet"/>
      <w:start w:val="1"/>
    </w:lvl>
  </w:abstractNum>
  <w:abstractNum w:abstractNumId="5">
    <w:nsid w:val="7BD3EE7B"/>
    <w:multiLevelType w:val="hybridMultilevel"/>
    <w:lvl w:ilvl="0">
      <w:lvlJc w:val="left"/>
      <w:lvlText w:val="(%1)"/>
      <w:numFmt w:val="decimal"/>
      <w:start w:val="1"/>
    </w:lvl>
  </w:abstractNum>
  <w:abstractNum w:abstractNumId="6">
    <w:nsid w:val="51D9C564"/>
    <w:multiLevelType w:val="hybridMultilevel"/>
    <w:lvl w:ilvl="0">
      <w:lvlJc w:val="left"/>
      <w:lvlText w:val="(%1)"/>
      <w:numFmt w:val="decimal"/>
      <w:start w:val="5"/>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1)"/>
      <w:numFmt w:val="decimal"/>
      <w:start w:val="1"/>
    </w:lvl>
  </w:abstractNum>
  <w:abstractNum w:abstractNumId="9">
    <w:nsid w:val="11447B73"/>
    <w:multiLevelType w:val="hybridMultilevel"/>
    <w:lvl w:ilvl="0">
      <w:lvlJc w:val="left"/>
      <w:lvlText w:val="(%1)"/>
      <w:numFmt w:val="decimal"/>
      <w:start w:val="1"/>
    </w:lvl>
  </w:abstractNum>
  <w:abstractNum w:abstractNumId="10">
    <w:nsid w:val="42963E5A"/>
    <w:multiLevelType w:val="hybridMultilevel"/>
    <w:lvl w:ilvl="0">
      <w:lvlJc w:val="left"/>
      <w:lvlText w:val="(%1)"/>
      <w:numFmt w:val="decimal"/>
      <w:start w:val="4"/>
    </w:lvl>
  </w:abstractNum>
  <w:abstractNum w:abstractNumId="11">
    <w:nsid w:val="A0382C5"/>
    <w:multiLevelType w:val="hybridMultilevel"/>
    <w:lvl w:ilvl="0">
      <w:lvlJc w:val="left"/>
      <w:lvlText w:val="(%1)"/>
      <w:numFmt w:val="decimal"/>
      <w:start w:val="1"/>
    </w:lvl>
  </w:abstractNum>
  <w:abstractNum w:abstractNumId="12">
    <w:nsid w:val="8F2B15E"/>
    <w:multiLevelType w:val="hybridMultilevel"/>
    <w:lvl w:ilvl="0">
      <w:lvlJc w:val="left"/>
      <w:lvlText w:val="(%1)"/>
      <w:numFmt w:val="decimal"/>
      <w:start w:val="1"/>
    </w:lvl>
  </w:abstractNum>
  <w:abstractNum w:abstractNumId="13">
    <w:nsid w:val="1A32234B"/>
    <w:multiLevelType w:val="hybridMultilevel"/>
    <w:lvl w:ilvl="0">
      <w:lvlJc w:val="left"/>
      <w:lvlText w:val="(%1)"/>
      <w:numFmt w:val="decimal"/>
      <w:start w:val="7"/>
    </w:lvl>
  </w:abstractNum>
  <w:abstractNum w:abstractNumId="14">
    <w:nsid w:val="3B0FD379"/>
    <w:multiLevelType w:val="hybridMultilevel"/>
    <w:lvl w:ilvl="0">
      <w:lvlJc w:val="left"/>
      <w:lvlText w:val="(%1)"/>
      <w:numFmt w:val="decimal"/>
      <w:start w:val="1"/>
    </w:lvl>
  </w:abstractNum>
  <w:abstractNum w:abstractNumId="15">
    <w:nsid w:val="68EB2F63"/>
    <w:multiLevelType w:val="hybridMultilevel"/>
    <w:lvl w:ilvl="0">
      <w:lvlJc w:val="left"/>
      <w:lvlText w:val="(%1)"/>
      <w:numFmt w:val="decimal"/>
      <w:start w:val="3"/>
    </w:lvl>
  </w:abstractNum>
  <w:abstractNum w:abstractNumId="16">
    <w:nsid w:val="4962813B"/>
    <w:multiLevelType w:val="hybridMultilevel"/>
    <w:lvl w:ilvl="0">
      <w:lvlJc w:val="left"/>
      <w:lvlText w:val="(%1)"/>
      <w:numFmt w:val="decimal"/>
      <w:start w:val="1"/>
    </w:lvl>
  </w:abstractNum>
  <w:abstractNum w:abstractNumId="17">
    <w:nsid w:val="60B6DF70"/>
    <w:multiLevelType w:val="hybridMultilevel"/>
    <w:lvl w:ilvl="0">
      <w:lvlJc w:val="left"/>
      <w:lvlText w:val="(%1)"/>
      <w:numFmt w:val="decimal"/>
      <w:start w:val="1"/>
    </w:lvl>
  </w:abstractNum>
  <w:abstractNum w:abstractNumId="18">
    <w:nsid w:val="6A5EE64"/>
    <w:multiLevelType w:val="hybridMultilevel"/>
    <w:lvl w:ilvl="0">
      <w:lvlJc w:val="left"/>
      <w:lvlText w:val="(%1)"/>
      <w:numFmt w:val="decimal"/>
      <w:start w:val="5"/>
    </w:lvl>
  </w:abstractNum>
  <w:abstractNum w:abstractNumId="19">
    <w:nsid w:val="14330624"/>
    <w:multiLevelType w:val="hybridMultilevel"/>
    <w:lvl w:ilvl="0">
      <w:lvlJc w:val="left"/>
      <w:lvlText w:val="(%1)"/>
      <w:numFmt w:val="decimal"/>
      <w:start w:val="1"/>
    </w:lvl>
  </w:abstractNum>
  <w:abstractNum w:abstractNumId="20">
    <w:nsid w:val="7FFFCA11"/>
    <w:multiLevelType w:val="hybridMultilevel"/>
    <w:lvl w:ilvl="0">
      <w:lvlJc w:val="left"/>
      <w:lvlText w:val="(%1)"/>
      <w:numFmt w:val="decimal"/>
      <w:start w:val="1"/>
    </w:lvl>
    <w:lvl w:ilvl="1">
      <w:lvlJc w:val="left"/>
      <w:lvlText w:val="(%2)"/>
      <w:numFmt w:val="lowerLetter"/>
      <w:start w:val="1"/>
    </w:lvl>
  </w:abstractNum>
  <w:abstractNum w:abstractNumId="21">
    <w:nsid w:val="1A27709E"/>
    <w:multiLevelType w:val="hybridMultilevel"/>
    <w:lvl w:ilvl="0">
      <w:lvlJc w:val="left"/>
      <w:lvlText w:val="(%1)"/>
      <w:numFmt w:val="decimal"/>
      <w:start w:val="1"/>
    </w:lvl>
  </w:abstractNum>
  <w:abstractNum w:abstractNumId="22">
    <w:nsid w:val="71EA1109"/>
    <w:multiLevelType w:val="hybridMultilevel"/>
    <w:lvl w:ilvl="0">
      <w:lvlJc w:val="left"/>
      <w:lvlText w:val="(%1)"/>
      <w:numFmt w:val="decimal"/>
      <w:start w:val="3"/>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abstractNum>
  <w:abstractNum w:abstractNumId="27">
    <w:nsid w:val="94211F2"/>
    <w:multiLevelType w:val="hybridMultilevel"/>
    <w:lvl w:ilvl="0">
      <w:lvlJc w:val="left"/>
      <w:lvlText w:val="•"/>
      <w:numFmt w:val="bullet"/>
      <w:start w:val="1"/>
    </w:lvl>
  </w:abstractNum>
  <w:abstractNum w:abstractNumId="28">
    <w:nsid w:val="885E1B"/>
    <w:multiLevelType w:val="hybridMultilevel"/>
    <w:lvl w:ilvl="0">
      <w:lvlJc w:val="left"/>
      <w:lvlText w:val="(%1)"/>
      <w:numFmt w:val="decimal"/>
      <w:start w:val="1"/>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
      <w:numFmt w:val="bullet"/>
      <w:start w:val="1"/>
    </w:lvl>
  </w:abstractNum>
  <w:abstractNum w:abstractNumId="35">
    <w:nsid w:val="68EBC550"/>
    <w:multiLevelType w:val="hybridMultilevel"/>
    <w:lvl w:ilvl="0">
      <w:lvlJc w:val="left"/>
      <w:lvlText w:val="***"/>
      <w:numFmt w:val="bullet"/>
      <w:start w:val="1"/>
    </w:lvl>
  </w:abstractNum>
  <w:abstractNum w:abstractNumId="36">
    <w:nsid w:val="2DF6D648"/>
    <w:multiLevelType w:val="hybridMultilevel"/>
    <w:lvl w:ilvl="0">
      <w:lvlJc w:val="left"/>
      <w:lvlText w:val="%1."/>
      <w:numFmt w:val="decimal"/>
      <w:start w:val="1"/>
    </w:lvl>
    <w:lvl w:ilvl="1">
      <w:lvlJc w:val="left"/>
      <w:lvlText w:val="%2."/>
      <w:numFmt w:val="lowerLetter"/>
      <w:start w:val="1"/>
    </w:lvl>
  </w:abstractNum>
  <w:abstractNum w:abstractNumId="37">
    <w:nsid w:val="46B7D447"/>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38">
    <w:nsid w:val="4A2AC315"/>
    <w:multiLevelType w:val="hybridMultilevel"/>
    <w:lvl w:ilvl="0">
      <w:lvlJc w:val="left"/>
      <w:lvlText w:val="(%1)"/>
      <w:numFmt w:val="decimal"/>
      <w:start w:val="1"/>
    </w:lvl>
  </w:abstractNum>
  <w:abstractNum w:abstractNumId="39">
    <w:nsid w:val="39EE015C"/>
    <w:multiLevelType w:val="hybridMultilevel"/>
    <w:lvl w:ilvl="0">
      <w:lvlJc w:val="left"/>
      <w:lvlText w:val="(%1)"/>
      <w:numFmt w:val="decimal"/>
      <w:start w:val="4"/>
    </w:lvl>
  </w:abstractNum>
  <w:abstractNum w:abstractNumId="40">
    <w:nsid w:val="57FC4FBB"/>
    <w:multiLevelType w:val="hybridMultilevel"/>
    <w:lvl w:ilvl="0">
      <w:lvlJc w:val="left"/>
      <w:lvlText w:val="(%1)"/>
      <w:numFmt w:val="decimal"/>
      <w:start w:val="1"/>
    </w:lvl>
  </w:abstractNum>
  <w:abstractNum w:abstractNumId="41">
    <w:nsid w:val="CC1016F"/>
    <w:multiLevelType w:val="hybridMultilevel"/>
    <w:lvl w:ilvl="0">
      <w:lvlJc w:val="left"/>
      <w:lvlText w:val="(%1)"/>
      <w:numFmt w:val="decimal"/>
      <w:start w:val="2"/>
    </w:lvl>
  </w:abstractNum>
  <w:abstractNum w:abstractNumId="42">
    <w:nsid w:val="43F18422"/>
    <w:multiLevelType w:val="hybridMultilevel"/>
    <w:lvl w:ilvl="0">
      <w:lvlJc w:val="left"/>
      <w:lvlText w:val="(%1)"/>
      <w:numFmt w:val="decimal"/>
      <w:start w:val="1"/>
    </w:lvl>
  </w:abstractNum>
  <w:abstractNum w:abstractNumId="43">
    <w:nsid w:val="60EF0119"/>
    <w:multiLevelType w:val="hybridMultilevel"/>
    <w:lvl w:ilvl="0">
      <w:lvlJc w:val="left"/>
      <w:lvlText w:val="(%1)"/>
      <w:numFmt w:val="decimal"/>
      <w:start w:val="1"/>
    </w:lvl>
  </w:abstractNum>
  <w:abstractNum w:abstractNumId="44">
    <w:nsid w:val="26F324BA"/>
    <w:multiLevelType w:val="hybridMultilevel"/>
    <w:lvl w:ilvl="0">
      <w:lvlJc w:val="left"/>
      <w:lvlText w:val="(%1)"/>
      <w:numFmt w:val="decimal"/>
      <w:start w:val="2"/>
    </w:lvl>
  </w:abstractNum>
  <w:abstractNum w:abstractNumId="45">
    <w:nsid w:val="7F01579B"/>
    <w:multiLevelType w:val="hybridMultilevel"/>
    <w:lvl w:ilvl="0">
      <w:lvlJc w:val="left"/>
      <w:lvlText w:val="$"/>
      <w:numFmt w:val="bullet"/>
      <w:start w:val="1"/>
    </w:lvl>
  </w:abstractNum>
  <w:abstractNum w:abstractNumId="46">
    <w:nsid w:val="49DA307D"/>
    <w:multiLevelType w:val="hybridMultilevel"/>
    <w:lvl w:ilvl="0">
      <w:lvlJc w:val="left"/>
      <w:lvlText w:val="$"/>
      <w:numFmt w:val="bullet"/>
      <w:start w:val="1"/>
    </w:lvl>
  </w:abstractNum>
  <w:abstractNum w:abstractNumId="47">
    <w:nsid w:val="7055A5F5"/>
    <w:multiLevelType w:val="hybridMultilevel"/>
    <w:lvl w:ilvl="0">
      <w:lvlJc w:val="left"/>
      <w:lvlText w:val="*"/>
      <w:numFmt w:val="bullet"/>
      <w:start w:val="1"/>
    </w:lvl>
  </w:abstractNum>
  <w:abstractNum w:abstractNumId="48">
    <w:nsid w:val="5FB8370B"/>
    <w:multiLevelType w:val="hybridMultilevel"/>
    <w:lvl w:ilvl="0">
      <w:lvlJc w:val="left"/>
      <w:lvlText w:val="(%1)"/>
      <w:numFmt w:val="decimal"/>
      <w:start w:val="1"/>
    </w:lvl>
  </w:abstractNum>
  <w:abstractNum w:abstractNumId="49">
    <w:nsid w:val="50801EE1"/>
    <w:multiLevelType w:val="hybridMultilevel"/>
    <w:lvl w:ilvl="0">
      <w:lvlJc w:val="left"/>
      <w:lvlText w:val="(%1)"/>
      <w:numFmt w:val="decimal"/>
      <w:start w:val="2"/>
    </w:lvl>
  </w:abstractNum>
  <w:abstractNum w:abstractNumId="50">
    <w:nsid w:val="488AC1A"/>
    <w:multiLevelType w:val="hybridMultilevel"/>
    <w:lvl w:ilvl="0">
      <w:lvlJc w:val="left"/>
      <w:lvlText w:val="(%1)"/>
      <w:numFmt w:val="decimal"/>
      <w:start w:val="13"/>
    </w:lvl>
  </w:abstractNum>
  <w:abstractNum w:abstractNumId="51">
    <w:nsid w:val="5FB8011C"/>
    <w:multiLevelType w:val="hybridMultilevel"/>
    <w:lvl w:ilvl="0">
      <w:lvlJc w:val="left"/>
      <w:lvlText w:val="(%1)"/>
      <w:numFmt w:val="decimal"/>
      <w:start w:val="1"/>
    </w:lvl>
  </w:abstractNum>
  <w:abstractNum w:abstractNumId="52">
    <w:nsid w:val="6AA78F7F"/>
    <w:multiLevelType w:val="hybridMultilevel"/>
    <w:lvl w:ilvl="0">
      <w:lvlJc w:val="left"/>
      <w:lvlText w:val="(%1)"/>
      <w:numFmt w:val="decimal"/>
      <w:start w:val="2"/>
    </w:lvl>
  </w:abstractNum>
  <w:abstractNum w:abstractNumId="53">
    <w:nsid w:val="7672BD23"/>
    <w:multiLevelType w:val="hybridMultilevel"/>
    <w:lvl w:ilvl="0">
      <w:lvlJc w:val="left"/>
      <w:lvlText w:val="(%1)"/>
      <w:numFmt w:val="decimal"/>
      <w:start w:val="1"/>
    </w:lvl>
  </w:abstractNum>
  <w:abstractNum w:abstractNumId="54">
    <w:nsid w:val="6FC75AF8"/>
    <w:multiLevelType w:val="hybridMultilevel"/>
    <w:lvl w:ilvl="0">
      <w:lvlJc w:val="left"/>
      <w:lvlText w:val="(%1)"/>
      <w:numFmt w:val="lowerRoman"/>
      <w:start w:val="2"/>
    </w:lvl>
  </w:abstractNum>
  <w:abstractNum w:abstractNumId="55">
    <w:nsid w:val="6A5F7029"/>
    <w:multiLevelType w:val="hybridMultilevel"/>
    <w:lvl w:ilvl="0">
      <w:lvlJc w:val="left"/>
      <w:lvlText w:val="(%1)"/>
      <w:numFmt w:val="decimal"/>
      <w:start w:val="1"/>
    </w:lvl>
  </w:abstractNum>
  <w:abstractNum w:abstractNumId="56">
    <w:nsid w:val="7D5E18F8"/>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57">
    <w:nsid w:val="5F3534A4"/>
    <w:multiLevelType w:val="hybridMultilevel"/>
    <w:lvl w:ilvl="0">
      <w:lvlJc w:val="left"/>
      <w:lvlText w:val="(%1)"/>
      <w:numFmt w:val="lowerRoman"/>
      <w:start w:val="3"/>
    </w:lvl>
  </w:abstractNum>
  <w:abstractNum w:abstractNumId="58">
    <w:nsid w:val="73A1821B"/>
    <w:multiLevelType w:val="hybridMultilevel"/>
    <w:lvl w:ilvl="0">
      <w:lvlJc w:val="left"/>
      <w:lvlText w:val="(%1)"/>
      <w:numFmt w:val="decimal"/>
      <w:start w:val="2"/>
    </w:lvl>
  </w:abstractNum>
  <w:abstractNum w:abstractNumId="59">
    <w:nsid w:val="7DE67713"/>
    <w:multiLevelType w:val="hybridMultilevel"/>
    <w:lvl w:ilvl="0">
      <w:lvlJc w:val="left"/>
      <w:lvlText w:val="(%1)"/>
      <w:numFmt w:val="decimal"/>
      <w:start w:val="1"/>
    </w:lvl>
  </w:abstractNum>
  <w:abstractNum w:abstractNumId="60">
    <w:nsid w:val="555C55B5"/>
    <w:multiLevelType w:val="hybridMultilevel"/>
    <w:lvl w:ilvl="0">
      <w:lvlJc w:val="left"/>
      <w:lvlText w:val="(%1)"/>
      <w:numFmt w:val="decimal"/>
      <w:start w:val="2"/>
    </w:lvl>
  </w:abstractNum>
  <w:abstractNum w:abstractNumId="61">
    <w:nsid w:val="3FA62ACA"/>
    <w:multiLevelType w:val="hybridMultilevel"/>
    <w:lvl w:ilvl="0">
      <w:lvlJc w:val="left"/>
      <w:lvlText w:val="(%1)"/>
      <w:numFmt w:val="decimal"/>
      <w:start w:val="8"/>
    </w:lvl>
  </w:abstractNum>
  <w:abstractNum w:abstractNumId="62">
    <w:nsid w:val="14FCE74E"/>
    <w:multiLevelType w:val="hybridMultilevel"/>
    <w:lvl w:ilvl="0">
      <w:lvlJc w:val="left"/>
      <w:lvlText w:val="(%1)"/>
      <w:numFmt w:val="decimal"/>
      <w:start w:val="1"/>
    </w:lvl>
    <w:lvl w:ilvl="1">
      <w:lvlJc w:val="left"/>
      <w:lvlText w:val="(%2)"/>
      <w:numFmt w:val="upperLetter"/>
      <w:start w:val="1"/>
    </w:lvl>
  </w:abstractNum>
  <w:abstractNum w:abstractNumId="63">
    <w:nsid w:val="6A3DD3E8"/>
    <w:multiLevelType w:val="hybridMultilevel"/>
    <w:lvl w:ilvl="0">
      <w:lvlJc w:val="left"/>
      <w:lvlText w:val="(%1)"/>
      <w:numFmt w:val="decimal"/>
      <w:start w:val="1"/>
    </w:lvl>
  </w:abstractNum>
  <w:abstractNum w:abstractNumId="64">
    <w:nsid w:val="71C91298"/>
    <w:multiLevelType w:val="hybridMultilevel"/>
    <w:lvl w:ilvl="0">
      <w:lvlJc w:val="left"/>
      <w:lvlText w:val="(%1)"/>
      <w:numFmt w:val="decimal"/>
      <w:start w:val="1"/>
    </w:lvl>
  </w:abstractNum>
  <w:abstractNum w:abstractNumId="65">
    <w:nsid w:val="9DAF632"/>
    <w:multiLevelType w:val="hybridMultilevel"/>
    <w:lvl w:ilvl="0">
      <w:lvlJc w:val="left"/>
      <w:lvlText w:val="(%1)"/>
      <w:numFmt w:val="decimal"/>
      <w:start w:val="1"/>
    </w:lvl>
  </w:abstractNum>
  <w:abstractNum w:abstractNumId="66">
    <w:nsid w:val="53299938"/>
    <w:multiLevelType w:val="hybridMultilevel"/>
    <w:lvl w:ilvl="0">
      <w:lvlJc w:val="left"/>
      <w:lvlText w:val="(%1)"/>
      <w:numFmt w:val="decimal"/>
      <w:start w:val="2"/>
    </w:lvl>
  </w:abstractNum>
  <w:abstractNum w:abstractNumId="67">
    <w:nsid w:val="1FBFE8E0"/>
    <w:multiLevelType w:val="hybridMultilevel"/>
    <w:lvl w:ilvl="0">
      <w:lvlJc w:val="left"/>
      <w:lvlText w:val="(%1)"/>
      <w:numFmt w:val="decimal"/>
      <w:start w:val="1"/>
    </w:lvl>
  </w:abstractNum>
  <w:abstractNum w:abstractNumId="68">
    <w:nsid w:val="5092CA79"/>
    <w:multiLevelType w:val="hybridMultilevel"/>
    <w:lvl w:ilvl="0">
      <w:lvlJc w:val="left"/>
      <w:lvlText w:val="(%1)"/>
      <w:numFmt w:val="decimal"/>
      <w:start w:val="1"/>
    </w:lvl>
  </w:abstractNum>
  <w:abstractNum w:abstractNumId="69">
    <w:nsid w:val="1D545C4D"/>
    <w:multiLevelType w:val="hybridMultilevel"/>
    <w:lvl w:ilvl="0">
      <w:lvlJc w:val="left"/>
      <w:lvlText w:val="(%1)"/>
      <w:numFmt w:val="decimal"/>
      <w:start w:val="5"/>
    </w:lvl>
  </w:abstractNum>
  <w:abstractNum w:abstractNumId="70">
    <w:nsid w:val="59ADEA3D"/>
    <w:multiLevelType w:val="hybridMultilevel"/>
    <w:lvl w:ilvl="0">
      <w:lvlJc w:val="left"/>
      <w:lvlText w:val="(%1)"/>
      <w:numFmt w:val="decimal"/>
      <w:start w:val="1"/>
    </w:lvl>
  </w:abstractNum>
  <w:abstractNum w:abstractNumId="71">
    <w:nsid w:val="288F1A34"/>
    <w:multiLevelType w:val="hybridMultilevel"/>
    <w:lvl w:ilvl="0">
      <w:lvlJc w:val="left"/>
      <w:lvlText w:val="(%1)"/>
      <w:numFmt w:val="decimal"/>
      <w:start w:val="1"/>
    </w:lvl>
  </w:abstractNum>
  <w:abstractNum w:abstractNumId="72">
    <w:nsid w:val="2A155DBC"/>
    <w:multiLevelType w:val="hybridMultilevel"/>
    <w:lvl w:ilvl="0">
      <w:lvlJc w:val="left"/>
      <w:lvlText w:val="(%1)"/>
      <w:numFmt w:val="decimal"/>
      <w:start w:val="1"/>
    </w:lvl>
  </w:abstractNum>
  <w:abstractNum w:abstractNumId="73">
    <w:nsid w:val="1D9F6E5F"/>
    <w:multiLevelType w:val="hybridMultilevel"/>
    <w:lvl w:ilvl="0">
      <w:lvlJc w:val="left"/>
      <w:lvlText w:val="(%1)"/>
      <w:numFmt w:val="decimal"/>
      <w:start w:val="1"/>
    </w:lvl>
  </w:abstractNum>
  <w:abstractNum w:abstractNumId="74">
    <w:nsid w:val="97E1B4E"/>
    <w:multiLevelType w:val="hybridMultilevel"/>
    <w:lvl w:ilvl="0">
      <w:lvlJc w:val="left"/>
      <w:lvlText w:val="(%1)"/>
      <w:numFmt w:val="decimal"/>
      <w:start w:val="1"/>
    </w:lvl>
  </w:abstractNum>
  <w:abstractNum w:abstractNumId="75">
    <w:nsid w:val="51088277"/>
    <w:multiLevelType w:val="hybridMultilevel"/>
    <w:lvl w:ilvl="0">
      <w:lvlJc w:val="left"/>
      <w:lvlText w:val="(%1)"/>
      <w:numFmt w:val="decimal"/>
      <w:start w:val="1"/>
    </w:lvl>
  </w:abstractNum>
  <w:abstractNum w:abstractNumId="76">
    <w:nsid w:val="1CA0C5FA"/>
    <w:multiLevelType w:val="hybridMultilevel"/>
    <w:lvl w:ilvl="0">
      <w:lvlJc w:val="left"/>
      <w:lvlText w:val="(%1)"/>
      <w:numFmt w:val="decimal"/>
      <w:start w:val="1"/>
    </w:lvl>
  </w:abstractNum>
  <w:abstractNum w:abstractNumId="77">
    <w:nsid w:val="53584BCB"/>
    <w:multiLevelType w:val="hybridMultilevel"/>
    <w:lvl w:ilvl="0">
      <w:lvlJc w:val="left"/>
      <w:lvlText w:val="(%1)"/>
      <w:numFmt w:val="decimal"/>
      <w:start w:val="10"/>
    </w:lvl>
  </w:abstractNum>
  <w:abstractNum w:abstractNumId="78">
    <w:nsid w:val="415E286C"/>
    <w:multiLevelType w:val="hybridMultilevel"/>
    <w:lvl w:ilvl="0">
      <w:lvlJc w:val="left"/>
      <w:lvlText w:val="(%1)"/>
      <w:numFmt w:val="decimal"/>
      <w:start w:val="1"/>
    </w:lvl>
  </w:abstractNum>
  <w:abstractNum w:abstractNumId="79">
    <w:nsid w:val="7C58FD05"/>
    <w:multiLevelType w:val="hybridMultilevel"/>
    <w:lvl w:ilvl="0">
      <w:lvlJc w:val="left"/>
      <w:lvlText w:val="(%1)"/>
      <w:numFmt w:val="decimal"/>
      <w:start w:val="2"/>
    </w:lvl>
  </w:abstractNum>
  <w:abstractNum w:abstractNumId="80">
    <w:nsid w:val="23D86AAC"/>
    <w:multiLevelType w:val="hybridMultilevel"/>
    <w:lvl w:ilvl="0">
      <w:lvlJc w:val="left"/>
      <w:lvlText w:val="(%1)"/>
      <w:numFmt w:val="decimal"/>
      <w:start w:val="1"/>
    </w:lvl>
  </w:abstractNum>
  <w:abstractNum w:abstractNumId="81">
    <w:nsid w:val="45E6D486"/>
    <w:multiLevelType w:val="hybridMultilevel"/>
    <w:lvl w:ilvl="0">
      <w:lvlJc w:val="left"/>
      <w:lvlText w:val="(%1)"/>
      <w:numFmt w:val="decimal"/>
      <w:start w:val="1"/>
    </w:lvl>
  </w:abstractNum>
  <w:abstractNum w:abstractNumId="82">
    <w:nsid w:val="5C10FE21"/>
    <w:multiLevelType w:val="hybridMultilevel"/>
    <w:lvl w:ilvl="0">
      <w:lvlJc w:val="left"/>
      <w:lvlText w:val="(%1)"/>
      <w:numFmt w:val="decimal"/>
      <w:start w:val="1"/>
    </w:lvl>
  </w:abstractNum>
  <w:abstractNum w:abstractNumId="83">
    <w:nsid w:val="E7FFA2B"/>
    <w:multiLevelType w:val="hybridMultilevel"/>
    <w:lvl w:ilvl="0">
      <w:lvlJc w:val="left"/>
      <w:lvlText w:val="(%1)"/>
      <w:numFmt w:val="decimal"/>
      <w:start w:val="1"/>
    </w:lvl>
  </w:abstractNum>
  <w:abstractNum w:abstractNumId="84">
    <w:nsid w:val="3C5991AA"/>
    <w:multiLevelType w:val="hybridMultilevel"/>
    <w:lvl w:ilvl="0">
      <w:lvlJc w:val="left"/>
      <w:lvlText w:val="%1"/>
      <w:numFmt w:val="upperLetter"/>
      <w:start w:val="1"/>
    </w:lvl>
    <w:lvl w:ilvl="1">
      <w:lvlJc w:val="left"/>
      <w:lvlText w:val="(%2)"/>
      <w:numFmt w:val="decimal"/>
      <w:start w:val="2"/>
    </w:lvl>
  </w:abstractNum>
  <w:abstractNum w:abstractNumId="85">
    <w:nsid w:val="4BD8591A"/>
    <w:multiLevelType w:val="hybridMultilevel"/>
    <w:lvl w:ilvl="0">
      <w:lvlJc w:val="left"/>
      <w:lvlText w:val="(%1)"/>
      <w:numFmt w:val="upperLetter"/>
      <w:start w:val="2"/>
    </w:lvl>
    <w:lvl w:ilvl="1">
      <w:lvlJc w:val="left"/>
      <w:lvlText w:val="(%2)"/>
      <w:numFmt w:val="decimal"/>
      <w:start w:val="3"/>
    </w:lvl>
  </w:abstractNum>
  <w:abstractNum w:abstractNumId="86">
    <w:nsid w:val="78DF6A55"/>
    <w:multiLevelType w:val="hybridMultilevel"/>
    <w:lvl w:ilvl="0">
      <w:lvlJc w:val="left"/>
      <w:lvlText w:val="(%1)"/>
      <w:numFmt w:val="decimal"/>
      <w:start w:val="7"/>
    </w:lvl>
  </w:abstractNum>
  <w:abstractNum w:abstractNumId="87">
    <w:nsid w:val="39B7AAA2"/>
    <w:multiLevelType w:val="hybridMultilevel"/>
    <w:lvl w:ilvl="0">
      <w:lvlJc w:val="left"/>
      <w:lvlText w:val="(%1)"/>
      <w:numFmt w:val="decimal"/>
      <w:start w:val="1"/>
    </w:lvl>
  </w:abstractNum>
  <w:abstractNum w:abstractNumId="88">
    <w:nsid w:val="2B0D8DBE"/>
    <w:multiLevelType w:val="hybridMultilevel"/>
    <w:lvl w:ilvl="0">
      <w:lvlJc w:val="left"/>
      <w:lvlText w:val="(%1)"/>
      <w:numFmt w:val="decimal"/>
      <w:start w:val="4"/>
    </w:lvl>
  </w:abstractNum>
  <w:abstractNum w:abstractNumId="89">
    <w:nsid w:val="6C80EC70"/>
    <w:multiLevelType w:val="hybridMultilevel"/>
    <w:lvl w:ilvl="0">
      <w:lvlJc w:val="left"/>
      <w:lvlText w:val="(%1)"/>
      <w:numFmt w:val="decimal"/>
      <w:start w:val="1"/>
    </w:lvl>
  </w:abstractNum>
  <w:abstractNum w:abstractNumId="90">
    <w:nsid w:val="379E21B5"/>
    <w:multiLevelType w:val="hybridMultilevel"/>
    <w:lvl w:ilvl="0">
      <w:lvlJc w:val="left"/>
      <w:lvlText w:val="(%1)"/>
      <w:numFmt w:val="decimal"/>
      <w:start w:val="1"/>
    </w:lvl>
  </w:abstractNum>
  <w:abstractNum w:abstractNumId="91">
    <w:nsid w:val="69E373"/>
    <w:multiLevelType w:val="hybridMultilevel"/>
    <w:lvl w:ilvl="0">
      <w:lvlJc w:val="left"/>
      <w:lvlText w:val="(%1)"/>
      <w:numFmt w:val="decimal"/>
      <w:start w:val="1"/>
    </w:lvl>
  </w:abstractNum>
  <w:abstractNum w:abstractNumId="92">
    <w:nsid w:val="2C27173B"/>
    <w:multiLevelType w:val="hybridMultilevel"/>
    <w:lvl w:ilvl="0">
      <w:lvlJc w:val="left"/>
      <w:lvlText w:val="\emdash "/>
      <w:numFmt w:val="bullet"/>
      <w:start w:val="1"/>
    </w:lvl>
  </w:abstractNum>
  <w:abstractNum w:abstractNumId="93">
    <w:nsid w:val="4C9B0904"/>
    <w:multiLevelType w:val="hybridMultilevel"/>
    <w:lvl w:ilvl="0">
      <w:lvlJc w:val="left"/>
      <w:lvlText w:val="*"/>
      <w:numFmt w:val="bullet"/>
      <w:start w:val="1"/>
    </w:lvl>
  </w:abstractNum>
  <w:abstractNum w:abstractNumId="94">
    <w:nsid w:val="6AA7B75C"/>
    <w:multiLevelType w:val="hybridMultilevel"/>
    <w:lvl w:ilvl="0">
      <w:lvlJc w:val="left"/>
      <w:lvlText w:val="(%1)"/>
      <w:numFmt w:val="decimal"/>
      <w:start w:val="1"/>
    </w:lvl>
  </w:abstractNum>
  <w:abstractNum w:abstractNumId="95">
    <w:nsid w:val="1DF029D3"/>
    <w:multiLevelType w:val="hybridMultilevel"/>
    <w:lvl w:ilvl="0">
      <w:lvlJc w:val="left"/>
      <w:lvlText w:val="(%1)"/>
      <w:numFmt w:val="decimal"/>
      <w:start w:val="8"/>
    </w:lvl>
  </w:abstractNum>
  <w:abstractNum w:abstractNumId="96">
    <w:nsid w:val="5675FF36"/>
    <w:multiLevelType w:val="hybridMultilevel"/>
    <w:lvl w:ilvl="0">
      <w:lvlJc w:val="left"/>
      <w:lvlText w:val="(%1)"/>
      <w:numFmt w:val="decimal"/>
      <w:start w:val="17"/>
    </w:lvl>
  </w:abstractNum>
  <w:abstractNum w:abstractNumId="97">
    <w:nsid w:val="3DD15094"/>
    <w:multiLevelType w:val="hybridMultilevel"/>
    <w:lvl w:ilvl="0">
      <w:lvlJc w:val="left"/>
      <w:lvlText w:val="(%1)"/>
      <w:numFmt w:val="decimal"/>
      <w:start w:val="1"/>
    </w:lvl>
  </w:abstractNum>
  <w:abstractNum w:abstractNumId="98">
    <w:nsid w:val="3DB012B3"/>
    <w:multiLevelType w:val="hybridMultilevel"/>
    <w:lvl w:ilvl="0">
      <w:lvlJc w:val="left"/>
      <w:lvlText w:val="(%1)"/>
      <w:numFmt w:val="decimal"/>
      <w:start w:val="1"/>
    </w:lvl>
  </w:abstractNum>
  <w:abstractNum w:abstractNumId="99">
    <w:nsid w:val="2708C9AF"/>
    <w:multiLevelType w:val="hybridMultilevel"/>
    <w:lvl w:ilvl="0">
      <w:lvlJc w:val="left"/>
      <w:lvlText w:val="(%1)"/>
      <w:numFmt w:val="lowerRoman"/>
      <w:start w:val="2"/>
    </w:lvl>
  </w:abstractNum>
  <w:abstractNum w:abstractNumId="100">
    <w:nsid w:val="5B25ACE2"/>
    <w:multiLevelType w:val="hybridMultilevel"/>
    <w:lvl w:ilvl="0">
      <w:lvlJc w:val="left"/>
      <w:lvlText w:val="(%1)"/>
      <w:numFmt w:val="decimal"/>
      <w:start w:val="1"/>
    </w:lvl>
  </w:abstractNum>
  <w:abstractNum w:abstractNumId="101">
    <w:nsid w:val="175DFCF0"/>
    <w:multiLevelType w:val="hybridMultilevel"/>
    <w:lvl w:ilvl="0">
      <w:lvlJc w:val="left"/>
      <w:lvlText w:val="(%1)"/>
      <w:numFmt w:val="decimal"/>
      <w:start w:val="2"/>
    </w:lvl>
  </w:abstractNum>
  <w:abstractNum w:abstractNumId="102">
    <w:nsid w:val="4F97E3E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03">
    <w:nsid w:val="53B0A9E"/>
    <w:multiLevelType w:val="hybridMultilevel"/>
    <w:lvl w:ilvl="0">
      <w:lvlJc w:val="left"/>
      <w:lvlText w:val="(%1)"/>
      <w:numFmt w:val="decimal"/>
      <w:start w:val="2"/>
    </w:lvl>
  </w:abstractNum>
  <w:abstractNum w:abstractNumId="104">
    <w:nsid w:val="34FD6B4F"/>
    <w:multiLevelType w:val="hybridMultilevel"/>
    <w:lvl w:ilvl="0">
      <w:lvlJc w:val="left"/>
      <w:lvlText w:val="(%1)"/>
      <w:numFmt w:val="decimal"/>
      <w:start w:val="1"/>
    </w:lvl>
  </w:abstractNum>
  <w:abstractNum w:abstractNumId="105">
    <w:nsid w:val="5915FF32"/>
    <w:multiLevelType w:val="hybridMultilevel"/>
    <w:lvl w:ilvl="0">
      <w:lvlJc w:val="left"/>
      <w:lvlText w:val="(%1)"/>
      <w:numFmt w:val="decimal"/>
      <w:start w:val="6"/>
    </w:lvl>
  </w:abstractNum>
  <w:abstractNum w:abstractNumId="106">
    <w:nsid w:val="56438D15"/>
    <w:multiLevelType w:val="hybridMultilevel"/>
    <w:lvl w:ilvl="0">
      <w:lvlJc w:val="left"/>
      <w:lvlText w:val="(%1)"/>
      <w:numFmt w:val="decimal"/>
      <w:start w:val="9"/>
    </w:lvl>
  </w:abstractNum>
  <w:abstractNum w:abstractNumId="107">
    <w:nsid w:val="519E3149"/>
    <w:multiLevelType w:val="hybridMultilevel"/>
    <w:lvl w:ilvl="0">
      <w:lvlJc w:val="left"/>
      <w:lvlText w:val="(%1)"/>
      <w:numFmt w:val="decimal"/>
      <w:start w:val="1"/>
    </w:lvl>
    <w:lvl w:ilvl="1">
      <w:lvlJc w:val="left"/>
      <w:lvlText w:val="(%2)"/>
      <w:numFmt w:val="upperLetter"/>
      <w:start w:val="1"/>
    </w:lvl>
  </w:abstractNum>
  <w:abstractNum w:abstractNumId="108">
    <w:nsid w:val="2C6E4AFD"/>
    <w:multiLevelType w:val="hybridMultilevel"/>
    <w:lvl w:ilvl="0">
      <w:lvlJc w:val="left"/>
      <w:lvlText w:val="%1"/>
      <w:numFmt w:val="decimal"/>
      <w:start w:val="1"/>
    </w:lvl>
    <w:lvl w:ilvl="1">
      <w:lvlJc w:val="left"/>
      <w:lvlText w:val="(%2)"/>
      <w:numFmt w:val="upperLetter"/>
      <w:start w:val="3"/>
    </w:lvl>
  </w:abstractNum>
  <w:abstractNum w:abstractNumId="109">
    <w:nsid w:val="17A1B582"/>
    <w:multiLevelType w:val="hybridMultilevel"/>
    <w:lvl w:ilvl="0">
      <w:lvlJc w:val="left"/>
      <w:lvlText w:val="(%1)"/>
      <w:numFmt w:val="decimal"/>
      <w:start w:val="2"/>
    </w:lvl>
    <w:lvl w:ilvl="1">
      <w:lvlJc w:val="left"/>
      <w:lvlText w:val="%2"/>
      <w:numFmt w:val="upperLetter"/>
      <w:start w:val="1"/>
    </w:lvl>
  </w:abstractNum>
  <w:abstractNum w:abstractNumId="110">
    <w:nsid w:val="4DF72E4E"/>
    <w:multiLevelType w:val="hybridMultilevel"/>
    <w:lvl w:ilvl="0">
      <w:lvlJc w:val="left"/>
      <w:lvlText w:val="(%1)"/>
      <w:numFmt w:val="decimal"/>
      <w:start w:val="1"/>
    </w:lvl>
  </w:abstractNum>
  <w:abstractNum w:abstractNumId="111">
    <w:nsid w:val="5046B5A9"/>
    <w:multiLevelType w:val="hybridMultilevel"/>
    <w:lvl w:ilvl="0">
      <w:lvlJc w:val="left"/>
      <w:lvlText w:val="(%1)"/>
      <w:numFmt w:val="decimal"/>
      <w:start w:val="1"/>
    </w:lvl>
  </w:abstractNum>
  <w:abstractNum w:abstractNumId="112">
    <w:nsid w:val="5D888A08"/>
    <w:multiLevelType w:val="hybridMultilevel"/>
    <w:lvl w:ilvl="0">
      <w:lvlJc w:val="left"/>
      <w:lvlText w:val="(%1)"/>
      <w:numFmt w:val="decimal"/>
      <w:start w:val="1"/>
    </w:lvl>
  </w:abstractNum>
  <w:abstractNum w:abstractNumId="113">
    <w:nsid w:val="2A082C70"/>
    <w:multiLevelType w:val="hybridMultilevel"/>
    <w:lvl w:ilvl="0">
      <w:lvlJc w:val="left"/>
      <w:lvlText w:val="(%1)"/>
      <w:numFmt w:val="decimal"/>
      <w:start w:val="1"/>
    </w:lvl>
  </w:abstractNum>
  <w:abstractNum w:abstractNumId="114">
    <w:nsid w:val="5EC6AFD4"/>
    <w:multiLevelType w:val="hybridMultilevel"/>
    <w:lvl w:ilvl="0">
      <w:lvlJc w:val="left"/>
      <w:lvlText w:val="(%1)"/>
      <w:numFmt w:val="decimal"/>
      <w:start w:val="1"/>
    </w:lvl>
  </w:abstractNum>
  <w:abstractNum w:abstractNumId="115">
    <w:nsid w:val="19E21BB2"/>
    <w:multiLevelType w:val="hybridMultilevel"/>
    <w:lvl w:ilvl="0">
      <w:lvlJc w:val="left"/>
      <w:lvlText w:val="(%1)"/>
      <w:numFmt w:val="decimal"/>
      <w:start w:val="1"/>
    </w:lvl>
  </w:abstractNum>
  <w:abstractNum w:abstractNumId="116">
    <w:nsid w:val="75E0858A"/>
    <w:multiLevelType w:val="hybridMultilevel"/>
    <w:lvl w:ilvl="0">
      <w:lvlJc w:val="left"/>
      <w:lvlText w:val="(%1)"/>
      <w:numFmt w:val="decimal"/>
      <w:start w:val="1"/>
    </w:lvl>
  </w:abstractNum>
  <w:abstractNum w:abstractNumId="117">
    <w:nsid w:val="57A61A29"/>
    <w:multiLevelType w:val="hybridMultilevel"/>
    <w:lvl w:ilvl="0">
      <w:lvlJc w:val="left"/>
      <w:lvlText w:val="(%1)"/>
      <w:numFmt w:val="decimal"/>
      <w:start w:val="3"/>
    </w:lvl>
  </w:abstractNum>
  <w:abstractNum w:abstractNumId="118">
    <w:nsid w:val="5399C654"/>
    <w:multiLevelType w:val="hybridMultilevel"/>
    <w:lvl w:ilvl="0">
      <w:lvlJc w:val="left"/>
      <w:lvlText w:val="(%1)"/>
      <w:numFmt w:val="decimal"/>
      <w:start w:val="1"/>
    </w:lvl>
  </w:abstractNum>
  <w:abstractNum w:abstractNumId="119">
    <w:nsid w:val="20EE1348"/>
    <w:multiLevelType w:val="hybridMultilevel"/>
    <w:lvl w:ilvl="0">
      <w:lvlJc w:val="left"/>
      <w:lvlText w:val="(%1)"/>
      <w:numFmt w:val="decimal"/>
      <w:start w:val="1"/>
    </w:lvl>
  </w:abstractNum>
  <w:abstractNum w:abstractNumId="120">
    <w:nsid w:val="4427069A"/>
    <w:multiLevelType w:val="hybridMultilevel"/>
    <w:lvl w:ilvl="0">
      <w:lvlJc w:val="left"/>
      <w:lvlText w:val="(%1)"/>
      <w:numFmt w:val="decimal"/>
      <w:start w:val="2"/>
    </w:lvl>
  </w:abstractNum>
  <w:abstractNum w:abstractNumId="121">
    <w:nsid w:val="B37E80A"/>
    <w:multiLevelType w:val="hybridMultilevel"/>
    <w:lvl w:ilvl="0">
      <w:lvlJc w:val="left"/>
      <w:lvlText w:val="(%1)"/>
      <w:numFmt w:val="decimal"/>
      <w:start w:val="1"/>
    </w:lvl>
  </w:abstractNum>
  <w:abstractNum w:abstractNumId="122">
    <w:nsid w:val="2157F6BC"/>
    <w:multiLevelType w:val="hybridMultilevel"/>
    <w:lvl w:ilvl="0">
      <w:lvlJc w:val="left"/>
      <w:lvlText w:val="(%1)"/>
      <w:numFmt w:val="decimal"/>
      <w:start w:val="1"/>
    </w:lvl>
  </w:abstractNum>
  <w:abstractNum w:abstractNumId="123">
    <w:nsid w:val="704E1DD5"/>
    <w:multiLevelType w:val="hybridMultilevel"/>
    <w:lvl w:ilvl="0">
      <w:lvlJc w:val="left"/>
      <w:lvlText w:val="(%1)"/>
      <w:numFmt w:val="decimal"/>
      <w:start w:val="1"/>
    </w:lvl>
  </w:abstractNum>
  <w:abstractNum w:abstractNumId="124">
    <w:nsid w:val="57D2F10E"/>
    <w:multiLevelType w:val="hybridMultilevel"/>
    <w:lvl w:ilvl="0">
      <w:lvlJc w:val="left"/>
      <w:lvlText w:val="(%1)"/>
      <w:numFmt w:val="decimal"/>
      <w:start w:val="5"/>
    </w:lvl>
  </w:abstractNum>
  <w:abstractNum w:abstractNumId="125">
    <w:nsid w:val="BFFAE18"/>
    <w:multiLevelType w:val="hybridMultilevel"/>
    <w:lvl w:ilvl="0">
      <w:lvlJc w:val="left"/>
      <w:lvlText w:val="(%1)"/>
      <w:numFmt w:val="decimal"/>
      <w:start w:val="17"/>
    </w:lvl>
  </w:abstractNum>
  <w:abstractNum w:abstractNumId="126">
    <w:nsid w:val="E3E47A8"/>
    <w:multiLevelType w:val="hybridMultilevel"/>
    <w:lvl w:ilvl="0">
      <w:lvlJc w:val="left"/>
      <w:lvlText w:val="(%1)"/>
      <w:numFmt w:val="decimal"/>
      <w:start w:val="1"/>
    </w:lvl>
  </w:abstractNum>
  <w:abstractNum w:abstractNumId="127">
    <w:nsid w:val="2E48F044"/>
    <w:multiLevelType w:val="hybridMultilevel"/>
    <w:lvl w:ilvl="0">
      <w:lvlJc w:val="left"/>
      <w:lvlText w:val="(%1)"/>
      <w:numFmt w:val="decimal"/>
      <w:start w:val="8"/>
    </w:lvl>
  </w:abstractNum>
  <w:abstractNum w:abstractNumId="128">
    <w:nsid w:val="49D0FEAC"/>
    <w:multiLevelType w:val="hybridMultilevel"/>
    <w:lvl w:ilvl="0">
      <w:lvlJc w:val="left"/>
      <w:lvlText w:val="(%1)"/>
      <w:numFmt w:val="decimal"/>
      <w:start w:val="1"/>
    </w:lvl>
  </w:abstractNum>
  <w:abstractNum w:abstractNumId="129">
    <w:nsid w:val="4BEE5A5B"/>
    <w:multiLevelType w:val="hybridMultilevel"/>
    <w:lvl w:ilvl="0">
      <w:lvlJc w:val="left"/>
      <w:lvlText w:val="(%1)"/>
      <w:numFmt w:val="decimal"/>
      <w:start w:val="1"/>
    </w:lvl>
  </w:abstractNum>
  <w:abstractNum w:abstractNumId="130">
    <w:nsid w:val="5551B9F3"/>
    <w:multiLevelType w:val="hybridMultilevel"/>
    <w:lvl w:ilvl="0">
      <w:lvlJc w:val="left"/>
      <w:lvlText w:val="(%1)"/>
      <w:numFmt w:val="lowerLetter"/>
      <w:start w:val="2"/>
    </w:lvl>
  </w:abstractNum>
  <w:abstractNum w:abstractNumId="131">
    <w:nsid w:val="24F6AB8E"/>
    <w:multiLevelType w:val="hybridMultilevel"/>
    <w:lvl w:ilvl="0">
      <w:lvlJc w:val="left"/>
      <w:lvlText w:val="(%1)"/>
      <w:numFmt w:val="decimal"/>
      <w:start w:val="1"/>
    </w:lvl>
  </w:abstractNum>
  <w:abstractNum w:abstractNumId="132">
    <w:nsid w:val="634C574C"/>
    <w:multiLevelType w:val="hybridMultilevel"/>
    <w:lvl w:ilvl="0">
      <w:lvlJc w:val="left"/>
      <w:lvlText w:val="%1"/>
      <w:numFmt w:val="lowerRoman"/>
      <w:start w:val="1"/>
    </w:lvl>
    <w:lvl w:ilvl="1">
      <w:lvlJc w:val="left"/>
      <w:lvlText w:val="(%2)"/>
      <w:numFmt w:val="decimal"/>
      <w:start w:val="1"/>
    </w:lvl>
  </w:abstractNum>
  <w:abstractNum w:abstractNumId="133">
    <w:nsid w:val="24E99DD7"/>
    <w:multiLevelType w:val="hybridMultilevel"/>
    <w:lvl w:ilvl="0">
      <w:lvlJc w:val="left"/>
      <w:lvlText w:val="(%1)"/>
      <w:numFmt w:val="lowerRoman"/>
      <w:start w:val="10"/>
    </w:lvl>
    <w:lvl w:ilvl="1">
      <w:lvlJc w:val="left"/>
      <w:lvlText w:val="%2"/>
      <w:numFmt w:val="decimal"/>
      <w:start w:val="1"/>
    </w:lvl>
  </w:abstractNum>
  <w:abstractNum w:abstractNumId="134">
    <w:nsid w:val="2A31B62D"/>
    <w:multiLevelType w:val="hybridMultilevel"/>
    <w:lvl w:ilvl="0">
      <w:lvlJc w:val="left"/>
      <w:lvlText w:val="%1"/>
      <w:numFmt w:val="upperLetter"/>
      <w:start w:val="1"/>
    </w:lvl>
    <w:lvl w:ilvl="1">
      <w:lvlJc w:val="left"/>
      <w:lvlText w:val="(%2)"/>
      <w:numFmt w:val="decimal"/>
      <w:start w:val="2"/>
    </w:lvl>
  </w:abstractNum>
  <w:abstractNum w:abstractNumId="135">
    <w:nsid w:val="1849C29B"/>
    <w:multiLevelType w:val="hybridMultilevel"/>
    <w:lvl w:ilvl="0">
      <w:lvlJc w:val="left"/>
      <w:lvlText w:val="(%1)"/>
      <w:numFmt w:val="upperLetter"/>
      <w:start w:val="2"/>
    </w:lvl>
    <w:lvl w:ilvl="1">
      <w:lvlJc w:val="left"/>
      <w:lvlText w:val="(%2)"/>
      <w:numFmt w:val="decimal"/>
      <w:start w:val="3"/>
    </w:lvl>
  </w:abstractNum>
  <w:abstractNum w:abstractNumId="136">
    <w:nsid w:val="7DFF9D09"/>
    <w:multiLevelType w:val="hybridMultilevel"/>
    <w:lvl w:ilvl="0">
      <w:lvlJc w:val="left"/>
      <w:lvlText w:val="(%1)"/>
      <w:numFmt w:val="decimal"/>
      <w:start w:val="9"/>
    </w:lvl>
  </w:abstractNum>
  <w:abstractNum w:abstractNumId="137">
    <w:nsid w:val="754342"/>
    <w:multiLevelType w:val="hybridMultilevel"/>
    <w:lvl w:ilvl="0">
      <w:lvlJc w:val="left"/>
      <w:lvlText w:val="%1."/>
      <w:numFmt w:val="decimal"/>
      <w:start w:val="1"/>
    </w:lvl>
  </w:abstractNum>
  <w:abstractNum w:abstractNumId="138">
    <w:nsid w:val="69E7F3E5"/>
    <w:multiLevelType w:val="hybridMultilevel"/>
    <w:lvl w:ilvl="0">
      <w:lvlJc w:val="left"/>
      <w:lvlText w:val="(%1)"/>
      <w:numFmt w:val="decimal"/>
      <w:start w:val="1"/>
    </w:lvl>
  </w:abstractNum>
  <w:abstractNum w:abstractNumId="139">
    <w:nsid w:val="2A6DE806"/>
    <w:multiLevelType w:val="hybridMultilevel"/>
    <w:lvl w:ilvl="0">
      <w:lvlJc w:val="left"/>
      <w:lvlText w:val="(%1)"/>
      <w:numFmt w:val="decimal"/>
      <w:start w:val="8"/>
    </w:lvl>
  </w:abstractNum>
  <w:abstractNum w:abstractNumId="140">
    <w:nsid w:val="1816F8C4"/>
    <w:multiLevelType w:val="hybridMultilevel"/>
    <w:lvl w:ilvl="0">
      <w:lvlJc w:val="left"/>
      <w:lvlText w:val="%1."/>
      <w:numFmt w:val="decimal"/>
      <w:start w:val="1"/>
    </w:lvl>
  </w:abstractNum>
  <w:abstractNum w:abstractNumId="141">
    <w:nsid w:val="37DF2233"/>
    <w:multiLevelType w:val="hybridMultilevel"/>
    <w:lvl w:ilvl="0">
      <w:lvlJc w:val="left"/>
      <w:lvlText w:val="%1."/>
      <w:numFmt w:val="decimal"/>
      <w:start w:val="2"/>
    </w:lvl>
  </w:abstractNum>
  <w:abstractNum w:abstractNumId="142">
    <w:nsid w:val="7AB49DAF"/>
    <w:multiLevelType w:val="hybridMultilevel"/>
    <w:lvl w:ilvl="0">
      <w:lvlJc w:val="left"/>
      <w:lvlText w:val="%1."/>
      <w:numFmt w:val="decimal"/>
      <w:start w:val="4"/>
    </w:lvl>
  </w:abstractNum>
  <w:abstractNum w:abstractNumId="143">
    <w:nsid w:val="759F82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7"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2" Type="http://schemas.openxmlformats.org/officeDocument/2006/relationships/image" Target="media/image230.png"/><Relationship Id="rId253" Type="http://schemas.openxmlformats.org/officeDocument/2006/relationships/image" Target="media/image231.png"/><Relationship Id="rId254" Type="http://schemas.openxmlformats.org/officeDocument/2006/relationships/image" Target="media/image232.png"/><Relationship Id="rId255" Type="http://schemas.openxmlformats.org/officeDocument/2006/relationships/image" Target="media/image233.png"/><Relationship Id="rId256" Type="http://schemas.openxmlformats.org/officeDocument/2006/relationships/image" Target="media/image234.png"/><Relationship Id="rId257" Type="http://schemas.openxmlformats.org/officeDocument/2006/relationships/image" Target="media/image235.png"/><Relationship Id="rId258" Type="http://schemas.openxmlformats.org/officeDocument/2006/relationships/image" Target="media/image236.png"/><Relationship Id="rId259" Type="http://schemas.openxmlformats.org/officeDocument/2006/relationships/image" Target="media/image237.png"/><Relationship Id="rId260"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67" Type="http://schemas.openxmlformats.org/officeDocument/2006/relationships/image" Target="media/image245.pn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png"/><Relationship Id="rId280" Type="http://schemas.openxmlformats.org/officeDocument/2006/relationships/image" Target="media/image258.png"/><Relationship Id="rId281" Type="http://schemas.openxmlformats.org/officeDocument/2006/relationships/image" Target="media/image259.png"/><Relationship Id="rId282" Type="http://schemas.openxmlformats.org/officeDocument/2006/relationships/image" Target="media/image260.png"/><Relationship Id="rId283" Type="http://schemas.openxmlformats.org/officeDocument/2006/relationships/image" Target="media/image261.png"/><Relationship Id="rId284" Type="http://schemas.openxmlformats.org/officeDocument/2006/relationships/image" Target="media/image262.png"/><Relationship Id="rId285" Type="http://schemas.openxmlformats.org/officeDocument/2006/relationships/image" Target="media/image263.png"/><Relationship Id="rId286" Type="http://schemas.openxmlformats.org/officeDocument/2006/relationships/image" Target="media/image264.png"/><Relationship Id="rId287" Type="http://schemas.openxmlformats.org/officeDocument/2006/relationships/image" Target="media/image265.png"/><Relationship Id="rId288" Type="http://schemas.openxmlformats.org/officeDocument/2006/relationships/image" Target="media/image266.png"/><Relationship Id="rId289" Type="http://schemas.openxmlformats.org/officeDocument/2006/relationships/image" Target="media/image267.png"/><Relationship Id="rId290" Type="http://schemas.openxmlformats.org/officeDocument/2006/relationships/image" Target="media/image268.png"/><Relationship Id="rId291" Type="http://schemas.openxmlformats.org/officeDocument/2006/relationships/image" Target="media/image269.png"/><Relationship Id="rId292" Type="http://schemas.openxmlformats.org/officeDocument/2006/relationships/image" Target="media/image270.png"/><Relationship Id="rId293" Type="http://schemas.openxmlformats.org/officeDocument/2006/relationships/image" Target="media/image271.png"/><Relationship Id="rId294" Type="http://schemas.openxmlformats.org/officeDocument/2006/relationships/image" Target="media/image272.png"/><Relationship Id="rId295" Type="http://schemas.openxmlformats.org/officeDocument/2006/relationships/image" Target="media/image273.png"/><Relationship Id="rId296" Type="http://schemas.openxmlformats.org/officeDocument/2006/relationships/image" Target="media/image274.png"/><Relationship Id="rId297" Type="http://schemas.openxmlformats.org/officeDocument/2006/relationships/image" Target="media/image275.png"/><Relationship Id="rId298" Type="http://schemas.openxmlformats.org/officeDocument/2006/relationships/image" Target="media/image276.png"/><Relationship Id="rId299" Type="http://schemas.openxmlformats.org/officeDocument/2006/relationships/image" Target="media/image277.png"/><Relationship Id="rId300" Type="http://schemas.openxmlformats.org/officeDocument/2006/relationships/image" Target="media/image278.png"/><Relationship Id="rId301" Type="http://schemas.openxmlformats.org/officeDocument/2006/relationships/image" Target="media/image279.png"/><Relationship Id="rId302" Type="http://schemas.openxmlformats.org/officeDocument/2006/relationships/image" Target="media/image280.png"/><Relationship Id="rId303" Type="http://schemas.openxmlformats.org/officeDocument/2006/relationships/image" Target="media/image281.png"/><Relationship Id="rId304" Type="http://schemas.openxmlformats.org/officeDocument/2006/relationships/image" Target="media/image282.png"/><Relationship Id="rId305" Type="http://schemas.openxmlformats.org/officeDocument/2006/relationships/image" Target="media/image283.png"/><Relationship Id="rId306" Type="http://schemas.openxmlformats.org/officeDocument/2006/relationships/image" Target="media/image284.png"/><Relationship Id="rId307" Type="http://schemas.openxmlformats.org/officeDocument/2006/relationships/image" Target="media/image285.png"/><Relationship Id="rId308" Type="http://schemas.openxmlformats.org/officeDocument/2006/relationships/image" Target="media/image286.png"/><Relationship Id="rId309" Type="http://schemas.openxmlformats.org/officeDocument/2006/relationships/image" Target="media/image287.png"/><Relationship Id="rId310" Type="http://schemas.openxmlformats.org/officeDocument/2006/relationships/image" Target="media/image288.png"/><Relationship Id="rId311" Type="http://schemas.openxmlformats.org/officeDocument/2006/relationships/image" Target="media/image289.png"/><Relationship Id="rId312" Type="http://schemas.openxmlformats.org/officeDocument/2006/relationships/image" Target="media/image290.png"/><Relationship Id="rId313" Type="http://schemas.openxmlformats.org/officeDocument/2006/relationships/image" Target="media/image291.png"/><Relationship Id="rId314" Type="http://schemas.openxmlformats.org/officeDocument/2006/relationships/image" Target="media/image292.png"/><Relationship Id="rId315" Type="http://schemas.openxmlformats.org/officeDocument/2006/relationships/image" Target="media/image293.png"/><Relationship Id="rId316" Type="http://schemas.openxmlformats.org/officeDocument/2006/relationships/image" Target="media/image294.png"/><Relationship Id="rId317" Type="http://schemas.openxmlformats.org/officeDocument/2006/relationships/image" Target="media/image295.png"/><Relationship Id="rId318" Type="http://schemas.openxmlformats.org/officeDocument/2006/relationships/image" Target="media/image296.png"/><Relationship Id="rId319" Type="http://schemas.openxmlformats.org/officeDocument/2006/relationships/image" Target="media/image297.png"/><Relationship Id="rId320" Type="http://schemas.openxmlformats.org/officeDocument/2006/relationships/image" Target="media/image298.jpeg"/><Relationship Id="rId321" Type="http://schemas.openxmlformats.org/officeDocument/2006/relationships/image" Target="media/image299.jpeg"/><Relationship Id="rId322" Type="http://schemas.openxmlformats.org/officeDocument/2006/relationships/image" Target="media/image300.png"/><Relationship Id="rId323" Type="http://schemas.openxmlformats.org/officeDocument/2006/relationships/image" Target="media/image301.jpeg"/><Relationship Id="rId324" Type="http://schemas.openxmlformats.org/officeDocument/2006/relationships/image" Target="media/image302.png"/><Relationship Id="rId325" Type="http://schemas.openxmlformats.org/officeDocument/2006/relationships/image" Target="media/image303.jpeg"/><Relationship Id="rId326" Type="http://schemas.openxmlformats.org/officeDocument/2006/relationships/image" Target="media/image304.png"/><Relationship Id="rId327" Type="http://schemas.openxmlformats.org/officeDocument/2006/relationships/image" Target="media/image305.jpeg"/><Relationship Id="rId328" Type="http://schemas.openxmlformats.org/officeDocument/2006/relationships/image" Target="media/image306.png"/><Relationship Id="rId329" Type="http://schemas.openxmlformats.org/officeDocument/2006/relationships/image" Target="media/image307.jpeg"/><Relationship Id="rId330" Type="http://schemas.openxmlformats.org/officeDocument/2006/relationships/image" Target="media/image308.png"/><Relationship Id="rId331" Type="http://schemas.openxmlformats.org/officeDocument/2006/relationships/image" Target="media/image309.jpeg"/><Relationship Id="rId56" Type="http://schemas.openxmlformats.org/officeDocument/2006/relationships/hyperlink" Target="http://www.sec.gov/Archives/edgar/data/1609253/000110465914084170/a14-25233_1ex2d1.htm" TargetMode="External"/><Relationship Id="rId57" Type="http://schemas.openxmlformats.org/officeDocument/2006/relationships/hyperlink" Target="http://www.sec.gov/Archives/edgar/data/1609253/000160925316000271/exhibit31.htm" TargetMode="External"/><Relationship Id="rId58" Type="http://schemas.openxmlformats.org/officeDocument/2006/relationships/hyperlink" Target="http://www.sec.gov/Archives/edgar/data/1609253/000160925315000168/exhibit32amendedandrestate.htm" TargetMode="External"/><Relationship Id="rId59" Type="http://schemas.openxmlformats.org/officeDocument/2006/relationships/hyperlink" Target="http://www.sec.gov/Archives/edgar/data/1609253/000104746914008184/a2221677zex-4_2.htm" TargetMode="External"/><Relationship Id="rId60" Type="http://schemas.openxmlformats.org/officeDocument/2006/relationships/hyperlink" Target="http://www.sec.gov/Archives/edgar/data/1609253/000160925315000179/crcexchangeindenture.htm" TargetMode="External"/><Relationship Id="rId61" Type="http://schemas.openxmlformats.org/officeDocument/2006/relationships/hyperlink" Target="http://www.sec.gov/Archives/edgar/data/1609253/000160925315000027/exh42guarantorsupplemental.htm" TargetMode="External"/><Relationship Id="rId62" Type="http://schemas.openxmlformats.org/officeDocument/2006/relationships/hyperlink" Target="http://www.sec.gov/Archives/edgar/data/1609253/000160925316000305/a2016q2exhibit41.htm" TargetMode="External"/><Relationship Id="rId63" Type="http://schemas.openxmlformats.org/officeDocument/2006/relationships/hyperlink" Target="http://www.sec.gov/Archives/edgar/data/1609253/000160925316000305/a2016q2exhibit42.htm" TargetMode="External"/><Relationship Id="rId64" Type="http://schemas.openxmlformats.org/officeDocument/2006/relationships/hyperlink" Target="http://www.sec.gov/Archives/edgar/data/1609253/000160925316000305/a2016q2exhibit104.htm" TargetMode="External"/><Relationship Id="rId65" Type="http://schemas.openxmlformats.org/officeDocument/2006/relationships/hyperlink" Target="http://www.sec.gov/Archives/edgar/data/1609253/000160925315000027/exhibit1031assumptionagree.htm" TargetMode="External"/><Relationship Id="rId66" Type="http://schemas.openxmlformats.org/officeDocument/2006/relationships/hyperlink" Target="http://www.sec.gov/Archives/edgar/data/1609253/000104746914008184/a2221677zex-4_3.htm" TargetMode="External"/><Relationship Id="rId68" Type="http://schemas.openxmlformats.org/officeDocument/2006/relationships/hyperlink" Target="http://www.sec.gov/Archives/edgar/data/1609253/000160925318000004/ex1052-7x20188k.htm" TargetMode="External"/><Relationship Id="rId69" Type="http://schemas.openxmlformats.org/officeDocument/2006/relationships/hyperlink" Target="http://www.sec.gov/Archives/edgar/data/1609253/000160925318000051/registrationrightsagreemen.htm" TargetMode="External"/><Relationship Id="rId70" Type="http://schemas.openxmlformats.org/officeDocument/2006/relationships/hyperlink" Target="http://www.sec.gov/Archives/edgar/data/1609253/000160925318000111/a2018q2exhibit41.htm" TargetMode="External"/><Relationship Id="rId71" Type="http://schemas.openxmlformats.org/officeDocument/2006/relationships/hyperlink" Target="http://www.sec.gov/Archives/edgar/data/1609253/000160925318000111/a2018q2exhibit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2019-12-08T11:45:13Z</dcterms:created>
  <dcterms:modified xsi:type="dcterms:W3CDTF">2019-12-08T11:45:13Z</dcterms:modified>
</cp:coreProperties>
</file>