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27, 2020</w:t>
      </w:r>
    </w:p>
    <w:p>
      <w:pPr>
        <w:spacing w:after="0" w:line="158" w:lineRule="exact"/>
        <w:rPr>
          <w:sz w:val="24"/>
          <w:szCs w:val="24"/>
          <w:color w:val="auto"/>
        </w:rPr>
      </w:pPr>
    </w:p>
    <w:p>
      <w:pPr>
        <w:ind w:left="9040"/>
        <w:spacing w:after="0"/>
        <w:rPr>
          <w:sz w:val="20"/>
          <w:szCs w:val="20"/>
          <w:color w:val="auto"/>
        </w:rPr>
      </w:pPr>
      <w:r>
        <w:rPr>
          <w:rFonts w:ascii="Arial" w:cs="Arial" w:eastAsia="Arial" w:hAnsi="Arial"/>
          <w:sz w:val="16"/>
          <w:szCs w:val="16"/>
          <w:b w:val="1"/>
          <w:bCs w:val="1"/>
          <w:color w:val="auto"/>
        </w:rPr>
        <w:t>Registration No. 333-233289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UNITED STATES</w:t>
      </w:r>
    </w:p>
    <w:p>
      <w:pPr>
        <w:jc w:val="center"/>
        <w:ind w:right="-39"/>
        <w:spacing w:after="0" w:line="222" w:lineRule="auto"/>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line="219" w:lineRule="auto"/>
        <w:rPr>
          <w:sz w:val="20"/>
          <w:szCs w:val="20"/>
          <w:color w:val="auto"/>
        </w:rPr>
      </w:pPr>
      <w:r>
        <w:rPr>
          <w:rFonts w:ascii="Arial" w:cs="Arial" w:eastAsia="Arial" w:hAnsi="Arial"/>
          <w:sz w:val="18"/>
          <w:szCs w:val="18"/>
          <w:b w:val="1"/>
          <w:bCs w:val="1"/>
          <w:color w:val="auto"/>
        </w:rPr>
        <w:t>Washington, D.C. 20549</w:t>
      </w:r>
    </w:p>
    <w:p>
      <w:pPr>
        <w:ind w:left="4720"/>
        <w:spacing w:after="0"/>
        <w:rPr>
          <w:sz w:val="20"/>
          <w:szCs w:val="20"/>
          <w:color w:val="auto"/>
        </w:rPr>
      </w:pPr>
      <w:r>
        <w:rPr>
          <w:rFonts w:ascii="Arial" w:cs="Arial" w:eastAsia="Arial" w:hAnsi="Arial"/>
          <w:sz w:val="18"/>
          <w:szCs w:val="18"/>
          <w:color w:val="auto"/>
        </w:rPr>
        <w:t>____________________</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Post-Effective Amendment No. 2</w:t>
      </w:r>
    </w:p>
    <w:p>
      <w:pPr>
        <w:spacing w:after="0" w:line="63"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to</w:t>
      </w:r>
    </w:p>
    <w:p>
      <w:pPr>
        <w:spacing w:after="0" w:line="63"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FORM S-3</w:t>
      </w:r>
    </w:p>
    <w:p>
      <w:pPr>
        <w:jc w:val="center"/>
        <w:ind w:right="-39"/>
        <w:spacing w:after="0" w:line="221" w:lineRule="auto"/>
        <w:rPr>
          <w:sz w:val="20"/>
          <w:szCs w:val="20"/>
          <w:color w:val="auto"/>
        </w:rPr>
      </w:pPr>
      <w:r>
        <w:rPr>
          <w:rFonts w:ascii="Arial" w:cs="Arial" w:eastAsia="Arial" w:hAnsi="Arial"/>
          <w:sz w:val="18"/>
          <w:szCs w:val="18"/>
          <w:b w:val="1"/>
          <w:bCs w:val="1"/>
          <w:color w:val="auto"/>
        </w:rPr>
        <w:t>REGISTRATION STATEMENT</w:t>
      </w:r>
    </w:p>
    <w:p>
      <w:pPr>
        <w:jc w:val="center"/>
        <w:ind w:right="-39"/>
        <w:spacing w:after="0" w:line="219" w:lineRule="auto"/>
        <w:rPr>
          <w:sz w:val="20"/>
          <w:szCs w:val="20"/>
          <w:color w:val="auto"/>
        </w:rPr>
      </w:pPr>
      <w:r>
        <w:rPr>
          <w:rFonts w:ascii="Arial" w:cs="Arial" w:eastAsia="Arial" w:hAnsi="Arial"/>
          <w:sz w:val="18"/>
          <w:szCs w:val="18"/>
          <w:b w:val="1"/>
          <w:bCs w:val="1"/>
          <w:i w:val="1"/>
          <w:iCs w:val="1"/>
          <w:color w:val="auto"/>
        </w:rPr>
        <w:t>Under</w:t>
      </w:r>
    </w:p>
    <w:p>
      <w:pPr>
        <w:jc w:val="center"/>
        <w:ind w:right="-39"/>
        <w:spacing w:after="0" w:line="219" w:lineRule="auto"/>
        <w:rPr>
          <w:sz w:val="20"/>
          <w:szCs w:val="20"/>
          <w:color w:val="auto"/>
        </w:rPr>
      </w:pPr>
      <w:r>
        <w:rPr>
          <w:rFonts w:ascii="Arial" w:cs="Arial" w:eastAsia="Arial" w:hAnsi="Arial"/>
          <w:sz w:val="18"/>
          <w:szCs w:val="18"/>
          <w:b w:val="1"/>
          <w:bCs w:val="1"/>
          <w:i w:val="1"/>
          <w:iCs w:val="1"/>
          <w:color w:val="auto"/>
        </w:rPr>
        <w:t>THE SECURITIES ACT OF 1933</w:t>
      </w:r>
    </w:p>
    <w:p>
      <w:pPr>
        <w:spacing w:after="0" w:line="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California Resources Corporation</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370" w:lineRule="exact"/>
        <w:rPr>
          <w:sz w:val="24"/>
          <w:szCs w:val="24"/>
          <w:color w:val="auto"/>
        </w:rPr>
      </w:pPr>
    </w:p>
    <w:tbl>
      <w:tblPr>
        <w:tblLayout w:type="fixed"/>
        <w:tblInd w:w="2440" w:type="dxa"/>
        <w:tblCellMar>
          <w:top w:w="0" w:type="dxa"/>
          <w:left w:w="0" w:type="dxa"/>
          <w:bottom w:w="0" w:type="dxa"/>
          <w:right w:w="0" w:type="dxa"/>
        </w:tblCellMar>
      </w:tblPr>
      <w:tr>
        <w:trPr>
          <w:trHeight w:val="210"/>
        </w:trPr>
        <w:tc>
          <w:tcPr>
            <w:tcW w:w="3300" w:type="dxa"/>
            <w:vAlign w:val="bottom"/>
          </w:tcPr>
          <w:p>
            <w:pPr>
              <w:jc w:val="center"/>
              <w:ind w:right="1725"/>
              <w:spacing w:after="0"/>
              <w:rPr>
                <w:sz w:val="20"/>
                <w:szCs w:val="20"/>
                <w:color w:val="auto"/>
              </w:rPr>
            </w:pPr>
            <w:r>
              <w:rPr>
                <w:rFonts w:ascii="Arial" w:cs="Arial" w:eastAsia="Arial" w:hAnsi="Arial"/>
                <w:sz w:val="16"/>
                <w:szCs w:val="16"/>
                <w:b w:val="1"/>
                <w:bCs w:val="1"/>
                <w:color w:val="auto"/>
                <w:w w:val="93"/>
              </w:rPr>
              <w:t>Delaware</w:t>
            </w:r>
          </w:p>
        </w:tc>
        <w:tc>
          <w:tcPr>
            <w:tcW w:w="2860" w:type="dxa"/>
            <w:vAlign w:val="bottom"/>
          </w:tcPr>
          <w:p>
            <w:pPr>
              <w:jc w:val="center"/>
              <w:ind w:left="1705"/>
              <w:spacing w:after="0"/>
              <w:rPr>
                <w:sz w:val="20"/>
                <w:szCs w:val="20"/>
                <w:color w:val="auto"/>
              </w:rPr>
            </w:pPr>
            <w:r>
              <w:rPr>
                <w:rFonts w:ascii="Arial" w:cs="Arial" w:eastAsia="Arial" w:hAnsi="Arial"/>
                <w:sz w:val="16"/>
                <w:szCs w:val="16"/>
                <w:b w:val="1"/>
                <w:bCs w:val="1"/>
                <w:color w:val="auto"/>
                <w:w w:val="93"/>
              </w:rPr>
              <w:t>46-5670947</w:t>
            </w:r>
          </w:p>
        </w:tc>
      </w:tr>
      <w:tr>
        <w:trPr>
          <w:trHeight w:val="203"/>
        </w:trPr>
        <w:tc>
          <w:tcPr>
            <w:tcW w:w="3300" w:type="dxa"/>
            <w:vAlign w:val="bottom"/>
          </w:tcPr>
          <w:p>
            <w:pPr>
              <w:jc w:val="center"/>
              <w:ind w:right="1705"/>
              <w:spacing w:after="0"/>
              <w:rPr>
                <w:sz w:val="20"/>
                <w:szCs w:val="20"/>
                <w:color w:val="auto"/>
              </w:rPr>
            </w:pPr>
            <w:r>
              <w:rPr>
                <w:rFonts w:ascii="Arial" w:cs="Arial" w:eastAsia="Arial" w:hAnsi="Arial"/>
                <w:sz w:val="14"/>
                <w:szCs w:val="14"/>
                <w:color w:val="auto"/>
                <w:w w:val="95"/>
              </w:rPr>
              <w:t>(State or other jurisdiction</w:t>
            </w:r>
          </w:p>
        </w:tc>
        <w:tc>
          <w:tcPr>
            <w:tcW w:w="2860" w:type="dxa"/>
            <w:vAlign w:val="bottom"/>
          </w:tcPr>
          <w:p>
            <w:pPr>
              <w:jc w:val="center"/>
              <w:ind w:left="1705"/>
              <w:spacing w:after="0"/>
              <w:rPr>
                <w:sz w:val="20"/>
                <w:szCs w:val="20"/>
                <w:color w:val="auto"/>
              </w:rPr>
            </w:pPr>
            <w:r>
              <w:rPr>
                <w:rFonts w:ascii="Arial" w:cs="Arial" w:eastAsia="Arial" w:hAnsi="Arial"/>
                <w:sz w:val="14"/>
                <w:szCs w:val="14"/>
                <w:color w:val="auto"/>
                <w:w w:val="97"/>
              </w:rPr>
              <w:t>(I.R.S. Employer</w:t>
            </w:r>
          </w:p>
        </w:tc>
      </w:tr>
      <w:tr>
        <w:trPr>
          <w:trHeight w:val="182"/>
        </w:trPr>
        <w:tc>
          <w:tcPr>
            <w:tcW w:w="3300" w:type="dxa"/>
            <w:vAlign w:val="bottom"/>
          </w:tcPr>
          <w:p>
            <w:pPr>
              <w:jc w:val="center"/>
              <w:ind w:right="1725"/>
              <w:spacing w:after="0"/>
              <w:rPr>
                <w:sz w:val="20"/>
                <w:szCs w:val="20"/>
                <w:color w:val="auto"/>
              </w:rPr>
            </w:pPr>
            <w:r>
              <w:rPr>
                <w:rFonts w:ascii="Arial" w:cs="Arial" w:eastAsia="Arial" w:hAnsi="Arial"/>
                <w:sz w:val="14"/>
                <w:szCs w:val="14"/>
                <w:color w:val="auto"/>
                <w:w w:val="96"/>
              </w:rPr>
              <w:t>of incorporation)</w:t>
            </w:r>
          </w:p>
        </w:tc>
        <w:tc>
          <w:tcPr>
            <w:tcW w:w="2860" w:type="dxa"/>
            <w:vAlign w:val="bottom"/>
          </w:tcPr>
          <w:p>
            <w:pPr>
              <w:jc w:val="center"/>
              <w:ind w:left="1705"/>
              <w:spacing w:after="0"/>
              <w:rPr>
                <w:sz w:val="20"/>
                <w:szCs w:val="20"/>
                <w:color w:val="auto"/>
              </w:rPr>
            </w:pPr>
            <w:r>
              <w:rPr>
                <w:rFonts w:ascii="Arial" w:cs="Arial" w:eastAsia="Arial" w:hAnsi="Arial"/>
                <w:sz w:val="14"/>
                <w:szCs w:val="14"/>
                <w:color w:val="auto"/>
                <w:w w:val="99"/>
              </w:rPr>
              <w:t>Identification No.)</w:t>
            </w:r>
          </w:p>
        </w:tc>
      </w:tr>
    </w:tbl>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27200 Tourney Road, Suite 200</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Santa Clarita, California 91355</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(888) 848-4754</w:t>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(Addresses, including zip code, and telephone number, including area code, of registrant’s principal executive offices)</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Michael L. Preston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Senior Executive Vice President, Chief Administrative Officer and General Counsel</w:t>
      </w:r>
    </w:p>
    <w:p>
      <w:pPr>
        <w:jc w:val="center"/>
        <w:ind w:right="-39"/>
        <w:spacing w:after="0" w:line="228" w:lineRule="auto"/>
        <w:rPr>
          <w:sz w:val="20"/>
          <w:szCs w:val="20"/>
          <w:color w:val="auto"/>
        </w:rPr>
      </w:pPr>
      <w:r>
        <w:rPr>
          <w:rFonts w:ascii="Arial" w:cs="Arial" w:eastAsia="Arial" w:hAnsi="Arial"/>
          <w:sz w:val="16"/>
          <w:szCs w:val="16"/>
          <w:b w:val="1"/>
          <w:bCs w:val="1"/>
          <w:color w:val="auto"/>
        </w:rPr>
        <w:t>27200 Tourney Road, Suite 200</w:t>
      </w:r>
    </w:p>
    <w:p>
      <w:pPr>
        <w:jc w:val="center"/>
        <w:ind w:right="-39"/>
        <w:spacing w:after="0" w:line="229" w:lineRule="auto"/>
        <w:rPr>
          <w:sz w:val="20"/>
          <w:szCs w:val="20"/>
          <w:color w:val="auto"/>
        </w:rPr>
      </w:pPr>
      <w:r>
        <w:rPr>
          <w:rFonts w:ascii="Arial" w:cs="Arial" w:eastAsia="Arial" w:hAnsi="Arial"/>
          <w:sz w:val="16"/>
          <w:szCs w:val="16"/>
          <w:b w:val="1"/>
          <w:bCs w:val="1"/>
          <w:color w:val="auto"/>
        </w:rPr>
        <w:t>Santa Clarita, California 91355</w:t>
      </w:r>
    </w:p>
    <w:p>
      <w:pPr>
        <w:jc w:val="center"/>
        <w:ind w:right="-39"/>
        <w:spacing w:after="0" w:line="233" w:lineRule="auto"/>
        <w:rPr>
          <w:sz w:val="20"/>
          <w:szCs w:val="20"/>
          <w:color w:val="auto"/>
        </w:rPr>
      </w:pPr>
      <w:r>
        <w:rPr>
          <w:rFonts w:ascii="Arial" w:cs="Arial" w:eastAsia="Arial" w:hAnsi="Arial"/>
          <w:sz w:val="16"/>
          <w:szCs w:val="16"/>
          <w:b w:val="1"/>
          <w:bCs w:val="1"/>
          <w:color w:val="auto"/>
        </w:rPr>
        <w:t>(888) 848-4754</w:t>
      </w:r>
    </w:p>
    <w:p>
      <w:pPr>
        <w:jc w:val="center"/>
        <w:ind w:right="-39"/>
        <w:spacing w:after="0" w:line="213" w:lineRule="auto"/>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Copies to:</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Sarah K. Morgan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Scott D. Rubinsky</w:t>
      </w:r>
    </w:p>
    <w:p>
      <w:pPr>
        <w:jc w:val="center"/>
        <w:ind w:right="-39"/>
        <w:spacing w:after="0" w:line="228" w:lineRule="auto"/>
        <w:rPr>
          <w:sz w:val="20"/>
          <w:szCs w:val="20"/>
          <w:color w:val="auto"/>
        </w:rPr>
      </w:pPr>
      <w:r>
        <w:rPr>
          <w:rFonts w:ascii="Arial" w:cs="Arial" w:eastAsia="Arial" w:hAnsi="Arial"/>
          <w:sz w:val="16"/>
          <w:szCs w:val="16"/>
          <w:b w:val="1"/>
          <w:bCs w:val="1"/>
          <w:color w:val="auto"/>
        </w:rPr>
        <w:t>Vinson &amp; Elkins L.L.P.</w:t>
      </w:r>
    </w:p>
    <w:p>
      <w:pPr>
        <w:jc w:val="center"/>
        <w:ind w:right="-39"/>
        <w:spacing w:after="0" w:line="229" w:lineRule="auto"/>
        <w:rPr>
          <w:sz w:val="20"/>
          <w:szCs w:val="20"/>
          <w:color w:val="auto"/>
        </w:rPr>
      </w:pPr>
      <w:r>
        <w:rPr>
          <w:rFonts w:ascii="Arial" w:cs="Arial" w:eastAsia="Arial" w:hAnsi="Arial"/>
          <w:sz w:val="16"/>
          <w:szCs w:val="16"/>
          <w:b w:val="1"/>
          <w:bCs w:val="1"/>
          <w:color w:val="auto"/>
        </w:rPr>
        <w:t>1001 Fannin, Suite 2500</w:t>
      </w:r>
    </w:p>
    <w:p>
      <w:pPr>
        <w:jc w:val="center"/>
        <w:ind w:right="-39"/>
        <w:spacing w:after="0" w:line="229" w:lineRule="auto"/>
        <w:rPr>
          <w:sz w:val="20"/>
          <w:szCs w:val="20"/>
          <w:color w:val="auto"/>
        </w:rPr>
      </w:pPr>
      <w:r>
        <w:rPr>
          <w:rFonts w:ascii="Arial" w:cs="Arial" w:eastAsia="Arial" w:hAnsi="Arial"/>
          <w:sz w:val="16"/>
          <w:szCs w:val="16"/>
          <w:b w:val="1"/>
          <w:bCs w:val="1"/>
          <w:color w:val="auto"/>
        </w:rPr>
        <w:t>Houston, Texas 77002-6760</w:t>
      </w:r>
    </w:p>
    <w:p>
      <w:pPr>
        <w:ind w:left="5500" w:hanging="382"/>
        <w:spacing w:after="0" w:line="226" w:lineRule="auto"/>
        <w:tabs>
          <w:tab w:leader="none" w:pos="55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758-2222</w:t>
      </w:r>
    </w:p>
    <w:p>
      <w:pPr>
        <w:ind w:left="4720"/>
        <w:spacing w:after="0"/>
        <w:rPr>
          <w:rFonts w:ascii="Arial" w:cs="Arial" w:eastAsia="Arial" w:hAnsi="Arial"/>
          <w:sz w:val="16"/>
          <w:szCs w:val="16"/>
          <w:b w:val="1"/>
          <w:bCs w:val="1"/>
          <w:color w:val="auto"/>
        </w:rPr>
      </w:pPr>
      <w:r>
        <w:rPr>
          <w:rFonts w:ascii="Arial" w:cs="Arial" w:eastAsia="Arial" w:hAnsi="Arial"/>
          <w:sz w:val="18"/>
          <w:szCs w:val="18"/>
          <w:color w:val="auto"/>
        </w:rPr>
        <w:t>____________________</w:t>
      </w:r>
    </w:p>
    <w:p>
      <w:pPr>
        <w:spacing w:after="0" w:line="124"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the effective date of this Registration Statement.</w:t>
      </w:r>
    </w:p>
    <w:p>
      <w:pPr>
        <w:spacing w:after="0" w:line="171" w:lineRule="exact"/>
        <w:rPr>
          <w:sz w:val="24"/>
          <w:szCs w:val="24"/>
          <w:color w:val="auto"/>
        </w:rPr>
      </w:pPr>
    </w:p>
    <w:p>
      <w:pPr>
        <w:ind w:right="320" w:firstLine="324"/>
        <w:spacing w:after="0" w:line="246"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o</w:t>
      </w:r>
    </w:p>
    <w:p>
      <w:pPr>
        <w:spacing w:after="0" w:line="116" w:lineRule="exact"/>
        <w:rPr>
          <w:sz w:val="24"/>
          <w:szCs w:val="24"/>
          <w:color w:val="auto"/>
        </w:rPr>
      </w:pPr>
    </w:p>
    <w:p>
      <w:pPr>
        <w:ind w:right="180" w:firstLine="324"/>
        <w:spacing w:after="0" w:line="220"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02" w:lineRule="exact"/>
        <w:rPr>
          <w:sz w:val="24"/>
          <w:szCs w:val="24"/>
          <w:color w:val="auto"/>
        </w:rPr>
      </w:pPr>
    </w:p>
    <w:p>
      <w:pPr>
        <w:ind w:right="280" w:firstLine="324"/>
        <w:spacing w:after="0" w:line="274"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94" w:lineRule="exact"/>
        <w:rPr>
          <w:sz w:val="24"/>
          <w:szCs w:val="24"/>
          <w:color w:val="auto"/>
        </w:rPr>
      </w:pPr>
    </w:p>
    <w:p>
      <w:pPr>
        <w:ind w:right="200" w:firstLine="324"/>
        <w:spacing w:after="0" w:line="246"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16" w:lineRule="exact"/>
        <w:rPr>
          <w:sz w:val="24"/>
          <w:szCs w:val="24"/>
          <w:color w:val="auto"/>
        </w:rPr>
      </w:pPr>
    </w:p>
    <w:p>
      <w:pPr>
        <w:ind w:right="360" w:firstLine="324"/>
        <w:spacing w:after="0" w:line="246"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16" w:lineRule="exact"/>
        <w:rPr>
          <w:sz w:val="24"/>
          <w:szCs w:val="24"/>
          <w:color w:val="auto"/>
        </w:rPr>
      </w:pPr>
    </w:p>
    <w:p>
      <w:pPr>
        <w:ind w:right="100" w:firstLine="324"/>
        <w:spacing w:after="0" w:line="246"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16" w:lineRule="exact"/>
        <w:rPr>
          <w:sz w:val="24"/>
          <w:szCs w:val="24"/>
          <w:color w:val="auto"/>
        </w:rPr>
      </w:pPr>
    </w:p>
    <w:p>
      <w:pPr>
        <w:ind w:firstLine="324"/>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p>
      <w:pPr>
        <w:ind w:left="340"/>
        <w:spacing w:after="0" w:line="207" w:lineRule="exact"/>
        <w:tabs>
          <w:tab w:leader="none" w:pos="23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40" w:lineRule="exact"/>
        <w:rPr>
          <w:sz w:val="24"/>
          <w:szCs w:val="24"/>
          <w:color w:val="auto"/>
        </w:rPr>
      </w:pPr>
    </w:p>
    <w:p>
      <w:pPr>
        <w:ind w:left="340"/>
        <w:spacing w:after="0"/>
        <w:tabs>
          <w:tab w:leader="none" w:pos="21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ind w:left="6820"/>
        <w:spacing w:after="0"/>
        <w:rPr>
          <w:sz w:val="20"/>
          <w:szCs w:val="20"/>
          <w:color w:val="auto"/>
        </w:rPr>
      </w:pPr>
      <w:r>
        <w:rPr>
          <w:rFonts w:ascii="Arial" w:cs="Arial" w:eastAsia="Arial" w:hAnsi="Arial"/>
          <w:sz w:val="18"/>
          <w:szCs w:val="18"/>
          <w:color w:val="auto"/>
        </w:rPr>
        <w:t>Emerging growth company o</w:t>
      </w:r>
    </w:p>
    <w:p>
      <w:pPr>
        <w:spacing w:after="0" w:line="61" w:lineRule="exact"/>
        <w:rPr>
          <w:sz w:val="24"/>
          <w:szCs w:val="24"/>
          <w:color w:val="auto"/>
        </w:rPr>
      </w:pPr>
    </w:p>
    <w:p>
      <w:pPr>
        <w:ind w:right="160" w:firstLine="324"/>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74" w:lineRule="exact"/>
        <w:rPr>
          <w:sz w:val="24"/>
          <w:szCs w:val="24"/>
          <w:color w:val="auto"/>
        </w:rPr>
      </w:pPr>
    </w:p>
    <w:p>
      <w:pPr>
        <w:ind w:right="140" w:firstLine="324"/>
        <w:spacing w:after="0" w:line="23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63" w:orient="portrait"/>
          <w:cols w:equalWidth="0" w:num="1">
            <w:col w:w="11220"/>
          </w:cols>
          <w:pgMar w:left="320" w:top="648" w:right="359" w:bottom="0" w:gutter="0" w:footer="0" w:header="0"/>
        </w:sectPr>
      </w:pPr>
    </w:p>
    <w:bookmarkStart w:id="1" w:name="page2"/>
    <w:bookmarkEnd w:id="1"/>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EXPLANATORY NOTE</w:t>
      </w:r>
    </w:p>
    <w:p>
      <w:pPr>
        <w:spacing w:after="0" w:line="36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California Resources Corporation (the “Company”) ceased to be a well-known seasoned issuer (as such term is defined in Rule 405 of the Securities Act) upon the filing of its Annual Report on Form 10-K for the fiscal year ended December 31, 2019. Accordingly, the Company filed Post-Effective Amendment No. 1 using EDGAR submission type POS AM to convert the Registration Statement on Form S-3 (Commission File No. 333-233289) (the “Registration Statement”) to the proper EDGAR submission type for a non-automatic shelf registration statement and to make certain other amendments. The Company is filing this Post-Effective Amendment No. 2 to provide an updated prospectus relating to the offering and sale of the securities being registered. All filing fees payable in connection with the registration of the shares covered by this Post-Effective Amendment No. 2 have previously been paid.</w:t>
      </w:r>
    </w:p>
    <w:p>
      <w:pPr>
        <w:sectPr>
          <w:pgSz w:w="11900" w:h="16838" w:orient="portrait"/>
          <w:cols w:equalWidth="0" w:num="1">
            <w:col w:w="11040"/>
          </w:cols>
          <w:pgMar w:left="320" w:top="553" w:right="539" w:bottom="1440" w:gutter="0" w:footer="0" w:header="0"/>
        </w:sectPr>
      </w:pPr>
    </w:p>
    <w:bookmarkStart w:id="3" w:name="page4"/>
    <w:bookmarkEnd w:id="3"/>
    <w:p>
      <w:pPr>
        <w:ind w:right="40"/>
        <w:spacing w:after="0" w:line="236" w:lineRule="auto"/>
        <w:rPr>
          <w:sz w:val="20"/>
          <w:szCs w:val="20"/>
          <w:color w:val="auto"/>
        </w:rPr>
      </w:pPr>
      <w:r>
        <w:rPr>
          <w:rFonts w:ascii="Arial" w:cs="Arial" w:eastAsia="Arial" w:hAnsi="Arial"/>
          <w:sz w:val="18"/>
          <w:szCs w:val="18"/>
          <w:b w:val="1"/>
          <w:bCs w:val="1"/>
          <w:color w:val="FF0000"/>
        </w:rPr>
        <w:t>The information in this prospectus is not complete and may be changed. The selling stockholder may not sell these securities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EE2724"/>
        </w:rPr>
        <w:t>SUBJECT TO COMPLETION, DATED MARCH 27,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60325</wp:posOffset>
            </wp:positionV>
            <wp:extent cx="2948940"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California Resources Corporation</w:t>
      </w:r>
    </w:p>
    <w:p>
      <w:pPr>
        <w:spacing w:after="0" w:line="69" w:lineRule="exact"/>
        <w:rPr>
          <w:sz w:val="20"/>
          <w:szCs w:val="20"/>
          <w:color w:val="auto"/>
        </w:rPr>
      </w:pPr>
    </w:p>
    <w:p>
      <w:pPr>
        <w:ind w:left="4720"/>
        <w:spacing w:after="0"/>
        <w:rPr>
          <w:sz w:val="20"/>
          <w:szCs w:val="20"/>
          <w:color w:val="auto"/>
        </w:rPr>
      </w:pPr>
      <w:r>
        <w:rPr>
          <w:rFonts w:ascii="Arial" w:cs="Arial" w:eastAsia="Arial" w:hAnsi="Arial"/>
          <w:sz w:val="25"/>
          <w:szCs w:val="25"/>
          <w:b w:val="1"/>
          <w:bCs w:val="1"/>
          <w:color w:val="auto"/>
        </w:rPr>
        <w:t>1,250,000 Shares</w:t>
      </w:r>
    </w:p>
    <w:p>
      <w:pPr>
        <w:spacing w:after="0" w:line="64"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12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6"/>
          <w:szCs w:val="16"/>
          <w:color w:val="auto"/>
        </w:rPr>
        <w:t>This prospectus relates to the offer and sale from time to time by the selling stockholder named in this prospectus, and its permitted transferees, of up to an aggregate of 1,250,000 shares of common stock of California Resources Corporation, par value $0.01 per share, issuable upon exercise of an outstanding warrant (the “Warrant”), which entitles the holder thereof to purchase up to 1,250,000 shares of common stock at an exercise price of $40.00 per share, subject to certain adjustments (the “Warrant Shares”). In connection with the exercise of the Warrant, the holder of the Warrant may elect, in its sole discretion, to pay cash or to exercise on a cashless basis, pursuant to which the holder will not be required to pay cash for shares of common stock issuable upon exercise of the Warrant but will instead receive fewer Warrant Shares. The Warrant was issued to the selling stockholder in connection with the entry into a joint venture with an affiliate of the Company by one of such selling stockholder’s affiliates (the “JV Partner”). The Warrant may be exercised for Warrant Shares in tranches as funding milestones are met by the JV Partner in connection with the joint venture. Each tranche will have a five-year term commencing on the date on which such tranche of Warrant Shares first became exercisable.</w:t>
      </w:r>
    </w:p>
    <w:p>
      <w:pPr>
        <w:spacing w:after="0" w:line="111" w:lineRule="exact"/>
        <w:rPr>
          <w:sz w:val="20"/>
          <w:szCs w:val="20"/>
          <w:color w:val="auto"/>
        </w:rPr>
      </w:pPr>
    </w:p>
    <w:p>
      <w:pPr>
        <w:ind w:firstLine="324"/>
        <w:spacing w:after="0" w:line="246" w:lineRule="auto"/>
        <w:rPr>
          <w:sz w:val="20"/>
          <w:szCs w:val="20"/>
          <w:color w:val="auto"/>
        </w:rPr>
      </w:pPr>
      <w:r>
        <w:rPr>
          <w:rFonts w:ascii="Arial" w:cs="Arial" w:eastAsia="Arial" w:hAnsi="Arial"/>
          <w:sz w:val="17"/>
          <w:szCs w:val="17"/>
          <w:color w:val="auto"/>
        </w:rPr>
        <w:t>The selling stockholder may sell none, some or all of the shares owned by the selling stockholder and offered by this prospectus. Sales may be at fixed prices, which may be changed, at prices related to the prevailing market prices at the time of sale or at negotiated prices. Such sales may occur in transactions on the New York Stock Exchange (the “NYSE”), in the over-the-counter market or through negotiated transactions or in a combination of these methods. We will not receive any of the proceeds from the sale of the shares covered by this prospectus.</w:t>
      </w:r>
    </w:p>
    <w:p>
      <w:pPr>
        <w:spacing w:after="0" w:line="117" w:lineRule="exact"/>
        <w:rPr>
          <w:sz w:val="20"/>
          <w:szCs w:val="20"/>
          <w:color w:val="auto"/>
        </w:rPr>
      </w:pPr>
    </w:p>
    <w:p>
      <w:pPr>
        <w:ind w:right="80" w:firstLine="324"/>
        <w:spacing w:after="0" w:line="228" w:lineRule="auto"/>
        <w:rPr>
          <w:sz w:val="20"/>
          <w:szCs w:val="20"/>
          <w:color w:val="auto"/>
        </w:rPr>
      </w:pPr>
      <w:r>
        <w:rPr>
          <w:rFonts w:ascii="Arial" w:cs="Arial" w:eastAsia="Arial" w:hAnsi="Arial"/>
          <w:sz w:val="18"/>
          <w:szCs w:val="18"/>
          <w:color w:val="auto"/>
        </w:rPr>
        <w:t>We are registering the shares of common stock covered by this prospectus for sale by the selling stockholder named in this prospectus, and its permitted transferees, pursuant to our obligations under the Purchase Warrant for Common Stock, dated as of July 22, 2019, by and between California Resources Corporation and CA Energy Investor, LLC, entered into in connection with the JV Partner’s commitment under the Farmout and Development Agreement, dated as of July 22, 2019, by and among California Resources Elk Hills, LLC, CRC Marketing, Inc. and CA Energy Investment Holdco, LLC (the “JV Agreement”) to invest in certain of our oil and gas properties in California.</w:t>
      </w:r>
    </w:p>
    <w:p>
      <w:pPr>
        <w:spacing w:after="0" w:line="124" w:lineRule="exact"/>
        <w:rPr>
          <w:sz w:val="20"/>
          <w:szCs w:val="20"/>
          <w:color w:val="auto"/>
        </w:rPr>
      </w:pPr>
    </w:p>
    <w:p>
      <w:pPr>
        <w:ind w:right="220" w:firstLine="324"/>
        <w:spacing w:after="0" w:line="228" w:lineRule="auto"/>
        <w:rPr>
          <w:sz w:val="20"/>
          <w:szCs w:val="20"/>
          <w:color w:val="auto"/>
        </w:rPr>
      </w:pPr>
      <w:r>
        <w:rPr>
          <w:rFonts w:ascii="Arial" w:cs="Arial" w:eastAsia="Arial" w:hAnsi="Arial"/>
          <w:sz w:val="18"/>
          <w:szCs w:val="18"/>
          <w:color w:val="auto"/>
        </w:rPr>
        <w:t>Our common stock is listed on the NYSE under the symbol “CRC.” On March 26, 2020, the last reported sale price of our shares on the NYSE was $2.47 per share.</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124" w:lineRule="exact"/>
        <w:rPr>
          <w:sz w:val="20"/>
          <w:szCs w:val="20"/>
          <w:color w:val="auto"/>
        </w:rPr>
      </w:pPr>
    </w:p>
    <w:p>
      <w:pPr>
        <w:ind w:right="120" w:firstLine="324"/>
        <w:spacing w:after="0" w:line="236" w:lineRule="auto"/>
        <w:rPr>
          <w:sz w:val="20"/>
          <w:szCs w:val="20"/>
          <w:color w:val="auto"/>
        </w:rPr>
      </w:pPr>
      <w:r>
        <w:rPr>
          <w:rFonts w:ascii="Arial" w:cs="Arial" w:eastAsia="Arial" w:hAnsi="Arial"/>
          <w:sz w:val="18"/>
          <w:szCs w:val="18"/>
          <w:b w:val="1"/>
          <w:bCs w:val="1"/>
          <w:color w:val="auto"/>
        </w:rPr>
        <w:t>Investing in our common stock involves risk. Please read carefully the information under the heading “Risk Factors” beginning on page 2 of this prospectus and any applicable prospectus supplement and in the documents incorporated by reference in this prospectus and in any applicable prospectus supplement before you make an investment decision.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w:t>
      </w:r>
    </w:p>
    <w:tbl>
      <w:tblPr>
        <w:tblLayout w:type="fixed"/>
        <w:tblInd w:w="0" w:type="dxa"/>
        <w:tblCellMar>
          <w:top w:w="0" w:type="dxa"/>
          <w:left w:w="0" w:type="dxa"/>
          <w:bottom w:w="0" w:type="dxa"/>
          <w:right w:w="0" w:type="dxa"/>
        </w:tblCellMar>
      </w:tblPr>
      <w:tr>
        <w:trPr>
          <w:trHeight w:val="190"/>
        </w:trPr>
        <w:tc>
          <w:tcPr>
            <w:tcW w:w="6860" w:type="dxa"/>
            <w:vAlign w:val="bottom"/>
            <w:gridSpan w:val="2"/>
          </w:tcPr>
          <w:p>
            <w:pPr>
              <w:jc w:val="right"/>
              <w:spacing w:after="0" w:line="190" w:lineRule="exact"/>
              <w:rPr>
                <w:sz w:val="20"/>
                <w:szCs w:val="20"/>
                <w:color w:val="auto"/>
              </w:rPr>
            </w:pPr>
            <w:r>
              <w:rPr>
                <w:rFonts w:ascii="Arial" w:cs="Arial" w:eastAsia="Arial" w:hAnsi="Arial"/>
                <w:sz w:val="18"/>
                <w:szCs w:val="18"/>
                <w:color w:val="auto"/>
                <w:w w:val="91"/>
              </w:rPr>
              <w:t>this prospectus is truthful or complete. Any representation to the contrary is a criminal offense.</w:t>
            </w:r>
          </w:p>
        </w:tc>
        <w:tc>
          <w:tcPr>
            <w:tcW w:w="440" w:type="dxa"/>
            <w:vAlign w:val="bottom"/>
          </w:tcPr>
          <w:p>
            <w:pPr>
              <w:spacing w:after="0"/>
              <w:rPr>
                <w:sz w:val="16"/>
                <w:szCs w:val="16"/>
                <w:color w:val="auto"/>
              </w:rPr>
            </w:pPr>
          </w:p>
        </w:tc>
      </w:tr>
      <w:tr>
        <w:trPr>
          <w:trHeight w:val="234"/>
        </w:trPr>
        <w:tc>
          <w:tcPr>
            <w:tcW w:w="6300" w:type="dxa"/>
            <w:vAlign w:val="bottom"/>
          </w:tcPr>
          <w:p>
            <w:pPr>
              <w:ind w:left="3960"/>
              <w:spacing w:after="0"/>
              <w:rPr>
                <w:sz w:val="20"/>
                <w:szCs w:val="20"/>
                <w:color w:val="auto"/>
              </w:rPr>
            </w:pPr>
            <w:r>
              <w:rPr>
                <w:rFonts w:ascii="Arial" w:cs="Arial" w:eastAsia="Arial" w:hAnsi="Arial"/>
                <w:sz w:val="18"/>
                <w:szCs w:val="18"/>
                <w:b w:val="1"/>
                <w:bCs w:val="1"/>
                <w:color w:val="auto"/>
              </w:rPr>
              <w:t>This prospectus is dated</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2020.</w:t>
            </w:r>
          </w:p>
        </w:tc>
      </w:tr>
    </w:tbl>
    <w:p>
      <w:pPr>
        <w:sectPr>
          <w:pgSz w:w="11900" w:h="16838" w:orient="portrait"/>
          <w:cols w:equalWidth="0" w:num="1">
            <w:col w:w="11180"/>
          </w:cols>
          <w:pgMar w:left="320" w:top="540" w:right="399" w:bottom="1440" w:gutter="0" w:footer="0" w:header="0"/>
        </w:sectPr>
      </w:pPr>
    </w:p>
    <w:bookmarkStart w:id="4" w:name="page5"/>
    <w:bookmarkEnd w:id="4"/>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8400" w:type="dxa"/>
            <w:vAlign w:val="bottom"/>
          </w:tcPr>
          <w:p>
            <w:pPr>
              <w:ind w:left="440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0"/>
                <w:szCs w:val="20"/>
                <w:color w:val="auto"/>
              </w:rPr>
            </w:pPr>
          </w:p>
        </w:tc>
      </w:tr>
      <w:tr>
        <w:trPr>
          <w:trHeight w:val="553"/>
        </w:trPr>
        <w:tc>
          <w:tcPr>
            <w:tcW w:w="8400" w:type="dxa"/>
            <w:vAlign w:val="bottom"/>
          </w:tcPr>
          <w:p>
            <w:pPr>
              <w:spacing w:after="0"/>
              <w:rPr>
                <w:sz w:val="20"/>
                <w:szCs w:val="20"/>
                <w:color w:val="auto"/>
              </w:rPr>
            </w:pPr>
            <w:r>
              <w:rPr>
                <w:rFonts w:ascii="Arial" w:cs="Arial" w:eastAsia="Arial" w:hAnsi="Arial"/>
                <w:sz w:val="18"/>
                <w:szCs w:val="18"/>
                <w:color w:val="auto"/>
              </w:rPr>
              <w:t>ABOUT THIS PROSPECTUS</w:t>
            </w:r>
          </w:p>
        </w:tc>
        <w:tc>
          <w:tcPr>
            <w:tcW w:w="22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2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2260" w:type="dxa"/>
            <w:vAlign w:val="bottom"/>
          </w:tcPr>
          <w:p>
            <w:pPr>
              <w:jc w:val="right"/>
              <w:spacing w:after="0"/>
              <w:rPr>
                <w:sz w:val="20"/>
                <w:szCs w:val="20"/>
                <w:color w:val="auto"/>
              </w:rPr>
            </w:pPr>
            <w:r>
              <w:rPr>
                <w:rFonts w:ascii="Arial" w:cs="Arial" w:eastAsia="Arial" w:hAnsi="Arial"/>
                <w:sz w:val="18"/>
                <w:szCs w:val="18"/>
                <w:color w:val="auto"/>
              </w:rPr>
              <w:t>iv</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THE COMPANY</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RISK FACTORS</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USE OF PROCEEDS</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SELLING STOCKHOLDER</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PLAN OF DISTRIBUTION</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LEGAL MATTERS</w:t>
            </w:r>
          </w:p>
        </w:tc>
        <w:tc>
          <w:tcPr>
            <w:tcW w:w="2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EXPERTS</w:t>
            </w:r>
          </w:p>
        </w:tc>
        <w:tc>
          <w:tcPr>
            <w:tcW w:w="22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any prospectus supplement. We have not, and the selling stockholder has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553"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8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registration process, the selling stockholder, or its permitted transferees, may offer and sell, from time to time, up to 1,250,000 shares of our common stock issuable upon exercise of the Warrant under this shelf registration statement. This prospectus provides you with a general description of the securities the selling stockholder may offer. We may provide you with a prospectus supplement containing specific information about the terms of a particular offering by the selling stockholder.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33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common stock.</w:t>
      </w:r>
    </w:p>
    <w:p>
      <w:pPr>
        <w:spacing w:after="0" w:line="30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553" w:right="35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file annual, quarterly and current reports and other information with the SEC (File No. 001-36478) pursuant to the Securities Exchange Act of 1934 (the “Exchange Act”). Our filings are also available to the public through the SEC’s website at www.sec.gov and on our website at www.crc.com. Information on our website does not constitute part of this prospectus. You may inspect a copy of the registration statement through the SEC’s website, as provided herein.</w:t>
      </w: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553" w:right="4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146" w:lineRule="exact"/>
        <w:rPr>
          <w:sz w:val="20"/>
          <w:szCs w:val="20"/>
          <w:color w:val="auto"/>
        </w:rPr>
      </w:pPr>
    </w:p>
    <w:p>
      <w:pPr>
        <w:jc w:val="both"/>
        <w:ind w:left="660" w:right="78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on February 26, 2020, including information specifically incorporated by reference into such Annual Report on Form 10-K from the definitive proxy statement for our 2020 Annual Meeting of Stockholders filed on March 24, 2020;</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on February 21, 2020, March 5, 2020, March 10, 2020, March 16, 2020 and March 24, 2020 (with respect to each of the foregoing, excluding any information furnished pursuant to Item 2.02 or Item 7.01);</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capital stock contained in our information statement on Form 10 filed on October 8, 2014, including any amendment to that form that we may file in the future for the purpose of updating the description of our capital stock.</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36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All documents we may file with the SEC pursuant to Sections 13(a), 13(c), 14 or 15(d) of the Exchange Act (excluding any information furnished pursuant to Item 2.02 or Item 7.01 on any Current Report on Form 8-K and other portions of documents that are furnished, but not filed, pursuant to applicable rules promulgated by the SEC) (i) after the date on which the registration statement that includes this prospectus was initially filed with the SEC and prior to effectiveness of the registration statement and (ii) after the effectiveness of the registration statement, 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Santa Clarita, California, 91355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Phone: (888) 848-4754</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80"/>
          </w:cols>
          <w:pgMar w:left="320" w:top="553"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information in this prospectus,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“anticipate,” “believe,” “continue,” “could,” “estimate,” “expect,” “goal,” “intend,” “likely,” “may,” “might,” “plan,” “potential,”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reserves, type curves and expected synergies from acquisitions and joint ventures.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w:t>
      </w:r>
    </w:p>
    <w:p>
      <w:pPr>
        <w:spacing w:after="0" w:line="3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Factors (but not necessarily all of the factors) that could cause actual results to differ materially from those expressed in any forward-looking statement made by, or on behalf of, our company include:</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production costs;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553" w:right="339" w:bottom="1440" w:gutter="0" w:footer="0" w:header="0"/>
        </w:sectPr>
      </w:pPr>
    </w:p>
    <w:bookmarkStart w:id="9" w:name="page10"/>
    <w:bookmarkEnd w:id="9"/>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due to accidents, mechanical failures, electrical power outages, transportation or storage constraints, natural disasters, pandemics, labor difficulties, cyber attacks or other catastrophic events.</w:t>
      </w:r>
    </w:p>
    <w:p>
      <w:pPr>
        <w:spacing w:after="0" w:line="305" w:lineRule="exact"/>
        <w:rPr>
          <w:sz w:val="20"/>
          <w:szCs w:val="20"/>
          <w:color w:val="auto"/>
        </w:rPr>
      </w:pPr>
    </w:p>
    <w:p>
      <w:pPr>
        <w:jc w:val="both"/>
        <w:ind w:right="540" w:firstLine="324"/>
        <w:spacing w:after="0" w:line="342" w:lineRule="auto"/>
        <w:rPr>
          <w:sz w:val="20"/>
          <w:szCs w:val="20"/>
          <w:color w:val="auto"/>
        </w:rPr>
      </w:pPr>
      <w:r>
        <w:rPr>
          <w:rFonts w:ascii="Arial" w:cs="Arial" w:eastAsia="Arial" w:hAnsi="Arial"/>
          <w:sz w:val="16"/>
          <w:szCs w:val="16"/>
          <w:color w:val="auto"/>
        </w:rPr>
        <w:t>Readers are cautioned not to place undue reliance on forward-looking statements, which speak only as of the date they are made. Unless legally required, we undertake no responsibility to publicly release the result of any revision of our forward-looking statements after the date they are made.</w:t>
      </w:r>
    </w:p>
    <w:p>
      <w:pPr>
        <w:spacing w:after="0" w:line="259" w:lineRule="exact"/>
        <w:rPr>
          <w:sz w:val="20"/>
          <w:szCs w:val="20"/>
          <w:color w:val="auto"/>
        </w:rPr>
      </w:pPr>
    </w:p>
    <w:p>
      <w:pPr>
        <w:jc w:val="both"/>
        <w:ind w:right="540" w:firstLine="324"/>
        <w:spacing w:after="0" w:line="342" w:lineRule="auto"/>
        <w:rPr>
          <w:sz w:val="20"/>
          <w:szCs w:val="20"/>
          <w:color w:val="auto"/>
        </w:rPr>
      </w:pPr>
      <w:r>
        <w:rPr>
          <w:rFonts w:ascii="Arial" w:cs="Arial" w:eastAsia="Arial" w:hAnsi="Arial"/>
          <w:sz w:val="16"/>
          <w:szCs w:val="16"/>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25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40"/>
          </w:cols>
          <w:pgMar w:left="320" w:top="557"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We are an independent oil and natural gas exploration and production company operating properties exclusively within California. We are the largest oil and gas producer in California on a gross operated basis and we believe we have the largest privately held mineral acreage position in the state, consisting of approximately 2.2 million net mineral acres spanning the state’s four major oil and gas basins. We produced approximately 128 thousand barrels of oil equivalent per day (MBoe/d) for the year ended December 31, 2019. As of December 31, 2019, we had estimated proved reserves of 644 million barrels of oil equivalent (MMBoe), of which approximately 77% was categorized as proved developed reserves. Oil represented 75% of our proved reserves. We were incorporated in Delaware in April 2014 and listed on the New York Stock Exchange on December 1, 2014.</w:t>
      </w:r>
    </w:p>
    <w:p>
      <w:pPr>
        <w:spacing w:after="0" w:line="29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principal executive offices are located at 27200 Tourney Road, Suite 200, Santa Clarita, CA 91355. Our telephone number is (888) 848-4754. Our website is located at www.crc.com. Unless indicated otherwise, no information is incorporated herein by reference from our website or any other website and no website constitutes a part of this prospectus. Our common stock is listed on the NYSE under the symbol “CRC.”</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553" w:right="3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An investment in our common stock involves a significant degree of risk. Before you invest in our common stock you should carefully consider the risk factors below, those risk factors included in our most recent Annual Report on Form 10-K, any subsequently filed Quarterly Reports on Form 10-Q and any subsequently filed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common stock. If any of the risks discussed in the foregoing documents were to occur, our business, financial condition, results of operations and cash flows could be materially adversely affected. Please read “Cautionary Statement Regarding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the price of our common stock and the value of your investment.</w:t>
      </w:r>
    </w:p>
    <w:p>
      <w:pPr>
        <w:spacing w:after="0" w:line="347" w:lineRule="exact"/>
        <w:rPr>
          <w:sz w:val="20"/>
          <w:szCs w:val="20"/>
          <w:color w:val="auto"/>
        </w:rPr>
      </w:pPr>
    </w:p>
    <w:p>
      <w:pPr>
        <w:ind w:right="80" w:firstLine="324"/>
        <w:spacing w:after="0" w:line="272" w:lineRule="auto"/>
        <w:rPr>
          <w:sz w:val="20"/>
          <w:szCs w:val="20"/>
          <w:color w:val="auto"/>
        </w:rPr>
      </w:pPr>
      <w:r>
        <w:rPr>
          <w:rFonts w:ascii="Arial" w:cs="Arial" w:eastAsia="Arial" w:hAnsi="Arial"/>
          <w:sz w:val="16"/>
          <w:szCs w:val="16"/>
          <w:color w:val="auto"/>
        </w:rPr>
        <w:t>The market price of our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us, our business and our assets; our level of indebtedness and/or adverse market reaction to any indebtedness we incur in the future; our ability to raise capital on favorable terms or at all; loss of any major funding source; additions or departures of our key personnel; changes in market valuations of similar independent oil and natural gas exploration and production companies; and speculation in the press or investment community regarding us. Securities markets in general have experienced extreme volatility that has often been unrelated to the operating performance of particular companies. Any broad market fluctuations may adversely affect the trading price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ownership interest due to the future issuance of additional shares of our common stock.</w:t>
      </w:r>
    </w:p>
    <w:p>
      <w:pPr>
        <w:spacing w:after="0" w:line="347" w:lineRule="exact"/>
        <w:rPr>
          <w:sz w:val="20"/>
          <w:szCs w:val="20"/>
          <w:color w:val="auto"/>
        </w:rPr>
      </w:pPr>
    </w:p>
    <w:p>
      <w:pPr>
        <w:ind w:right="180" w:firstLine="324"/>
        <w:spacing w:after="0" w:line="241" w:lineRule="auto"/>
        <w:rPr>
          <w:sz w:val="20"/>
          <w:szCs w:val="20"/>
          <w:color w:val="auto"/>
        </w:rPr>
      </w:pPr>
      <w:r>
        <w:rPr>
          <w:rFonts w:ascii="Arial" w:cs="Arial" w:eastAsia="Arial" w:hAnsi="Arial"/>
          <w:sz w:val="18"/>
          <w:szCs w:val="18"/>
          <w:color w:val="auto"/>
        </w:rPr>
        <w:t>We are in a capital-intensive business, and may not have sufficient funds to finance the growth of our business, future acquisitions or to support our projected capital expenditures. As a result, we may require additional funds from equity or debt financings, including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common stock offered hereby.</w:t>
      </w:r>
    </w:p>
    <w:p>
      <w:pPr>
        <w:spacing w:after="0" w:line="324"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Under our amended and restated certificate of incorporation, we are authorized to issue 220,000,000 shares of capital stock, of which 200,000,000 shares shall be common stock and 20,000,000 shares shall be preferred stock. The potential issuance of preferred stock, additional shares of common stock or convertible debt may create downward pressure on the trading price of our common stock. We may also issue additional shares of our common stock or other securities that are convertible into or exercisable for our common stock in future public offerings or private placements for capital raising purposes or for other business purposes, potentially at an offering price, conversion price or exercise price that is below the offering price for our common stock offered hereby.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553" w:right="35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All of the shares offered pursuant to this prospectus are being offered by the selling stockholder. We will not receive any of the proceeds from any sale of such shares.</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553" w:right="41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5"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December 31, 2019 and (ii) 200,000,000 shares of common stock, par value $0.01 per share, of which 49,175,843 shares were issued and outstanding as of December 31,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The following is a description of the material terms of our common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324"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them that are remaining after payment or provision for payment of all of our debts and obligations and after distribution in full of preferential amounts to be distributed to holders of outstanding shares of preferred stock, if 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131"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26"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553" w:right="359" w:bottom="1440" w:gutter="0" w:footer="0" w:header="0"/>
        </w:sectPr>
      </w:pPr>
    </w:p>
    <w:bookmarkStart w:id="14" w:name="page15"/>
    <w:bookmarkEnd w:id="14"/>
    <w:p>
      <w:pPr>
        <w:ind w:right="340"/>
        <w:spacing w:after="0" w:line="294" w:lineRule="auto"/>
        <w:rPr>
          <w:sz w:val="20"/>
          <w:szCs w:val="20"/>
          <w:color w:val="auto"/>
        </w:rPr>
      </w:pPr>
      <w:r>
        <w:rPr>
          <w:rFonts w:ascii="Arial" w:cs="Arial" w:eastAsia="Arial" w:hAnsi="Arial"/>
          <w:sz w:val="16"/>
          <w:szCs w:val="16"/>
          <w:color w:val="auto"/>
        </w:rPr>
        <w:t>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282"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75" w:lineRule="exact"/>
        <w:rPr>
          <w:sz w:val="20"/>
          <w:szCs w:val="20"/>
          <w:color w:val="auto"/>
        </w:rPr>
      </w:pPr>
    </w:p>
    <w:p>
      <w:pPr>
        <w:jc w:val="both"/>
        <w:ind w:right="100" w:firstLine="324"/>
        <w:spacing w:after="0" w:line="243"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14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7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30"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175" w:lineRule="exact"/>
        <w:rPr>
          <w:sz w:val="20"/>
          <w:szCs w:val="20"/>
          <w:color w:val="auto"/>
        </w:rPr>
      </w:pPr>
    </w:p>
    <w:p>
      <w:pPr>
        <w:ind w:right="160" w:firstLine="324"/>
        <w:spacing w:after="0" w:line="243"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71" w:lineRule="exact"/>
        <w:rPr>
          <w:sz w:val="20"/>
          <w:szCs w:val="20"/>
          <w:color w:val="auto"/>
        </w:rPr>
      </w:pPr>
    </w:p>
    <w:p>
      <w:pPr>
        <w:ind w:left="660" w:right="20" w:hanging="328"/>
        <w:spacing w:after="0" w:line="25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 120 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140" w:lineRule="exact"/>
        <w:rPr>
          <w:rFonts w:ascii="Arial" w:cs="Arial" w:eastAsia="Arial" w:hAnsi="Arial"/>
          <w:sz w:val="17"/>
          <w:szCs w:val="17"/>
          <w:color w:val="auto"/>
        </w:rPr>
      </w:pPr>
    </w:p>
    <w:p>
      <w:pPr>
        <w:ind w:left="660" w:right="3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733" w:right="359" w:bottom="1440" w:gutter="0" w:footer="0" w:header="0"/>
        </w:sectPr>
      </w:pPr>
    </w:p>
    <w:bookmarkStart w:id="15" w:name="page16"/>
    <w:bookmarkEnd w:id="15"/>
    <w:p>
      <w:pPr>
        <w:ind w:left="660" w:right="40"/>
        <w:spacing w:after="0" w:line="261" w:lineRule="auto"/>
        <w:rPr>
          <w:sz w:val="20"/>
          <w:szCs w:val="20"/>
          <w:color w:val="auto"/>
        </w:rPr>
      </w:pPr>
      <w:r>
        <w:rPr>
          <w:rFonts w:ascii="Arial" w:cs="Arial" w:eastAsia="Arial" w:hAnsi="Arial"/>
          <w:sz w:val="18"/>
          <w:szCs w:val="18"/>
          <w:color w:val="auto"/>
        </w:rPr>
        <w:t>other rights or preferences that could impede the success of any attempt to change control of us. These provisions may have the effect of deterring hostile takeovers or delaying changes in control or management of our company;</w:t>
      </w:r>
    </w:p>
    <w:p>
      <w:pPr>
        <w:spacing w:after="0" w:line="130" w:lineRule="exact"/>
        <w:rPr>
          <w:sz w:val="20"/>
          <w:szCs w:val="20"/>
          <w:color w:val="auto"/>
        </w:rPr>
      </w:pPr>
    </w:p>
    <w:p>
      <w:pPr>
        <w:ind w:left="660" w:right="20" w:hanging="328"/>
        <w:spacing w:after="0" w:line="23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153"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that (i)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(ii)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133" w:lineRule="exact"/>
        <w:rPr>
          <w:rFonts w:ascii="Arial" w:cs="Arial" w:eastAsia="Arial" w:hAnsi="Arial"/>
          <w:sz w:val="17"/>
          <w:szCs w:val="17"/>
          <w:color w:val="auto"/>
        </w:rPr>
      </w:pPr>
    </w:p>
    <w:p>
      <w:pPr>
        <w:ind w:left="660" w:right="40" w:hanging="328"/>
        <w:spacing w:after="0" w:line="25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that (i)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(ii)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15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employees or agents to us or our stockholders;</w:t>
      </w:r>
    </w:p>
    <w:p>
      <w:pPr>
        <w:spacing w:after="0" w:line="194" w:lineRule="exact"/>
        <w:rPr>
          <w:rFonts w:ascii="Arial" w:cs="Arial" w:eastAsia="Arial" w:hAnsi="Arial"/>
          <w:sz w:val="16"/>
          <w:szCs w:val="16"/>
          <w:color w:val="auto"/>
        </w:rPr>
      </w:pPr>
    </w:p>
    <w:p>
      <w:pPr>
        <w:ind w:left="660" w:right="2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130"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306"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This forum selection provision would not apply to claims brought to enforce a duty or liability created by the Securities Act, Exchange Act or any other claim for which the federal courts have exclusive jurisdiction.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557" w:right="359" w:bottom="1440" w:gutter="0" w:footer="0" w:header="0"/>
        </w:sectPr>
      </w:pPr>
    </w:p>
    <w:bookmarkStart w:id="16" w:name="page17"/>
    <w:bookmarkEnd w:id="16"/>
    <w:p>
      <w:pPr>
        <w:ind w:firstLine="324"/>
        <w:spacing w:after="0" w:line="248"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733" w:right="4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SELLING STOCKHOLDER</w:t>
      </w:r>
    </w:p>
    <w:p>
      <w:pPr>
        <w:spacing w:after="0" w:line="175" w:lineRule="exact"/>
        <w:rPr>
          <w:sz w:val="20"/>
          <w:szCs w:val="20"/>
          <w:color w:val="auto"/>
        </w:rPr>
      </w:pPr>
    </w:p>
    <w:p>
      <w:pPr>
        <w:ind w:right="120" w:firstLine="324"/>
        <w:spacing w:after="0" w:line="284" w:lineRule="auto"/>
        <w:rPr>
          <w:sz w:val="20"/>
          <w:szCs w:val="20"/>
          <w:color w:val="auto"/>
        </w:rPr>
      </w:pPr>
      <w:r>
        <w:rPr>
          <w:rFonts w:ascii="Arial" w:cs="Arial" w:eastAsia="Arial" w:hAnsi="Arial"/>
          <w:sz w:val="16"/>
          <w:szCs w:val="16"/>
          <w:color w:val="auto"/>
        </w:rPr>
        <w:t>This prospectus covers the offer and sale from time to time of up to an aggregate of 1,250,000 shares of our common stock that may be issued to the selling stockholder listed in the table below upon exercise of the Warrant. As used herein, “selling stockholder” means the selling stockholder listed in the table below as well as its donees, pledgees, transferees or other successors-in-interest selling shares of common stock or interests in shares of common stock received after the date of this prospectus from the selling stockholder as a gift, pledge, partnership distribution or other transfer.</w:t>
      </w:r>
    </w:p>
    <w:p>
      <w:pPr>
        <w:spacing w:after="0" w:line="290" w:lineRule="exact"/>
        <w:rPr>
          <w:sz w:val="20"/>
          <w:szCs w:val="20"/>
          <w:color w:val="auto"/>
        </w:rPr>
      </w:pPr>
    </w:p>
    <w:p>
      <w:pPr>
        <w:ind w:right="20" w:firstLine="324"/>
        <w:spacing w:after="0" w:line="254" w:lineRule="auto"/>
        <w:rPr>
          <w:sz w:val="20"/>
          <w:szCs w:val="20"/>
          <w:color w:val="auto"/>
        </w:rPr>
      </w:pPr>
      <w:r>
        <w:rPr>
          <w:rFonts w:ascii="Arial" w:cs="Arial" w:eastAsia="Arial" w:hAnsi="Arial"/>
          <w:sz w:val="17"/>
          <w:szCs w:val="17"/>
          <w:color w:val="auto"/>
        </w:rPr>
        <w:t>We are registering the shares of common stock covered by this prospectus for sale by the selling stockholder named in this prospectus pursuant to our obligations under the Warrant entered into in connection with the JV Partner’s commitment under the JV Agreement to invest in certain of our oil and gas properties in California. As part of the consideration for the JV Partner entering into the JV Agreement and committing to an initial investment of approximately $320 million, we have issued the Warrant to the selling stockholder to purchase (i) up to 800,000 shares of common stock in 200,000-share tranches that become exercisable upon the meeting of certain funding milestones, and (ii) up to an additional 450,000 shares of common stock in 225,000-share tranches that become exercisable upon the meeting of certain funding milestones, if all parties to the JV Agreement agree to increase the JV Partner’s investment commitment to $500 million, for a total of up to 1,250,000 shares of common stock. As of December 31, 2019, two tranches for 400,000 Warrant Shares were exercisable. As of the date hereof, no Warrant Shares have been issued.</w:t>
      </w:r>
    </w:p>
    <w:p>
      <w:pPr>
        <w:spacing w:after="0" w:line="316" w:lineRule="exact"/>
        <w:rPr>
          <w:sz w:val="20"/>
          <w:szCs w:val="20"/>
          <w:color w:val="auto"/>
        </w:rPr>
      </w:pPr>
    </w:p>
    <w:p>
      <w:pPr>
        <w:ind w:firstLine="324"/>
        <w:spacing w:after="0" w:line="262" w:lineRule="auto"/>
        <w:rPr>
          <w:sz w:val="20"/>
          <w:szCs w:val="20"/>
          <w:color w:val="auto"/>
        </w:rPr>
      </w:pPr>
      <w:r>
        <w:rPr>
          <w:rFonts w:ascii="Arial" w:cs="Arial" w:eastAsia="Arial" w:hAnsi="Arial"/>
          <w:sz w:val="17"/>
          <w:szCs w:val="17"/>
          <w:color w:val="auto"/>
        </w:rPr>
        <w:t>We will receive up to an aggregate of approximately $50 million from the exercise of the Warrant, assuming the increase of the JV Partner’s total commitment under the JV Agreement to $500 million and the exercise in full of the Warrant for cash. In connection with the exercise of the Warrant, the holder of the Warrant may elect, in its sole discretion, to pay cash or to exercise on a cashless basis, pursuant to which the holder will not be required to pay cash for shares of common stock issuable upon exercise of the Warrant but will instead receive fewer Warrant Shares.</w:t>
      </w:r>
    </w:p>
    <w:p>
      <w:pPr>
        <w:spacing w:after="0" w:line="307"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No offer or sale under this prospectus may be made by a stockholder other than the selling stockholder named herein, in a supplement to this prospectus or in an amendment to the related registration statement that has become effective under the Securities Act. We may supplement or amend this prospectus to include additional selling stockholders upon request and upon provision of all required information to us.</w:t>
      </w:r>
    </w:p>
    <w:p>
      <w:pPr>
        <w:spacing w:after="0" w:line="299"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The following table sets forth the name of the selling stockholder, the maximum number of shares of our common stock to be sold by the selling stockholder and the number of shares of our common stock beneficially owned by the selling stockholder. Except as otherwise indicated in the footnotes to the table below, upon exercise of the Warrant and issuance of the Warrant Shares, the selling stockholder will have sole voting and dispositive power with respect to such shares.</w:t>
      </w:r>
    </w:p>
    <w:p>
      <w:pPr>
        <w:spacing w:after="0" w:line="323" w:lineRule="exact"/>
        <w:rPr>
          <w:sz w:val="20"/>
          <w:szCs w:val="20"/>
          <w:color w:val="auto"/>
        </w:rPr>
      </w:pPr>
    </w:p>
    <w:p>
      <w:pPr>
        <w:ind w:right="140" w:firstLine="324"/>
        <w:spacing w:after="0"/>
        <w:rPr>
          <w:sz w:val="20"/>
          <w:szCs w:val="20"/>
          <w:color w:val="auto"/>
        </w:rPr>
      </w:pPr>
      <w:r>
        <w:rPr>
          <w:rFonts w:ascii="Arial" w:cs="Arial" w:eastAsia="Arial" w:hAnsi="Arial"/>
          <w:sz w:val="18"/>
          <w:szCs w:val="18"/>
          <w:color w:val="auto"/>
        </w:rPr>
        <w:t>We do not know when or in what amounts the selling stockholder may offer its shares for sale, if at all. Because the selling stockholder may offer all, some or none of its shares pursuant to this prospectus, and because we are unaware of any agreements, arrangements or understanding with respect to the sale of any such shares, no definitive estimate can be provided as to the number of shares that will be held, or percentage of shares beneficially owned, by the selling stockholder after completion of any offerings pursuant to this prospectus. For purposes of the table below, the information regarding shares of common stock owned after the offering assumes the sale of all shares offered by the selling stockholder and that the selling stockholder does not acquire any additional shares.</w:t>
      </w:r>
    </w:p>
    <w:p>
      <w:pPr>
        <w:spacing w:after="0" w:line="324"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The information in the below table is based on information provided by or on behalf of the selling stockholder to us and is as of February 24, 2020. We have not sought to verify such information. Additionally, the selling stockholder may have sold or transferred some or all of its shares in exempt or non-exempt transactions since the date of this prospectus. Other information about the selling stockholder may also change over time. Any changed information will be set forth in supplements to this prospectus, if required. The selling stockholder is not a broker-dealer registered under Section 15 of the Exchange Act or an affiliate of a broker-dealer registered under Section 15 of the Exchange Act.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553" w:right="359" w:bottom="1440" w:gutter="0" w:footer="0" w:header="0"/>
        </w:sectPr>
      </w:pPr>
    </w:p>
    <w:bookmarkStart w:id="18" w:name="page19"/>
    <w:bookmarkEnd w:id="18"/>
    <w:tbl>
      <w:tblPr>
        <w:tblLayout w:type="fixed"/>
        <w:tblInd w:w="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Shares of Common Stock Beneficially Owned Prior</w:t>
            </w:r>
          </w:p>
        </w:tc>
        <w:tc>
          <w:tcPr>
            <w:tcW w:w="10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Shares of Common</w:t>
            </w:r>
          </w:p>
        </w:tc>
        <w:tc>
          <w:tcPr>
            <w:tcW w:w="3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Shares of Common Stock Being Offered After</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2060" w:type="dxa"/>
            <w:vAlign w:val="bottom"/>
            <w:gridSpan w:val="3"/>
          </w:tcPr>
          <w:p>
            <w:pPr>
              <w:jc w:val="center"/>
              <w:ind w:left="1106"/>
              <w:spacing w:after="0" w:line="145" w:lineRule="exact"/>
              <w:rPr>
                <w:sz w:val="20"/>
                <w:szCs w:val="20"/>
                <w:color w:val="auto"/>
              </w:rPr>
            </w:pPr>
            <w:r>
              <w:rPr>
                <w:rFonts w:ascii="Arial" w:cs="Arial" w:eastAsia="Arial" w:hAnsi="Arial"/>
                <w:sz w:val="14"/>
                <w:szCs w:val="14"/>
                <w:b w:val="1"/>
                <w:bCs w:val="1"/>
                <w:color w:val="auto"/>
                <w:w w:val="94"/>
              </w:rPr>
              <w:t>to Offering</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000" w:type="dxa"/>
            <w:vAlign w:val="bottom"/>
            <w:gridSpan w:val="3"/>
          </w:tcPr>
          <w:p>
            <w:pPr>
              <w:jc w:val="center"/>
              <w:ind w:left="1166"/>
              <w:spacing w:after="0" w:line="145" w:lineRule="exact"/>
              <w:rPr>
                <w:sz w:val="20"/>
                <w:szCs w:val="20"/>
                <w:color w:val="auto"/>
              </w:rPr>
            </w:pPr>
            <w:r>
              <w:rPr>
                <w:rFonts w:ascii="Arial" w:cs="Arial" w:eastAsia="Arial" w:hAnsi="Arial"/>
                <w:sz w:val="14"/>
                <w:szCs w:val="14"/>
                <w:b w:val="1"/>
                <w:bCs w:val="1"/>
                <w:color w:val="auto"/>
                <w:w w:val="95"/>
              </w:rPr>
              <w:t>Offering</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9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Stock Beneficially</w:t>
            </w:r>
          </w:p>
        </w:tc>
        <w:tc>
          <w:tcPr>
            <w:tcW w:w="1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920" w:type="dxa"/>
            <w:vAlign w:val="bottom"/>
          </w:tcPr>
          <w:p>
            <w:pPr>
              <w:spacing w:after="0"/>
              <w:rPr>
                <w:sz w:val="5"/>
                <w:szCs w:val="5"/>
                <w:color w:val="auto"/>
              </w:rPr>
            </w:pPr>
          </w:p>
        </w:tc>
        <w:tc>
          <w:tcPr>
            <w:tcW w:w="1580" w:type="dxa"/>
            <w:vAlign w:val="bottom"/>
            <w:vMerge w:val="restart"/>
          </w:tcPr>
          <w:p>
            <w:pPr>
              <w:jc w:val="right"/>
              <w:ind w:right="466"/>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5"/>
                <w:szCs w:val="5"/>
                <w:color w:val="auto"/>
              </w:rPr>
            </w:pPr>
          </w:p>
        </w:tc>
        <w:tc>
          <w:tcPr>
            <w:tcW w:w="360" w:type="dxa"/>
            <w:vAlign w:val="bottom"/>
            <w:vMerge w:val="restart"/>
          </w:tcPr>
          <w:p>
            <w:pPr>
              <w:spacing w:after="0"/>
              <w:rPr>
                <w:sz w:val="5"/>
                <w:szCs w:val="5"/>
                <w:color w:val="auto"/>
              </w:rPr>
            </w:pPr>
          </w:p>
        </w:tc>
        <w:tc>
          <w:tcPr>
            <w:tcW w:w="120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w w:val="97"/>
              </w:rPr>
              <w:t>Percentage</w:t>
            </w:r>
          </w:p>
        </w:tc>
        <w:tc>
          <w:tcPr>
            <w:tcW w:w="100" w:type="dxa"/>
            <w:vAlign w:val="bottom"/>
            <w:vMerge w:val="continue"/>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56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5"/>
                <w:szCs w:val="5"/>
                <w:color w:val="auto"/>
              </w:rPr>
            </w:pPr>
          </w:p>
        </w:tc>
        <w:tc>
          <w:tcPr>
            <w:tcW w:w="320" w:type="dxa"/>
            <w:vAlign w:val="bottom"/>
            <w:vMerge w:val="restart"/>
          </w:tcPr>
          <w:p>
            <w:pPr>
              <w:spacing w:after="0"/>
              <w:rPr>
                <w:sz w:val="5"/>
                <w:szCs w:val="5"/>
                <w:color w:val="auto"/>
              </w:rPr>
            </w:pPr>
          </w:p>
        </w:tc>
        <w:tc>
          <w:tcPr>
            <w:tcW w:w="124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 After Offering</w:t>
            </w: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6"/>
                <w:szCs w:val="16"/>
                <w:color w:val="auto"/>
              </w:rPr>
              <w:t>CA Energy Investor, LLC(1)</w:t>
            </w:r>
          </w:p>
        </w:tc>
        <w:tc>
          <w:tcPr>
            <w:tcW w:w="1580" w:type="dxa"/>
            <w:vAlign w:val="bottom"/>
          </w:tcPr>
          <w:p>
            <w:pPr>
              <w:jc w:val="right"/>
              <w:spacing w:after="0"/>
              <w:rPr>
                <w:sz w:val="20"/>
                <w:szCs w:val="20"/>
                <w:color w:val="auto"/>
              </w:rPr>
            </w:pPr>
            <w:r>
              <w:rPr>
                <w:rFonts w:ascii="Arial" w:cs="Arial" w:eastAsia="Arial" w:hAnsi="Arial"/>
                <w:sz w:val="16"/>
                <w:szCs w:val="16"/>
                <w:color w:val="auto"/>
              </w:rPr>
              <w:t>1,250,000 (2)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 (3)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right="20" w:hanging="332"/>
        <w:spacing w:after="0" w:line="255"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CA Energy Investor, LLC is a subsidiary of Alpine Energy Capital, LLC (formerly known as Colony HB2 Energy, LLC), a Delaware limited liability company (“AEC”). AEC is managed by a board of directors (the “AEC Board”), and the AEC Board has voting and dispositive authority over the Warrant held by CA Energy Investor, LLC and, upon exercise of the Warrant and issuance of the Warrant Shares, the AEC Board will have voting and dispositive power with respect to such shares. The members of the AEC Board are as follows: Chris Nilan, David Helfand, Peter J. Eichler, III, Craig Perry and Darren J. Tangen. Each of the members of the AEC Board disclaims beneficial ownership of the securities referenced herein except to the extent of such person’s pecuniary interest in such shares.</w:t>
      </w:r>
    </w:p>
    <w:p>
      <w:pPr>
        <w:spacing w:after="0" w:line="15" w:lineRule="exact"/>
        <w:rPr>
          <w:rFonts w:ascii="Arial" w:cs="Arial" w:eastAsia="Arial" w:hAnsi="Arial"/>
          <w:sz w:val="15"/>
          <w:szCs w:val="15"/>
          <w:color w:val="auto"/>
        </w:rPr>
      </w:pPr>
    </w:p>
    <w:p>
      <w:pPr>
        <w:ind w:left="340" w:right="120" w:hanging="332"/>
        <w:spacing w:after="0" w:line="23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1,250,000 shares of common stock that may be issued upon exercise of the Warrant assuming the Warrant is fully exercised for cash. The Warrant entitles the selling stockholder to purchase (i) up to 800,000 shares of common stock in 200,000-share tranches that become exercisable upon the meeting of certain funding milestones, and (ii) up to an additional 450,000 shares of common stock in 225,000-share tranches that become exercisable upon the meeting of certain funding milestones, if all parties to the JV Agreement agree to increase the JV Partner’s investment commitment to $500 million, for a total of up to 1,250,000 shares of common stock.</w:t>
      </w:r>
    </w:p>
    <w:p>
      <w:pPr>
        <w:spacing w:after="0" w:line="26" w:lineRule="exact"/>
        <w:rPr>
          <w:rFonts w:ascii="Arial" w:cs="Arial" w:eastAsia="Arial" w:hAnsi="Arial"/>
          <w:sz w:val="16"/>
          <w:szCs w:val="16"/>
          <w:color w:val="auto"/>
        </w:rPr>
      </w:pPr>
    </w:p>
    <w:p>
      <w:pPr>
        <w:ind w:left="340" w:right="100" w:hanging="332"/>
        <w:spacing w:after="0" w:line="25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upon 49,175,843 shares of our common stock outstanding as of December 31, 2019 and assumes issuance of the 1,250,000 shares of common stock that may be issued upon exercise of the Warrant as described above.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698"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We are registering the shares of common stock issuable to the selling stockholder upon exercise of the Warrant to permit the resale of these shares of common stock by the holder of the Warrant from time to time after the date of this prospectus. We will bear all fees and expenses incident to our obligation to register the shares of common stock.</w:t>
      </w:r>
    </w:p>
    <w:p>
      <w:pPr>
        <w:spacing w:after="0" w:line="317" w:lineRule="exact"/>
        <w:rPr>
          <w:sz w:val="20"/>
          <w:szCs w:val="20"/>
          <w:color w:val="auto"/>
        </w:rPr>
      </w:pPr>
    </w:p>
    <w:p>
      <w:pPr>
        <w:ind w:right="100" w:firstLine="324"/>
        <w:spacing w:after="0" w:line="243" w:lineRule="auto"/>
        <w:rPr>
          <w:sz w:val="20"/>
          <w:szCs w:val="20"/>
          <w:color w:val="auto"/>
        </w:rPr>
      </w:pPr>
      <w:r>
        <w:rPr>
          <w:rFonts w:ascii="Arial" w:cs="Arial" w:eastAsia="Arial" w:hAnsi="Arial"/>
          <w:sz w:val="18"/>
          <w:szCs w:val="18"/>
          <w:color w:val="auto"/>
        </w:rPr>
        <w:t>The selling stockholder may, from time to time, sell, transfer or otherwise dispose of any or all of its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or more underwritten offerings on a firm commitment or best efforts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347"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The selling stockholder may, from time to time, pledge or grant a security interest in some or all of the shares of common stock it owns and, if it defaults in the performance of its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 also may transfer the shares.</w:t>
      </w:r>
    </w:p>
    <w:p>
      <w:pPr>
        <w:spacing w:after="0" w:line="324"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In connection with the sale of our common stock or interests therein, the selling stockholder may enter into hedging transactions with broker-dealers or other financial institutions, which may in turn engage in short sales of the common stock in the course of hedging the positions it assumes. The selling stockholder may also sell shares of our common stock short and deliver these securities to close out its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553" w:right="379" w:bottom="1440" w:gutter="0" w:footer="0" w:header="0"/>
        </w:sectPr>
      </w:pPr>
    </w:p>
    <w:bookmarkStart w:id="20" w:name="page21"/>
    <w:bookmarkEnd w:id="20"/>
    <w:p>
      <w:pPr>
        <w:ind w:right="160" w:firstLine="324"/>
        <w:spacing w:after="0" w:line="294" w:lineRule="auto"/>
        <w:rPr>
          <w:sz w:val="20"/>
          <w:szCs w:val="20"/>
          <w:color w:val="auto"/>
        </w:rPr>
      </w:pPr>
      <w:r>
        <w:rPr>
          <w:rFonts w:ascii="Arial" w:cs="Arial" w:eastAsia="Arial" w:hAnsi="Arial"/>
          <w:sz w:val="16"/>
          <w:szCs w:val="16"/>
          <w:color w:val="auto"/>
        </w:rPr>
        <w:t>The aggregate proceeds to the selling stockholder from the sale of the common stock offered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282"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selling stockholder also may resell all or a portion of the shares in open market transactions in reliance upon Rule 144 under the Securities Act of 1933, provided that they meet the criteria and conform to the requirements of that rule.</w:t>
      </w:r>
    </w:p>
    <w:p>
      <w:pPr>
        <w:spacing w:after="0" w:line="306" w:lineRule="exact"/>
        <w:rPr>
          <w:sz w:val="20"/>
          <w:szCs w:val="20"/>
          <w:color w:val="auto"/>
        </w:rPr>
      </w:pPr>
    </w:p>
    <w:p>
      <w:pPr>
        <w:ind w:right="160" w:firstLine="324"/>
        <w:spacing w:after="0" w:line="262" w:lineRule="auto"/>
        <w:rPr>
          <w:sz w:val="20"/>
          <w:szCs w:val="20"/>
          <w:color w:val="auto"/>
        </w:rPr>
      </w:pPr>
      <w:r>
        <w:rPr>
          <w:rFonts w:ascii="Arial" w:cs="Arial" w:eastAsia="Arial" w:hAnsi="Arial"/>
          <w:sz w:val="17"/>
          <w:szCs w:val="17"/>
          <w:color w:val="auto"/>
        </w:rPr>
        <w:t>The selling stockholder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307"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28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317"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We have advised the selling stockholder that the anti-manipulation rules of Regulation M under the Exchange Act may apply to sales of shares in the market and to the activities of the selling stockholder and its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agreed with the selling stockholder to keep the registration statement of which this prospectus constitutes a part effective until the earliest of</w:t>
      </w:r>
    </w:p>
    <w:p>
      <w:pPr>
        <w:spacing w:after="0" w:line="35" w:lineRule="exact"/>
        <w:rPr>
          <w:sz w:val="20"/>
          <w:szCs w:val="20"/>
          <w:color w:val="auto"/>
        </w:rPr>
      </w:pPr>
    </w:p>
    <w:p>
      <w:pPr>
        <w:ind w:right="160" w:firstLine="8"/>
        <w:spacing w:after="0" w:line="238"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(2) the date on which the shares may be sold without restriction and without the need for current public information pursuant to Rule 144(b) of the Securities Act and (3) with respect to each tranche of Warrant Shares, the expiration of the five-year term commencing on the date on which such tranche of Warrant Shares under the Warrant Agreement first became exercisable.</w:t>
      </w:r>
    </w:p>
    <w:p>
      <w:pPr>
        <w:spacing w:after="0" w:line="324"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There can be no assurance that the selling stockholder will sell any or all of the shares of common stock registered pursuant to the registration statement, of which this prospectus forms a part.</w:t>
      </w:r>
    </w:p>
    <w:p>
      <w:pPr>
        <w:spacing w:after="0" w:line="306"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33"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Certain legal matters in connection with the securities have been passed upon by Vinson &amp; Elkins L.L.P., Houston, Texas, as our counsel. Any underwriter or agent will be advised about other issues relating to any offering by its own legal counsel.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The consolidated financial statements of California Resources Corporation and subsidiaries as of December 31, 2019 and 2018, and for each of the years in the three-year period ended December 31, 2019, and management’s assessment of the effectiveness of internal control over financial reporting as of December 31, 2019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90"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323"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report of Netherland, Sewell &amp; Associates, Inc.,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553" w:right="3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337" w:lineRule="exact"/>
        <w:rPr>
          <w:sz w:val="20"/>
          <w:szCs w:val="20"/>
          <w:color w:val="auto"/>
        </w:rPr>
      </w:pPr>
    </w:p>
    <w:p>
      <w:pPr>
        <w:ind w:right="340" w:firstLine="324"/>
        <w:spacing w:after="0" w:line="246"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 registration fee</w:t>
            </w:r>
          </w:p>
        </w:tc>
        <w:tc>
          <w:tcPr>
            <w:tcW w:w="1560" w:type="dxa"/>
            <w:vAlign w:val="bottom"/>
          </w:tcPr>
          <w:p>
            <w:pPr>
              <w:jc w:val="right"/>
              <w:spacing w:after="0"/>
              <w:rPr>
                <w:sz w:val="20"/>
                <w:szCs w:val="20"/>
                <w:color w:val="auto"/>
              </w:rPr>
            </w:pPr>
            <w:r>
              <w:rPr>
                <w:rFonts w:ascii="Arial" w:cs="Arial" w:eastAsia="Arial" w:hAnsi="Arial"/>
                <w:sz w:val="18"/>
                <w:szCs w:val="18"/>
                <w:color w:val="auto"/>
              </w:rPr>
              <w:t>$1,452.89(1)</w:t>
            </w:r>
          </w:p>
        </w:tc>
      </w:tr>
      <w:tr>
        <w:trPr>
          <w:trHeight w:val="270"/>
        </w:trPr>
        <w:tc>
          <w:tcPr>
            <w:tcW w:w="9620" w:type="dxa"/>
            <w:vAlign w:val="bottom"/>
          </w:tcPr>
          <w:p>
            <w:pPr>
              <w:spacing w:after="0"/>
              <w:rPr>
                <w:sz w:val="20"/>
                <w:szCs w:val="20"/>
                <w:color w:val="auto"/>
              </w:rPr>
            </w:pPr>
            <w:r>
              <w:rPr>
                <w:rFonts w:ascii="Arial" w:cs="Arial" w:eastAsia="Arial" w:hAnsi="Arial"/>
                <w:sz w:val="18"/>
                <w:szCs w:val="18"/>
                <w:color w:val="auto"/>
              </w:rPr>
              <w:t>Printing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620" w:type="dxa"/>
            <w:vAlign w:val="bottom"/>
          </w:tcPr>
          <w:p>
            <w:pPr>
              <w:spacing w:after="0"/>
              <w:rPr>
                <w:sz w:val="20"/>
                <w:szCs w:val="20"/>
                <w:color w:val="auto"/>
              </w:rPr>
            </w:pPr>
            <w:r>
              <w:rPr>
                <w:rFonts w:ascii="Arial" w:cs="Arial" w:eastAsia="Arial" w:hAnsi="Arial"/>
                <w:sz w:val="18"/>
                <w:szCs w:val="18"/>
                <w:color w:val="auto"/>
              </w:rPr>
              <w:t>Miscellaneous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6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962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6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Fee previously paid.</w:t>
      </w:r>
    </w:p>
    <w:p>
      <w:pPr>
        <w:spacing w:after="0" w:line="4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fees are calculated based on the number of issuances and amount of securities offered and accordingly cannot be estimated at this time.</w:t>
      </w:r>
    </w:p>
    <w:p>
      <w:pPr>
        <w:spacing w:after="0" w:line="2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337" w:lineRule="exact"/>
        <w:rPr>
          <w:sz w:val="20"/>
          <w:szCs w:val="20"/>
          <w:color w:val="auto"/>
        </w:rPr>
      </w:pPr>
    </w:p>
    <w:p>
      <w:pPr>
        <w:ind w:right="200" w:firstLine="324"/>
        <w:spacing w:after="0" w:line="253" w:lineRule="auto"/>
        <w:rPr>
          <w:sz w:val="20"/>
          <w:szCs w:val="20"/>
          <w:color w:val="auto"/>
        </w:rPr>
      </w:pPr>
      <w:r>
        <w:rPr>
          <w:rFonts w:ascii="Arial" w:cs="Arial" w:eastAsia="Arial" w:hAnsi="Arial"/>
          <w:sz w:val="17"/>
          <w:szCs w:val="17"/>
          <w:color w:val="auto"/>
        </w:rPr>
        <w:t>Our amended and restated certificate of incorporation limits the liability of our directors for monetary damages for breach of their fiduciary duty as directors, except for liability that cannot be eliminated under the DGCL. Delaware law permits a certificate of incorporation to provide that directors of a company will not be personally liable for monetary damages for breach of their fiduciary duty as directors, except for liabilities:</w:t>
      </w:r>
    </w:p>
    <w:p>
      <w:pPr>
        <w:spacing w:after="0" w:line="12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333" w:lineRule="exact"/>
        <w:rPr>
          <w:sz w:val="20"/>
          <w:szCs w:val="20"/>
          <w:color w:val="auto"/>
        </w:rPr>
      </w:pPr>
    </w:p>
    <w:p>
      <w:pPr>
        <w:ind w:right="240" w:firstLine="324"/>
        <w:spacing w:after="0" w:line="246"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305" w:lineRule="exact"/>
        <w:rPr>
          <w:sz w:val="20"/>
          <w:szCs w:val="20"/>
          <w:color w:val="auto"/>
        </w:rPr>
      </w:pPr>
    </w:p>
    <w:p>
      <w:pPr>
        <w:ind w:right="60" w:firstLine="324"/>
        <w:spacing w:after="0"/>
        <w:rPr>
          <w:sz w:val="20"/>
          <w:szCs w:val="20"/>
          <w:color w:val="auto"/>
        </w:rPr>
      </w:pPr>
      <w:r>
        <w:rPr>
          <w:rFonts w:ascii="Arial" w:cs="Arial" w:eastAsia="Arial" w:hAnsi="Arial"/>
          <w:sz w:val="17"/>
          <w:szCs w:val="17"/>
          <w:color w:val="auto"/>
        </w:rPr>
        <w:t>Our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may from time to time enter into indemnification agreements with our directors and officers. These agreements will typically require us to indemnify these individuals to the fullest extent permitted under Delaware law against liability that may arise by reason of their service to us, and to advance expenses incurred as a result of any proceeding against them as to which they could be indemnified.</w:t>
      </w:r>
    </w:p>
    <w:p>
      <w:pPr>
        <w:spacing w:after="0" w:line="3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337"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320" w:top="540"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20" w:type="dxa"/>
            <w:vAlign w:val="bottom"/>
            <w:gridSpan w:val="21"/>
          </w:tcPr>
          <w:p>
            <w:pPr>
              <w:ind w:left="14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40" w:type="dxa"/>
            <w:vAlign w:val="bottom"/>
          </w:tcPr>
          <w:p>
            <w:pPr>
              <w:ind w:left="20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Separation and Distribution Agreement, dated as of November 25, 2014, between Occidental Petroleum Corporation and California</w:t>
              </w:r>
            </w:hyperlink>
          </w:p>
        </w:tc>
        <w:tc>
          <w:tcPr>
            <w:tcW w:w="36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Resources Corporation (filed as Exhibit 2.1 to Registrant’s Current Report on Form 8-K filed December 1, 2014 and incorporated</w:t>
              </w:r>
            </w:hyperlink>
          </w:p>
        </w:tc>
        <w:tc>
          <w:tcPr>
            <w:tcW w:w="48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herein by reference).</w:t>
              </w:r>
            </w:hyperlink>
          </w:p>
        </w:tc>
        <w:tc>
          <w:tcPr>
            <w:tcW w:w="8360" w:type="dxa"/>
            <w:vAlign w:val="bottom"/>
            <w:gridSpan w:val="25"/>
          </w:tcPr>
          <w:p>
            <w:pPr>
              <w:spacing w:after="0"/>
              <w:rPr>
                <w:sz w:val="17"/>
                <w:szCs w:val="17"/>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18"/>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Amended and Restated Certificate of Incorporation of California Resources Corporation (filed as Exhibit 3.1 to Registrant’s Current</w:t>
              </w:r>
            </w:hyperlink>
          </w:p>
        </w:tc>
        <w:tc>
          <w:tcPr>
            <w:tcW w:w="32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Report on Form 8-K filed June 3, 2016 and incorporated herein by reference).</w:t>
              </w:r>
            </w:hyperlink>
          </w:p>
        </w:tc>
        <w:tc>
          <w:tcPr>
            <w:tcW w:w="4240" w:type="dxa"/>
            <w:vAlign w:val="bottom"/>
            <w:gridSpan w:val="16"/>
          </w:tcPr>
          <w:p>
            <w:pPr>
              <w:spacing w:after="0"/>
              <w:rPr>
                <w:sz w:val="17"/>
                <w:szCs w:val="17"/>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3"/>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Amended and Restated Bylaws of California Resources Corporation (filed as Exhibit 3.2 to the Registrant’s Current Report on Form 8-</w:t>
              </w:r>
            </w:hyperlink>
          </w:p>
        </w:tc>
        <w:tc>
          <w:tcPr>
            <w:tcW w:w="12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K filed November 10, 2015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15"/>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Indenture, dated October 1, 2014, by and among California Resources Corporation, the Guarantors and Wells Fargo Bank, National</w:t>
              </w:r>
            </w:hyperlink>
          </w:p>
        </w:tc>
        <w:tc>
          <w:tcPr>
            <w:tcW w:w="38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Association (filed as Exhibit 4.2 to Amendment No. 4 to the Registrant’s Information Statement on Form 10 filed October 8, 2014 and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incorporated herein by reference).</w:t>
              </w:r>
            </w:hyperlink>
          </w:p>
        </w:tc>
        <w:tc>
          <w:tcPr>
            <w:tcW w:w="7220" w:type="dxa"/>
            <w:vAlign w:val="bottom"/>
            <w:tcBorders>
              <w:top w:val="single" w:sz="8" w:color="0000FF"/>
            </w:tcBorders>
            <w:gridSpan w:val="19"/>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3"/>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Indenture, dated December 15, 2015, by and among California Resources Corporation, the Guarantors and the Bank of New York</w:t>
              </w:r>
            </w:hyperlink>
          </w:p>
        </w:tc>
        <w:tc>
          <w:tcPr>
            <w:tcW w:w="480" w:type="dxa"/>
            <w:vAlign w:val="bottom"/>
            <w:gridSpan w:val="1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Mellon Trust Company, N.A. (filed as Exhibit 4.1 to Registrant’s Current Report on Form 8-K filed December 18, 2015 and</w:t>
              </w:r>
            </w:hyperlink>
          </w:p>
        </w:tc>
        <w:tc>
          <w:tcPr>
            <w:tcW w:w="920" w:type="dxa"/>
            <w:vAlign w:val="bottom"/>
            <w:gridSpan w:val="1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incorporated herein by reference).</w:t>
              </w:r>
            </w:hyperlink>
          </w:p>
        </w:tc>
        <w:tc>
          <w:tcPr>
            <w:tcW w:w="7400" w:type="dxa"/>
            <w:vAlign w:val="bottom"/>
            <w:gridSpan w:val="24"/>
          </w:tcPr>
          <w:p>
            <w:pPr>
              <w:spacing w:after="0"/>
              <w:rPr>
                <w:sz w:val="17"/>
                <w:szCs w:val="17"/>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Guarantor Supplemental Indenture dated as of March 5, 2015, among California Resources Corporation, certain guarantors named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therein and Wells Fargo Bank, National Association (filed as Exhibit 4.2 to Registrant’s Registration Statement on Form S-4 filed</w:t>
              </w:r>
            </w:hyperlink>
          </w:p>
        </w:tc>
        <w:tc>
          <w:tcPr>
            <w:tcW w:w="40" w:type="dxa"/>
            <w:vAlign w:val="bottom"/>
            <w:tcBorders>
              <w:top w:val="single" w:sz="8" w:color="0000FF"/>
            </w:tcBorders>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March 12, 2015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Guarantor Supplemental Indenture dated as of March 4, 2016, among California Resources Corporation, certain guarantors named</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therein and The Bank of New York Mellon Trust Company, N.A., as trustee (filed as Exhibit 4.1 to Registrant’s Quarterly Report on</w:t>
              </w:r>
            </w:hyperlink>
          </w:p>
        </w:tc>
        <w:tc>
          <w:tcPr>
            <w:tcW w:w="34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Form 10-Q filed August 4, 2016 and incorporated herein by reference).</w:t>
              </w:r>
            </w:hyperlink>
          </w:p>
        </w:tc>
        <w:tc>
          <w:tcPr>
            <w:tcW w:w="4720" w:type="dxa"/>
            <w:vAlign w:val="bottom"/>
            <w:gridSpan w:val="17"/>
          </w:tcPr>
          <w:p>
            <w:pPr>
              <w:spacing w:after="0"/>
              <w:rPr>
                <w:sz w:val="17"/>
                <w:szCs w:val="17"/>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Guarantor Supplement Indenture dated as of March 4, 2016, among California Resources Corporation, certain guarantors named therein</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8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and The Bank of New York Mellon Trust Company, N.A., as trustee (filed as Exhibit 4.2 to Registrant’s Quarterly Report on Form 10-Q</w:t>
              </w:r>
            </w:hyperlink>
          </w:p>
        </w:tc>
        <w:tc>
          <w:tcPr>
            <w:tcW w:w="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filed August 4, 2016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3"/>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Guarantor Supplemental Indenture No. 2, dated as of April 29, 2016, among California Resources Corporation, certain guarantors</w:t>
              </w:r>
            </w:hyperlink>
          </w:p>
        </w:tc>
        <w:tc>
          <w:tcPr>
            <w:tcW w:w="480" w:type="dxa"/>
            <w:vAlign w:val="bottom"/>
            <w:gridSpan w:val="1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named therein and Wilmington Trust, National Association, as trustee (filed as Exhibit 10.4 to Registrant’s Quarterly Report on Form</w:t>
              </w:r>
            </w:hyperlink>
          </w:p>
        </w:tc>
        <w:tc>
          <w:tcPr>
            <w:tcW w:w="24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10-Q filed August 4, 2016 and incorporated herein by reference).</w:t>
              </w:r>
            </w:hyperlink>
          </w:p>
        </w:tc>
        <w:tc>
          <w:tcPr>
            <w:tcW w:w="5160" w:type="dxa"/>
            <w:vAlign w:val="bottom"/>
            <w:gridSpan w:val="19"/>
          </w:tcPr>
          <w:p>
            <w:pPr>
              <w:spacing w:after="0"/>
              <w:rPr>
                <w:sz w:val="17"/>
                <w:szCs w:val="17"/>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Assumption Agreement dated as of March 6, 2015, among CRC Construction Services, LLC and JP Morgan Chase Bank, N.A., as</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40" w:type="dxa"/>
            <w:vAlign w:val="bottom"/>
            <w:gridSpan w:val="8"/>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Administrative Agent for lenders (filed as Exhibit 10.31 to Registrant’s Registration Statement on Form S-4 filed March 12, 2015 and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incorporated herein by reference).</w:t>
              </w:r>
            </w:hyperlink>
          </w:p>
        </w:tc>
        <w:tc>
          <w:tcPr>
            <w:tcW w:w="7180" w:type="dxa"/>
            <w:vAlign w:val="bottom"/>
            <w:tcBorders>
              <w:top w:val="single" w:sz="8" w:color="0000FF"/>
            </w:tcBorders>
            <w:gridSpan w:val="18"/>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2"/>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Registration Rights Agreement, dated October 1, 2014, by and among California Resources Corporation, the Guarantors and the Initial</w:t>
              </w:r>
            </w:hyperlink>
          </w:p>
        </w:tc>
        <w:tc>
          <w:tcPr>
            <w:tcW w:w="14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Purchasers (filed as Exhibit 4.3 to Amendment No. 4 to the Registrant’s Information Statement on Form 10 filed October 8, 2014 and</w:t>
              </w:r>
            </w:hyperlink>
          </w:p>
        </w:tc>
        <w:tc>
          <w:tcPr>
            <w:tcW w:w="24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incorporated herein by reference).</w:t>
              </w:r>
            </w:hyperlink>
          </w:p>
        </w:tc>
        <w:tc>
          <w:tcPr>
            <w:tcW w:w="7400" w:type="dxa"/>
            <w:vAlign w:val="bottom"/>
            <w:gridSpan w:val="24"/>
          </w:tcPr>
          <w:p>
            <w:pPr>
              <w:spacing w:after="0"/>
              <w:rPr>
                <w:sz w:val="17"/>
                <w:szCs w:val="17"/>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2"/>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5% Senior Note due 2020 (included in Exhibit 4.2 to Amendment No. 4 to the Registrant’s Information Statement on Form 10</w:t>
              </w:r>
            </w:hyperlink>
          </w:p>
        </w:tc>
        <w:tc>
          <w:tcPr>
            <w:tcW w:w="14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filed October 8, 2014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gridSpan w:val="1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Form of 5 1/2% Senior Note due 2021 (included in Exhibit 4.2 to Amendment No. 4 to the Registrant’s Information Statement on Form</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10 filed October 8, 2014 and incorporated herein by reference).</w:t>
              </w:r>
            </w:hyperlink>
          </w:p>
        </w:tc>
        <w:tc>
          <w:tcPr>
            <w:tcW w:w="6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73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13"/>
          </w:tcPr>
          <w:p>
            <w:pPr>
              <w:ind w:left="2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40" w:type="dxa"/>
            <w:vAlign w:val="bottom"/>
          </w:tcPr>
          <w:p>
            <w:pPr>
              <w:ind w:left="200"/>
              <w:spacing w:after="0" w:line="196" w:lineRule="exact"/>
              <w:rPr>
                <w:sz w:val="20"/>
                <w:szCs w:val="20"/>
                <w:color w:val="auto"/>
              </w:rPr>
            </w:pPr>
            <w:r>
              <w:rPr>
                <w:rFonts w:ascii="Arial" w:cs="Arial" w:eastAsia="Arial" w:hAnsi="Arial"/>
                <w:sz w:val="18"/>
                <w:szCs w:val="18"/>
                <w:color w:val="auto"/>
              </w:rPr>
              <w:t>4.11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Form of 6% Senior Note due 2024 (included in Exhibit 4.2 to Amendment No. 4 to the Registrant’s Information Statement on Form 10</w:t>
              </w:r>
            </w:hyperlink>
          </w:p>
        </w:tc>
        <w:tc>
          <w:tcPr>
            <w:tcW w:w="14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filed October 8, 2014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240" w:type="dxa"/>
            <w:vAlign w:val="bottom"/>
          </w:tcPr>
          <w:p>
            <w:pPr>
              <w:ind w:left="20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3"/>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Form of 8% Senior Secured Second Lien Note due 2022 (included in Exhibit 4.1 to Registrant’s Current Report on Form 8-K filed</w:t>
              </w:r>
            </w:hyperlink>
          </w:p>
        </w:tc>
        <w:tc>
          <w:tcPr>
            <w:tcW w:w="46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December 18, 2015 and incorporated herein by reference).</w:t>
              </w:r>
            </w:hyperlink>
          </w:p>
        </w:tc>
        <w:tc>
          <w:tcPr>
            <w:tcW w:w="5640" w:type="dxa"/>
            <w:vAlign w:val="bottom"/>
            <w:gridSpan w:val="16"/>
          </w:tcPr>
          <w:p>
            <w:pPr>
              <w:spacing w:after="0"/>
              <w:rPr>
                <w:sz w:val="17"/>
                <w:szCs w:val="17"/>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5"/>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Registration Rights Agreement, dated as of February 7, 2018, by and between California Resources Corporation and AF V Energy IV</w:t>
              </w:r>
            </w:hyperlink>
          </w:p>
        </w:tc>
        <w:tc>
          <w:tcPr>
            <w:tcW w:w="22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FF"/>
                <w:w w:val="98"/>
              </w:rPr>
            </w:pPr>
            <w:hyperlink r:id="rId24">
              <w:r>
                <w:rPr>
                  <w:rFonts w:ascii="Arial" w:cs="Arial" w:eastAsia="Arial" w:hAnsi="Arial"/>
                  <w:sz w:val="18"/>
                  <w:szCs w:val="18"/>
                  <w:color w:val="0000FF"/>
                  <w:w w:val="98"/>
                </w:rPr>
                <w:t>AIV 2, L.P., AF V Energy IV AIV 3, L.P., Ares Special Situations Fund IV, L.P., AEOF Holdings I, L.P. and AEOF GP Sub, LLC</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(included in Exhibit 10.5 to the Registrant’s Current Report on Form 8-K filed February 7, 2018 and incorporated herein by reference).</w:t>
              </w:r>
            </w:hyperlink>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top w:val="single" w:sz="8" w:color="0000FF"/>
            </w:tcBorders>
            <w:gridSpan w:val="17"/>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Registration Rights Agreement, dated as of April 9, 2018, by and between California Resources Corporation and Chevron U.S.A. Inc.</w:t>
              </w:r>
            </w:hyperlink>
          </w:p>
        </w:tc>
        <w:tc>
          <w:tcPr>
            <w:tcW w:w="14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(filed as Exhibit 4.01 to the Registrant’s Current Report on Form 8-K filed April 9, 2018 and incorporated herein by reference).</w:t>
              </w:r>
            </w:hyperlink>
          </w:p>
        </w:tc>
        <w:tc>
          <w:tcPr>
            <w:tcW w:w="460" w:type="dxa"/>
            <w:vAlign w:val="bottom"/>
            <w:tcBorders>
              <w:top w:val="single" w:sz="8" w:color="0000FF"/>
            </w:tcBorders>
            <w:gridSpan w:val="4"/>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14"/>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Guarantor Supplemental Indenture, dated as of April 16, 2018, among California Resources Corporation, certain guarantors named</w:t>
              </w:r>
            </w:hyperlink>
          </w:p>
        </w:tc>
        <w:tc>
          <w:tcPr>
            <w:tcW w:w="4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therein and The Bank of New York Mellon Trust Company, N.A., as trustee (filed as Exhibit 4.1 to the Registrant’s Quarterly Report on</w:t>
              </w:r>
            </w:hyperlink>
          </w:p>
        </w:tc>
        <w:tc>
          <w:tcPr>
            <w:tcW w:w="8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Form 10-Q filed August 2, 2018 and incorporated herein by reference).</w:t>
              </w:r>
            </w:hyperlink>
          </w:p>
        </w:tc>
        <w:tc>
          <w:tcPr>
            <w:tcW w:w="4720" w:type="dxa"/>
            <w:vAlign w:val="bottom"/>
            <w:gridSpan w:val="12"/>
          </w:tcPr>
          <w:p>
            <w:pPr>
              <w:spacing w:after="0"/>
              <w:rPr>
                <w:sz w:val="17"/>
                <w:szCs w:val="17"/>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Third Guarantor Supplemental Indenture, dated as of June 29, 2018, among California Resources Corporation, certain guarantors named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therein and Wilmington Trust, National Association, as trustee (filed as Exhibit 4.2 to the Registrant’s Quarterly Report on Form 10-Q</w:t>
              </w:r>
            </w:hyperlink>
          </w:p>
        </w:tc>
        <w:tc>
          <w:tcPr>
            <w:tcW w:w="140" w:type="dxa"/>
            <w:vAlign w:val="bottom"/>
            <w:tcBorders>
              <w:top w:val="single" w:sz="8" w:color="0000FF"/>
            </w:tcBorders>
            <w:gridSpan w:val="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filed August 2, 2018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tcBorders>
              <w:bottom w:val="single" w:sz="8" w:color="0000FF"/>
            </w:tcBorders>
            <w:gridSpan w:val="11"/>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Purchase Warrant for Common Stock of California Resources Corporation, dated as of July 22, 2019 (filed as Exhibit 4.1 to the</w:t>
              </w:r>
            </w:hyperlink>
          </w:p>
        </w:tc>
        <w:tc>
          <w:tcPr>
            <w:tcW w:w="680" w:type="dxa"/>
            <w:vAlign w:val="bottom"/>
            <w:gridSpan w:val="9"/>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Registrant’s Current Report on Form 8-K filed July 23, 2019 and incorporated herein by reference).</w:t>
              </w:r>
            </w:hyperlink>
          </w:p>
        </w:tc>
        <w:tc>
          <w:tcPr>
            <w:tcW w:w="2680" w:type="dxa"/>
            <w:vAlign w:val="bottom"/>
            <w:gridSpan w:val="10"/>
          </w:tcPr>
          <w:p>
            <w:pPr>
              <w:spacing w:after="0"/>
              <w:rPr>
                <w:sz w:val="17"/>
                <w:szCs w:val="17"/>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tcBorders>
              <w:bottom w:val="single" w:sz="8" w:color="0000FF"/>
            </w:tcBorders>
            <w:gridSpan w:val="9"/>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Opinion of Vinson &amp; Elkins L.L.P. as to the legality of the securities being registered.</w:t>
              </w:r>
            </w:hyperlink>
          </w:p>
        </w:tc>
        <w:tc>
          <w:tcPr>
            <w:tcW w:w="3680" w:type="dxa"/>
            <w:vAlign w:val="bottom"/>
            <w:gridSpan w:val="11"/>
          </w:tcPr>
          <w:p>
            <w:pPr>
              <w:spacing w:after="0"/>
              <w:rPr>
                <w:sz w:val="24"/>
                <w:szCs w:val="24"/>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Consent of Independent Registered Public Accounting Firm.</w:t>
              </w:r>
            </w:hyperlink>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Consent of Independent Petroleum Engineers.</w:t>
              </w:r>
            </w:hyperlink>
          </w:p>
        </w:tc>
        <w:tc>
          <w:tcPr>
            <w:tcW w:w="1020" w:type="dxa"/>
            <w:vAlign w:val="bottom"/>
            <w:tcBorders>
              <w:top w:val="single" w:sz="8" w:color="0000FF"/>
            </w:tcBorders>
            <w:gridSpan w:val="3"/>
          </w:tcPr>
          <w:p>
            <w:pPr>
              <w:spacing w:after="0"/>
              <w:rPr>
                <w:sz w:val="24"/>
                <w:szCs w:val="24"/>
                <w:color w:val="auto"/>
              </w:rPr>
            </w:pPr>
          </w:p>
        </w:tc>
        <w:tc>
          <w:tcPr>
            <w:tcW w:w="5500" w:type="dxa"/>
            <w:vAlign w:val="bottom"/>
            <w:gridSpan w:val="14"/>
          </w:tcPr>
          <w:p>
            <w:pPr>
              <w:spacing w:after="0"/>
              <w:rPr>
                <w:sz w:val="24"/>
                <w:szCs w:val="24"/>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Consent of Independent Petroleum Engineers.</w:t>
              </w:r>
            </w:hyperlink>
          </w:p>
        </w:tc>
        <w:tc>
          <w:tcPr>
            <w:tcW w:w="6540" w:type="dxa"/>
            <w:vAlign w:val="bottom"/>
            <w:gridSpan w:val="18"/>
          </w:tcPr>
          <w:p>
            <w:pPr>
              <w:spacing w:after="0"/>
              <w:rPr>
                <w:sz w:val="24"/>
                <w:szCs w:val="24"/>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000FF"/>
            </w:tcBorders>
            <w:gridSpan w:val="7"/>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Consent of Vinson &amp; Elkins L.L.P. (contained in Exhibit 5.1).</w:t>
              </w:r>
            </w:hyperlink>
          </w:p>
        </w:tc>
        <w:tc>
          <w:tcPr>
            <w:tcW w:w="5400" w:type="dxa"/>
            <w:vAlign w:val="bottom"/>
            <w:gridSpan w:val="13"/>
          </w:tcPr>
          <w:p>
            <w:pPr>
              <w:spacing w:after="0"/>
              <w:rPr>
                <w:sz w:val="24"/>
                <w:szCs w:val="24"/>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FF"/>
              </w:rPr>
            </w:pPr>
            <w:hyperlink r:id="rId30">
              <w:r>
                <w:rPr>
                  <w:rFonts w:ascii="Arial" w:cs="Arial" w:eastAsia="Arial" w:hAnsi="Arial"/>
                  <w:sz w:val="18"/>
                  <w:szCs w:val="18"/>
                  <w:color w:val="0000FF"/>
                </w:rPr>
                <w:t>Power of Attorney.</w:t>
              </w:r>
            </w:hyperlink>
          </w:p>
        </w:tc>
      </w:tr>
      <w:tr>
        <w:trPr>
          <w:trHeight w:val="227"/>
        </w:trPr>
        <w:tc>
          <w:tcPr>
            <w:tcW w:w="124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0000FF"/>
            </w:tcBorders>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ind w:right="9840" w:firstLine="8"/>
        <w:spacing w:after="0" w:line="292" w:lineRule="auto"/>
        <w:tabs>
          <w:tab w:leader="none" w:pos="3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line="1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10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03" w:lineRule="exact"/>
        <w:rPr>
          <w:rFonts w:ascii="Arial" w:cs="Arial" w:eastAsia="Arial" w:hAnsi="Arial"/>
          <w:sz w:val="18"/>
          <w:szCs w:val="18"/>
          <w:color w:val="auto"/>
        </w:rPr>
      </w:pPr>
    </w:p>
    <w:p>
      <w:pPr>
        <w:ind w:left="980" w:right="240" w:hanging="324"/>
        <w:spacing w:after="0" w:line="219"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733" w:right="339" w:bottom="1440" w:gutter="0" w:footer="0" w:header="0"/>
        </w:sectPr>
      </w:pPr>
    </w:p>
    <w:bookmarkStart w:id="25" w:name="page26"/>
    <w:bookmarkEnd w:id="25"/>
    <w:p>
      <w:pPr>
        <w:ind w:left="980" w:right="160"/>
        <w:spacing w:after="0" w:line="231" w:lineRule="auto"/>
        <w:rPr>
          <w:sz w:val="20"/>
          <w:szCs w:val="20"/>
          <w:color w:val="auto"/>
        </w:rPr>
      </w:pPr>
      <w:r>
        <w:rPr>
          <w:rFonts w:ascii="Arial" w:cs="Arial" w:eastAsia="Arial" w:hAnsi="Arial"/>
          <w:sz w:val="18"/>
          <w:szCs w:val="18"/>
          <w:color w:val="auto"/>
        </w:rPr>
        <w:t>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35" w:lineRule="exact"/>
        <w:rPr>
          <w:sz w:val="20"/>
          <w:szCs w:val="20"/>
          <w:color w:val="auto"/>
        </w:rPr>
      </w:pPr>
    </w:p>
    <w:p>
      <w:pPr>
        <w:ind w:left="980" w:right="500" w:hanging="324"/>
        <w:spacing w:after="0" w:line="24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05" w:lineRule="exact"/>
        <w:rPr>
          <w:sz w:val="20"/>
          <w:szCs w:val="20"/>
          <w:color w:val="auto"/>
        </w:rPr>
      </w:pPr>
    </w:p>
    <w:p>
      <w:pPr>
        <w:ind w:right="200" w:firstLine="324"/>
        <w:spacing w:after="0" w:line="23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 1(b) and 1(c)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15(d) of the Exchange Act that are incorporated by reference in the registration statement, or is contained in a form of prospectus filed pursuant to Rule 424(b) that is part of the registration statement.</w:t>
      </w:r>
    </w:p>
    <w:p>
      <w:pPr>
        <w:spacing w:after="0" w:line="135" w:lineRule="exact"/>
        <w:rPr>
          <w:sz w:val="20"/>
          <w:szCs w:val="20"/>
          <w:color w:val="auto"/>
        </w:rPr>
      </w:pPr>
    </w:p>
    <w:p>
      <w:pPr>
        <w:ind w:left="660" w:right="20" w:hanging="328"/>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4"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57" w:lineRule="exact"/>
        <w:rPr>
          <w:rFonts w:ascii="Arial" w:cs="Arial" w:eastAsia="Arial" w:hAnsi="Arial"/>
          <w:sz w:val="18"/>
          <w:szCs w:val="18"/>
          <w:color w:val="auto"/>
        </w:rPr>
      </w:pPr>
    </w:p>
    <w:p>
      <w:pPr>
        <w:ind w:left="980" w:right="60" w:hanging="324"/>
        <w:spacing w:after="0" w:line="239"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5" w:lineRule="exact"/>
        <w:rPr>
          <w:rFonts w:ascii="Arial" w:cs="Arial" w:eastAsia="Arial" w:hAnsi="Arial"/>
          <w:sz w:val="17"/>
          <w:szCs w:val="17"/>
          <w:color w:val="auto"/>
        </w:rPr>
      </w:pPr>
    </w:p>
    <w:p>
      <w:pPr>
        <w:ind w:left="660" w:hanging="328"/>
        <w:spacing w:after="0" w:line="27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7" w:lineRule="exact"/>
        <w:rPr>
          <w:rFonts w:ascii="Arial" w:cs="Arial" w:eastAsia="Arial" w:hAnsi="Arial"/>
          <w:sz w:val="16"/>
          <w:szCs w:val="16"/>
          <w:color w:val="auto"/>
        </w:rPr>
      </w:pPr>
    </w:p>
    <w:p>
      <w:pPr>
        <w:ind w:left="660" w:right="60" w:hanging="328"/>
        <w:spacing w:after="0" w:line="23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544"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SIGNATORIES</w:t>
      </w:r>
    </w:p>
    <w:p>
      <w:pPr>
        <w:spacing w:after="0" w:line="324" w:lineRule="exact"/>
        <w:rPr>
          <w:sz w:val="20"/>
          <w:szCs w:val="20"/>
          <w:color w:val="auto"/>
        </w:rPr>
      </w:pPr>
    </w:p>
    <w:p>
      <w:pPr>
        <w:ind w:right="520" w:firstLine="324"/>
        <w:spacing w:after="0" w:line="22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Clarita, State of California, on the 27th day of March, 2020.</w:t>
      </w:r>
    </w:p>
    <w:p>
      <w:pPr>
        <w:spacing w:after="0" w:line="29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California Resources Corporation</w:t>
      </w:r>
    </w:p>
    <w:p>
      <w:pPr>
        <w:spacing w:after="0" w:line="391" w:lineRule="exact"/>
        <w:rPr>
          <w:sz w:val="20"/>
          <w:szCs w:val="20"/>
          <w:color w:val="auto"/>
        </w:rPr>
      </w:pPr>
    </w:p>
    <w:tbl>
      <w:tblPr>
        <w:tblLayout w:type="fixed"/>
        <w:tblInd w:w="510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20"/>
              <w:spacing w:after="0"/>
              <w:rPr>
                <w:sz w:val="20"/>
                <w:szCs w:val="20"/>
                <w:color w:val="auto"/>
              </w:rPr>
            </w:pPr>
            <w:r>
              <w:rPr>
                <w:rFonts w:ascii="Arial" w:cs="Arial" w:eastAsia="Arial" w:hAnsi="Arial"/>
                <w:sz w:val="18"/>
                <w:szCs w:val="18"/>
                <w:color w:val="auto"/>
              </w:rPr>
              <w:t>/s/ Todd A. Stevens</w:t>
            </w:r>
          </w:p>
        </w:tc>
      </w:tr>
      <w:tr>
        <w:trPr>
          <w:trHeight w:val="27"/>
        </w:trPr>
        <w:tc>
          <w:tcPr>
            <w:tcW w:w="8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20"/>
              <w:spacing w:after="0"/>
              <w:rPr>
                <w:sz w:val="20"/>
                <w:szCs w:val="20"/>
                <w:color w:val="auto"/>
              </w:rPr>
            </w:pPr>
            <w:r>
              <w:rPr>
                <w:rFonts w:ascii="Arial" w:cs="Arial" w:eastAsia="Arial" w:hAnsi="Arial"/>
                <w:sz w:val="18"/>
                <w:szCs w:val="18"/>
                <w:color w:val="auto"/>
              </w:rPr>
              <w:t>Todd A. Stevens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w w:val="96"/>
              </w:rPr>
              <w:t>President and Chief Executive Officer and Director</w:t>
            </w:r>
          </w:p>
        </w:tc>
      </w:tr>
    </w:tbl>
    <w:p>
      <w:pPr>
        <w:spacing w:after="0" w:line="188"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March 27,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3"/>
          </w:tcPr>
          <w:p>
            <w:pPr>
              <w:jc w:val="center"/>
              <w:ind w:right="3550"/>
              <w:spacing w:after="0"/>
              <w:rPr>
                <w:sz w:val="20"/>
                <w:szCs w:val="20"/>
                <w:color w:val="auto"/>
              </w:rPr>
            </w:pPr>
            <w:r>
              <w:rPr>
                <w:rFonts w:ascii="Arial" w:cs="Arial" w:eastAsia="Arial" w:hAnsi="Arial"/>
                <w:sz w:val="18"/>
                <w:szCs w:val="18"/>
                <w:b w:val="1"/>
                <w:bCs w:val="1"/>
                <w:color w:val="auto"/>
                <w:w w:val="90"/>
              </w:rPr>
              <w:t>California Resources Corporation</w:t>
            </w:r>
          </w:p>
        </w:tc>
      </w:tr>
      <w:tr>
        <w:trPr>
          <w:trHeight w:val="527"/>
        </w:trPr>
        <w:tc>
          <w:tcPr>
            <w:tcW w:w="366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Name</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r>
      <w:tr>
        <w:trPr>
          <w:trHeight w:val="412"/>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89"/>
              </w:rPr>
              <w:t>/s/ Todd A. Stevens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Todd A. Stevens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4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1"/>
              </w:rPr>
              <w:t>Senior Executive Vice President and Chief Financial Officer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4"/>
              </w:rPr>
              <w:t>Marshall D. Smith</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446"/>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0"/>
              </w:rPr>
              <w:t>Executive Vice President, Finance</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2"/>
              </w:rPr>
              <w:t>Roy Pineci</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4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89"/>
              </w:rPr>
              <w:t>Chairman</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6"/>
              </w:rPr>
              <w:t>William E. Albrecht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4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1"/>
              </w:rPr>
              <w:t>Justin A. Gannon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4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3"/>
              </w:rPr>
              <w:t>Harry T. McMahon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4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2"/>
              </w:rPr>
              <w:t>Avedick B. Poladian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4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6"/>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3"/>
              </w:rPr>
              <w:t>Anita M. Powers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46"/>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2"/>
              </w:rPr>
              <w:t>Laurie A. Siegel</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4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6"/>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Robert V. Sinnott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59"/>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ind w:right="453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240"/>
          </w:cols>
          <w:pgMar w:left="320" w:top="540" w:right="339" w:bottom="1440" w:gutter="0" w:footer="0" w:header="0"/>
        </w:sectPr>
      </w:pPr>
    </w:p>
    <w:bookmarkStart w:id="27" w:name="page28"/>
    <w:bookmarkEnd w:id="27"/>
    <w:p>
      <w:pPr>
        <w:jc w:val="both"/>
        <w:ind w:left="2000"/>
        <w:spacing w:after="0"/>
        <w:tabs>
          <w:tab w:leader="none" w:pos="77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40640</wp:posOffset>
            </wp:positionV>
            <wp:extent cx="1859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Todd A. Stevens</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099"/>
          </w:cols>
          <w:pgMar w:left="360" w:top="715"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648585"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264858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consent to the use of our report dated February 26, 2020, with respect to the consolidated balance sheets of California Resources Corporation and subsidiaries as of December 31, 2019 and 2018, the related consolidated statements of operations, comprehensive income, equity, and cash flows for each of the years in the three-year period ended December 31, 2019, and the related notes, and the effectiveness of internal control over financial reporting as of December 31, 2019, incorporated herein by reference and to the reference to our firm under the heading “Experts” in the prospectus.</w:t>
      </w:r>
    </w:p>
    <w:p>
      <w:pPr>
        <w:spacing w:after="0" w:line="2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ectPr>
          <w:pgSz w:w="11900" w:h="16838" w:orient="portrait"/>
          <w:cols w:equalWidth="0" w:num="1">
            <w:col w:w="11240"/>
          </w:cols>
          <w:pgMar w:left="320" w:top="553"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rPr>
          <w:sz w:val="20"/>
          <w:szCs w:val="20"/>
          <w:color w:val="auto"/>
        </w:rPr>
      </w:pPr>
      <w:r>
        <w:rPr>
          <w:rFonts w:ascii="Arial" w:cs="Arial" w:eastAsia="Arial" w:hAnsi="Arial"/>
          <w:sz w:val="20"/>
          <w:szCs w:val="20"/>
          <w:color w:val="auto"/>
        </w:rPr>
        <w:t>California Resources Corporation:</w:t>
      </w:r>
    </w:p>
    <w:p>
      <w:pPr>
        <w:spacing w:after="0" w:line="216" w:lineRule="exact"/>
        <w:rPr>
          <w:sz w:val="20"/>
          <w:szCs w:val="20"/>
          <w:color w:val="auto"/>
        </w:rPr>
      </w:pPr>
    </w:p>
    <w:p>
      <w:pPr>
        <w:ind w:right="240" w:firstLine="648"/>
        <w:spacing w:after="0" w:line="243" w:lineRule="auto"/>
        <w:rPr>
          <w:sz w:val="20"/>
          <w:szCs w:val="20"/>
          <w:color w:val="auto"/>
        </w:rPr>
      </w:pPr>
      <w:r>
        <w:rPr>
          <w:rFonts w:ascii="Arial" w:cs="Arial" w:eastAsia="Arial" w:hAnsi="Arial"/>
          <w:sz w:val="20"/>
          <w:szCs w:val="20"/>
          <w:color w:val="auto"/>
        </w:rPr>
        <w:t>We hereby consent to the incorporation by reference into this Registration Statement on Form S-3 of references to our name and to our letter dated January 10, 2020 relating to our audit of California Resources Corporation's 2019 oil and gas proved reserves.</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Ryder Scott Company, L.P.</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March 27, 2020</w:t>
      </w:r>
    </w:p>
    <w:p>
      <w:pPr>
        <w:sectPr>
          <w:pgSz w:w="11900" w:h="16838" w:orient="portrait"/>
          <w:cols w:equalWidth="0" w:num="1">
            <w:col w:w="11240"/>
          </w:cols>
          <w:pgMar w:left="320" w:top="553" w:right="339" w:bottom="1440" w:gutter="0" w:footer="0" w:header="0"/>
        </w:sectPr>
      </w:pPr>
    </w:p>
    <w:bookmarkStart w:id="30" w:name="page31"/>
    <w:bookmarkEnd w:id="30"/>
    <w:p>
      <w:pPr>
        <w:ind w:left="10120"/>
        <w:spacing w:after="0"/>
        <w:rPr>
          <w:sz w:val="20"/>
          <w:szCs w:val="20"/>
          <w:color w:val="auto"/>
        </w:rPr>
      </w:pPr>
      <w:r>
        <w:rPr>
          <w:rFonts w:ascii="Arial" w:cs="Arial" w:eastAsia="Arial" w:hAnsi="Arial"/>
          <w:sz w:val="18"/>
          <w:szCs w:val="18"/>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6880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1868805" cy="3257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PETROLEUM ENGINEERS AND GEOLOGISTS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February 12, 2020 relating to our audit of California Resources Corporation's 2019 oil and gas proved reserves.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8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Danny D. Simmons</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846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Danny D. Simmons, P.E.</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sectPr>
      <w:pgSz w:w="11900" w:h="16838" w:orient="portrait"/>
      <w:cols w:equalWidth="0" w:num="1">
        <w:col w:w="11240"/>
      </w:cols>
      <w:pgMar w:left="320" w:top="55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713"/>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3"/>
    </w:lvl>
  </w:abstractNum>
  <w:abstractNum w:abstractNumId="16">
    <w:nsid w:val="25E45D32"/>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31"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jpeg"/><Relationship Id="rId34" Type="http://schemas.openxmlformats.org/officeDocument/2006/relationships/image" Target="media/image9.jpeg"/><Relationship Id="rId35" Type="http://schemas.openxmlformats.org/officeDocument/2006/relationships/image" Target="media/image10.png"/><Relationship Id="rId13" Type="http://schemas.openxmlformats.org/officeDocument/2006/relationships/hyperlink" Target="http://www.sec.gov/Archives/edgar/data/1609253/000110465914084170/a14-25233_1ex2d1.htm" TargetMode="External"/><Relationship Id="rId14" Type="http://schemas.openxmlformats.org/officeDocument/2006/relationships/hyperlink" Target="http://www.sec.gov/Archives/edgar/data/1609253/000160925316000271/exhibit31.htm" TargetMode="External"/><Relationship Id="rId15" Type="http://schemas.openxmlformats.org/officeDocument/2006/relationships/hyperlink" Target="http://www.sec.gov/Archives/edgar/data/1609253/000160925315000168/exhibit32amendedandrestate.htm" TargetMode="External"/><Relationship Id="rId16" Type="http://schemas.openxmlformats.org/officeDocument/2006/relationships/hyperlink" Target="http://www.sec.gov/Archives/edgar/data/1609253/000104746914008184/a2221677zex-4_2.htm" TargetMode="External"/><Relationship Id="rId17" Type="http://schemas.openxmlformats.org/officeDocument/2006/relationships/hyperlink" Target="http://www.sec.gov/Archives/edgar/data/1609253/000160925315000179/crcexchangeindenture.htm" TargetMode="External"/><Relationship Id="rId18" Type="http://schemas.openxmlformats.org/officeDocument/2006/relationships/hyperlink" Target="http://www.sec.gov/Archives/edgar/data/1609253/000160925315000027/exh42guarantorsupplemental.htm" TargetMode="External"/><Relationship Id="rId19" Type="http://schemas.openxmlformats.org/officeDocument/2006/relationships/hyperlink" Target="http://www.sec.gov/Archives/edgar/data/1609253/000160925316000305/a2016q2exhibit41.htm" TargetMode="External"/><Relationship Id="rId20" Type="http://schemas.openxmlformats.org/officeDocument/2006/relationships/hyperlink" Target="http://www.sec.gov/Archives/edgar/data/1609253/000160925316000305/a2016q2exhibit42.htm" TargetMode="External"/><Relationship Id="rId21" Type="http://schemas.openxmlformats.org/officeDocument/2006/relationships/hyperlink" Target="http://www.sec.gov/Archives/edgar/data/1609253/000160925316000305/a2016q2exhibit104.htm" TargetMode="External"/><Relationship Id="rId22" Type="http://schemas.openxmlformats.org/officeDocument/2006/relationships/hyperlink" Target="http://www.sec.gov/Archives/edgar/data/1609253/000160925315000027/exhibit1031assumptionagree.htm" TargetMode="External"/><Relationship Id="rId23" Type="http://schemas.openxmlformats.org/officeDocument/2006/relationships/hyperlink" Target="http://www.sec.gov/Archives/edgar/data/1609253/000104746914008184/a2221677zex-4_3.htm" TargetMode="External"/><Relationship Id="rId24" Type="http://schemas.openxmlformats.org/officeDocument/2006/relationships/hyperlink" Target="http://www.sec.gov/Archives/edgar/data/1609253/000160925318000004/ex1052-7x20188k.htm" TargetMode="External"/><Relationship Id="rId25" Type="http://schemas.openxmlformats.org/officeDocument/2006/relationships/hyperlink" Target="http://www.sec.gov/Archives/edgar/data/1609253/000160925318000051/registrationrightsagreemen.htm" TargetMode="External"/><Relationship Id="rId26" Type="http://schemas.openxmlformats.org/officeDocument/2006/relationships/hyperlink" Target="http://www.sec.gov/Archives/edgar/data/1609253/000160925318000111/a2018q2exhibit41.htm" TargetMode="External"/><Relationship Id="rId27" Type="http://schemas.openxmlformats.org/officeDocument/2006/relationships/hyperlink" Target="http://www.sec.gov/Archives/edgar/data/1609253/000160925318000111/a2018q2exhibit42.htm" TargetMode="External"/><Relationship Id="rId28" Type="http://schemas.openxmlformats.org/officeDocument/2006/relationships/hyperlink" Target="http://www.sec.gov/Archives/edgar/data/1609253/000160925319000118/a20190722ex41.htm" TargetMode="External"/><Relationship Id="rId29" Type="http://schemas.openxmlformats.org/officeDocument/2006/relationships/hyperlink" Target="http://www.sec.gov/Archives/edgar/data/1609253/000160925320000068/posam1333-233289ex51.htm" TargetMode="External"/><Relationship Id="rId30" Type="http://schemas.openxmlformats.org/officeDocument/2006/relationships/hyperlink" Target="http://www.sec.gov/Archives/edgar/data/1609253/000119312519221528/d772072ds3asr.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2020-03-27T16:08:45Z</dcterms:created>
  <dcterms:modified xsi:type="dcterms:W3CDTF">2020-03-27T16:08:45Z</dcterms:modified>
</cp:coreProperties>
</file>