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06/21/2021</w:t>
            </w:r>
          </w:p>
        </w:tc>
        <w:tc>
          <w:tcPr>
            <w:tcW w:w="60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180,000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33.07  14,471,592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9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20" w:type="dxa"/>
            <w:vAlign w:val="bottom"/>
            <w:gridSpan w:val="11"/>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ACOF Investment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19"/>
          <w:szCs w:val="19"/>
          <w:u w:val="single" w:color="auto"/>
          <w:color w:val="0000EE"/>
        </w:rPr>
      </w:pPr>
      <w:hyperlink r:id="rId16">
        <w:r>
          <w:rPr>
            <w:rFonts w:ascii="Arial" w:cs="Arial" w:eastAsia="Arial" w:hAnsi="Arial"/>
            <w:sz w:val="19"/>
            <w:szCs w:val="19"/>
            <w:u w:val="single" w:color="auto"/>
            <w:color w:val="0000EE"/>
          </w:rPr>
          <w:t>ASSF Operating Manager IV, L.P.</w:t>
        </w:r>
      </w:hyperlink>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tcBorders>
              <w:bottom w:val="single" w:sz="8" w:color="0000EE"/>
            </w:tcBorders>
            <w:gridSpan w:val="6"/>
          </w:tcPr>
          <w:p>
            <w:pPr>
              <w:spacing w:after="0" w:line="221" w:lineRule="exact"/>
              <w:rPr>
                <w:rFonts w:ascii="Arial" w:cs="Arial" w:eastAsia="Arial" w:hAnsi="Arial"/>
                <w:sz w:val="21"/>
                <w:szCs w:val="21"/>
                <w:color w:val="0000EE"/>
                <w:w w:val="91"/>
              </w:rPr>
            </w:pPr>
            <w:hyperlink r:id="rId18">
              <w:r>
                <w:rPr>
                  <w:rFonts w:ascii="Arial" w:cs="Arial" w:eastAsia="Arial" w:hAnsi="Arial"/>
                  <w:sz w:val="21"/>
                  <w:szCs w:val="21"/>
                  <w:color w:val="0000EE"/>
                  <w:w w:val="91"/>
                </w:rPr>
                <w:t>Ares Management Holdings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Holdco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Corp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Management GP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800" w:type="dxa"/>
            <w:vAlign w:val="bottom"/>
            <w:gridSpan w:val="6"/>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Voting LLC</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800" w:type="dxa"/>
            <w:vAlign w:val="bottom"/>
            <w:gridSpan w:val="6"/>
          </w:tcPr>
          <w:p>
            <w:pPr>
              <w:spacing w:after="0"/>
              <w:rPr>
                <w:sz w:val="20"/>
                <w:szCs w:val="20"/>
                <w:color w:val="auto"/>
              </w:rPr>
            </w:pPr>
            <w:r>
              <w:rPr>
                <w:rFonts w:ascii="Arial" w:cs="Arial" w:eastAsia="Arial" w:hAnsi="Arial"/>
                <w:sz w:val="17"/>
                <w:szCs w:val="17"/>
                <w:color w:val="0000FF"/>
              </w:rPr>
              <w:t>2000 AVENUE OF THE STARS,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520" w:type="dxa"/>
            <w:vAlign w:val="bottom"/>
            <w:gridSpan w:val="5"/>
          </w:tcPr>
          <w:p>
            <w:pPr>
              <w:ind w:left="120"/>
              <w:spacing w:after="0"/>
              <w:rPr>
                <w:sz w:val="20"/>
                <w:szCs w:val="20"/>
                <w:color w:val="auto"/>
              </w:rPr>
            </w:pPr>
            <w:r>
              <w:rPr>
                <w:rFonts w:ascii="Arial" w:cs="Arial" w:eastAsia="Arial" w:hAnsi="Arial"/>
                <w:sz w:val="17"/>
                <w:szCs w:val="17"/>
                <w:color w:val="0000FF"/>
              </w:rPr>
              <w:t>CA</w:t>
            </w:r>
          </w:p>
        </w:tc>
        <w:tc>
          <w:tcPr>
            <w:tcW w:w="1360" w:type="dxa"/>
            <w:vAlign w:val="bottom"/>
          </w:tcPr>
          <w:p>
            <w:pPr>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5"/>
          </w:tcPr>
          <w:p>
            <w:pPr>
              <w:ind w:left="12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65" w:orient="portrait"/>
          <w:cols w:equalWidth="0" w:num="1">
            <w:col w:w="9979"/>
          </w:cols>
          <w:pgMar w:left="480" w:top="140" w:right="1440" w:bottom="0" w:gutter="0" w:footer="0" w:header="0"/>
        </w:sectPr>
      </w:pPr>
    </w:p>
    <w:p>
      <w:pPr>
        <w:ind w:left="100"/>
        <w:spacing w:after="0"/>
        <w:rPr>
          <w:rFonts w:ascii="Arial" w:cs="Arial" w:eastAsia="Arial" w:hAnsi="Arial"/>
          <w:sz w:val="19"/>
          <w:szCs w:val="19"/>
          <w:u w:val="single" w:color="auto"/>
          <w:color w:val="0000EE"/>
        </w:rPr>
      </w:pPr>
      <w:hyperlink r:id="rId23">
        <w:r>
          <w:rPr>
            <w:rFonts w:ascii="Arial" w:cs="Arial" w:eastAsia="Arial" w:hAnsi="Arial"/>
            <w:sz w:val="19"/>
            <w:szCs w:val="19"/>
            <w:u w:val="single" w:color="auto"/>
            <w:color w:val="0000EE"/>
          </w:rPr>
          <w:t>Ares Partners Holdco LLC</w:t>
        </w:r>
      </w:hyperlink>
    </w:p>
    <w:p>
      <w:pPr>
        <w:sectPr>
          <w:pgSz w:w="11900" w:h="16865" w:orient="portrait"/>
          <w:cols w:equalWidth="0" w:num="1">
            <w:col w:w="9979"/>
          </w:cols>
          <w:pgMar w:left="480" w:top="140" w:right="1440" w:bottom="0" w:gutter="0" w:footer="0" w:header="0"/>
          <w:type w:val="continuous"/>
        </w:sectPr>
      </w:pPr>
    </w:p>
    <w:bookmarkStart w:id="2" w:name="page3"/>
    <w:bookmarkEnd w:id="2"/>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120"/>
              <w:spacing w:after="0"/>
              <w:rPr>
                <w:sz w:val="20"/>
                <w:szCs w:val="20"/>
                <w:color w:val="auto"/>
              </w:rPr>
            </w:pPr>
            <w:r>
              <w:rPr>
                <w:rFonts w:ascii="Arial" w:cs="Arial" w:eastAsia="Arial" w:hAnsi="Arial"/>
                <w:sz w:val="13"/>
                <w:szCs w:val="13"/>
                <w:color w:val="auto"/>
              </w:rPr>
              <w:t>(First)</w:t>
            </w:r>
          </w:p>
        </w:tc>
        <w:tc>
          <w:tcPr>
            <w:tcW w:w="1580" w:type="dxa"/>
            <w:vAlign w:val="bottom"/>
          </w:tcPr>
          <w:p>
            <w:pPr>
              <w:ind w:left="2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17"/>
                <w:szCs w:val="17"/>
                <w:color w:val="0000FF"/>
              </w:rPr>
              <w:t>2000 AVENUE OF THE STARS,</w:t>
            </w:r>
          </w:p>
        </w:tc>
        <w:tc>
          <w:tcPr>
            <w:tcW w:w="15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12TH FLOOR</w:t>
            </w:r>
          </w:p>
        </w:tc>
        <w:tc>
          <w:tcPr>
            <w:tcW w:w="13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267"/>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tcPr>
          <w:p>
            <w:pPr>
              <w:ind w:left="120"/>
              <w:spacing w:after="0"/>
              <w:rPr>
                <w:sz w:val="20"/>
                <w:szCs w:val="20"/>
                <w:color w:val="auto"/>
              </w:rPr>
            </w:pPr>
            <w:r>
              <w:rPr>
                <w:rFonts w:ascii="Arial" w:cs="Arial" w:eastAsia="Arial" w:hAnsi="Arial"/>
                <w:sz w:val="17"/>
                <w:szCs w:val="17"/>
                <w:color w:val="0000FF"/>
              </w:rPr>
              <w:t>CA</w:t>
            </w:r>
          </w:p>
        </w:tc>
        <w:tc>
          <w:tcPr>
            <w:tcW w:w="1580" w:type="dxa"/>
            <w:vAlign w:val="bottom"/>
          </w:tcPr>
          <w:p>
            <w:pPr>
              <w:ind w:left="22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120"/>
              <w:spacing w:after="0"/>
              <w:rPr>
                <w:sz w:val="20"/>
                <w:szCs w:val="20"/>
                <w:color w:val="auto"/>
              </w:rPr>
            </w:pPr>
            <w:r>
              <w:rPr>
                <w:rFonts w:ascii="Arial" w:cs="Arial" w:eastAsia="Arial" w:hAnsi="Arial"/>
                <w:sz w:val="13"/>
                <w:szCs w:val="13"/>
                <w:color w:val="auto"/>
              </w:rPr>
              <w:t>(State)</w:t>
            </w:r>
          </w:p>
        </w:tc>
        <w:tc>
          <w:tcPr>
            <w:tcW w:w="1580" w:type="dxa"/>
            <w:vAlign w:val="bottom"/>
          </w:tcPr>
          <w:p>
            <w:pPr>
              <w:ind w:left="22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45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809240" cy="14509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40" w:hanging="133"/>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right="40" w:firstLine="7"/>
        <w:spacing w:after="0" w:line="243"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14,471,592 shares of Common Stock by reason of the direct or indirect beneficial ownership of such shares as follows: (i) ACOF AIV 1A directly holds 685,452 shares of Common Stock, (ii) ACOF AIV 1B directly holds 2,508,408 shares of Common Stock, (iii) ACOF AIV 2 directly holds 2,555,317 shares of Common Stock, (iv) AEOF AIV A-B directly holds 1,894,861 shares of Common Stock, (v) AEOF AIV C directly holds 804,524 shares of Common Stock, (vi) SSF AIV 1A directly holds 62,175 shares of Common Stock, (vii) SSF AIV 1B directly holds 55,434 shares of Common Stock, (viii) SSF AIV 2 directly holds 90,239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right="16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80"/>
          </w:cols>
          <w:pgMar w:left="500" w:top="432" w:right="519" w:bottom="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017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90170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33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680" w:space="60"/>
            <w:col w:w="2140"/>
          </w:cols>
          <w:pgMar w:left="500" w:top="43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4"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683967" TargetMode="External"/><Relationship Id="rId18" Type="http://schemas.openxmlformats.org/officeDocument/2006/relationships/hyperlink" Target="http://www.sec.gov/cgi-bin/browse-edgar?action=getcompany&amp;CIK=0001536937" TargetMode="External"/><Relationship Id="rId19" Type="http://schemas.openxmlformats.org/officeDocument/2006/relationships/hyperlink" Target="http://www.sec.gov/cgi-bin/browse-edgar?action=getcompany&amp;CIK=0001669983" TargetMode="External"/><Relationship Id="rId20" Type="http://schemas.openxmlformats.org/officeDocument/2006/relationships/hyperlink" Target="http://www.sec.gov/cgi-bin/browse-edgar?action=getcompany&amp;CIK=0001176948" TargetMode="External"/><Relationship Id="rId21" Type="http://schemas.openxmlformats.org/officeDocument/2006/relationships/hyperlink" Target="http://www.sec.gov/cgi-bin/browse-edgar?action=getcompany&amp;CIK=0001620264" TargetMode="External"/><Relationship Id="rId22" Type="http://schemas.openxmlformats.org/officeDocument/2006/relationships/hyperlink" Target="http://www.sec.gov/cgi-bin/browse-edgar?action=getcompany&amp;CIK=0001761656" TargetMode="External"/><Relationship Id="rId23"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2021-06-23T15:52:23Z</dcterms:created>
  <dcterms:modified xsi:type="dcterms:W3CDTF">2021-06-23T15:52:23Z</dcterms:modified>
</cp:coreProperties>
</file>