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CALIFORNIA RESOURCES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World Trade Center, Suite 1500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Long Beach, California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90831</w:t>
      </w:r>
    </w:p>
    <w:p>
      <w:pPr>
        <w:spacing w:after="0" w:line="43"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300" w:space="720"/>
            <w:col w:w="300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217170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right="2020" w:hanging="12"/>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To the extent the information included or incorporated by reference into Item 8.01 below with respect to the results of operations or financial condition of California Resources Corporation (the “Company”) and its subsidiaries relates to or is presented as of or for a completed fiscal period, such information is incorporated into this Item 2.02 by reference herein.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On August 8, 2024, the Company issued a press release announcing the commencement of a proposed private offering of an additional $200 million aggregate principal amount of its 8.250% senior unsecured notes due 2029 (the “Notes”). A copy of the press release is included as Exhibit 99.1 hereto and incorporated herein by reference.</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of the Notes, the Company will provide certain financial and other information with respect to the Company and its subsidiaries to prospective investors in the offering. Excerpts of such information are included as Exhibit 99.2 and Exhibit 99.3 hereto and incorporated herein by reference.</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On August 8, 2024, the Company issued a press release announcing the commencement of a tender offer to purchase for cash up to $200 million aggregate principal amount of the Company’s outstanding 7.125% senior notes due 2026 (the “Tender Offer”). A copy of the press release is included as Exhibit 99.4 hereto and incorporated herein by reference.</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All statements, except for statements of historical fact, made in this Current Report on Form 8-K regarding activities, events or developments the Company expects, believes or anticipates will or may occur in the future, such as statements regarding the proposed offering, the intended use of proceeds, estimated results of future operations and the Tender Offer are forward-looking statements within the meaning of Section 27A of the Securities Act of 1933 and Section 21E of the Securities Exchange Act of 1934, as amended. All forward-looking statements speak only as of the date of this Current Report on Form 8-K.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92"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2023 and its subsequently filed Quarterly Reports on Form 10-Q.</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26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8"/>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gridSpan w:val="3"/>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3"/>
                <w:szCs w:val="23"/>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Press Release, dated August 8 2024, announcing the Notes Offering.</w:t>
            </w: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4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Offering Memorandum Excerpts.</w:t>
            </w:r>
          </w:p>
        </w:tc>
        <w:tc>
          <w:tcPr>
            <w:tcW w:w="2520" w:type="dxa"/>
            <w:vAlign w:val="bottom"/>
            <w:tcBorders>
              <w:top w:val="single" w:sz="8" w:color="0000EE"/>
            </w:tcBorders>
            <w:gridSpan w:val="2"/>
          </w:tcPr>
          <w:p>
            <w:pPr>
              <w:spacing w:after="0"/>
              <w:rPr>
                <w:sz w:val="24"/>
                <w:szCs w:val="24"/>
                <w:color w:val="auto"/>
              </w:rPr>
            </w:pPr>
          </w:p>
        </w:tc>
        <w:tc>
          <w:tcPr>
            <w:tcW w:w="900" w:type="dxa"/>
            <w:vAlign w:val="bottom"/>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440" w:type="dxa"/>
            <w:vAlign w:val="bottom"/>
          </w:tcPr>
          <w:p>
            <w:pPr>
              <w:spacing w:after="0"/>
              <w:rPr>
                <w:sz w:val="24"/>
                <w:szCs w:val="24"/>
                <w:color w:val="auto"/>
              </w:rPr>
            </w:pPr>
          </w:p>
        </w:tc>
        <w:tc>
          <w:tcPr>
            <w:tcW w:w="2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Investor Presentation Excerpts.</w:t>
            </w:r>
          </w:p>
        </w:tc>
        <w:tc>
          <w:tcPr>
            <w:tcW w:w="3580" w:type="dxa"/>
            <w:vAlign w:val="bottom"/>
            <w:gridSpan w:val="4"/>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440" w:type="dxa"/>
            <w:vAlign w:val="bottom"/>
          </w:tcPr>
          <w:p>
            <w:pPr>
              <w:spacing w:after="0"/>
              <w:rPr>
                <w:sz w:val="24"/>
                <w:szCs w:val="24"/>
                <w:color w:val="auto"/>
              </w:rPr>
            </w:pPr>
          </w:p>
        </w:tc>
        <w:tc>
          <w:tcPr>
            <w:tcW w:w="4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dated August 8, 2024, announcing the Tender Offer.</w:t>
            </w:r>
          </w:p>
        </w:tc>
        <w:tc>
          <w:tcPr>
            <w:tcW w:w="1000" w:type="dxa"/>
            <w:vAlign w:val="bottom"/>
            <w:gridSpan w:val="2"/>
          </w:tcPr>
          <w:p>
            <w:pPr>
              <w:spacing w:after="0"/>
              <w:rPr>
                <w:sz w:val="24"/>
                <w:szCs w:val="24"/>
                <w:color w:val="auto"/>
              </w:rPr>
            </w:pPr>
          </w:p>
        </w:tc>
      </w:tr>
      <w:tr>
        <w:trPr>
          <w:trHeight w:val="34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L. Preston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Executive Vice President, Chief Strategy Officer and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8, 2024</w:t>
      </w:r>
    </w:p>
    <w:p>
      <w:pPr>
        <w:sectPr>
          <w:pgSz w:w="11900" w:h="16838" w:orient="portrait"/>
          <w:cols w:equalWidth="0" w:num="1">
            <w:col w:w="10780"/>
          </w:cols>
          <w:pgMar w:left="440" w:top="293" w:right="67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173990</wp:posOffset>
            </wp:positionV>
            <wp:extent cx="163703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8"/>
          <w:szCs w:val="18"/>
          <w:b w:val="1"/>
          <w:bCs w:val="1"/>
          <w:color w:val="auto"/>
        </w:rPr>
        <w:t>NEWS RELEASE</w:t>
      </w:r>
      <w:r>
        <w:rPr>
          <w:sz w:val="20"/>
          <w:szCs w:val="20"/>
          <w:color w:val="auto"/>
        </w:rPr>
        <w:tab/>
      </w: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California Resources Corporation Announces Private Offering of Additional 8.250% Senior Unsecured Notes due 2029</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Long Beach, California, August 8, 2024 – California Resources Corporation (NYSE: CRC) (the “Company”) announced today that, subject to market and other conditions, it intends to offer and sell to eligible purchasers $200 million in aggregate principal amount of its 8.250% senior unsecured notes due 2029 (the “Notes”). The Notes are being offered as additional notes under the indenture dated as of June 5, 2024, as may be supplemented from time to time (the “Indenture”), pursuant to which the Company previously issued $600 million aggregate principal amount of 8.250% Senior Notes (the “Existing Notes”). The Notes will have substantially identical terms, other than the issue date and issue price, as the Existing Notes, and the Notes and the Existing Notes will be treated as a single series of securities under the Indenture and will vote together as a single class. Except with respect to Notes offered pursuant to Regulation S under the Securities Act of 1933, as amended (the “Securities Act”), the Notes will have the same CUSIP and ISIN numbers as, and will be fungible with, the Existing Notes immediately upon issuance.</w:t>
      </w:r>
    </w:p>
    <w:p>
      <w:pPr>
        <w:spacing w:after="0" w:line="19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Concurrently with this offering, the Company commenced a tender offer (the “Tender Offer”) to purchase for cash up to $200 million aggregate principal amount of its 7.125% senior notes due 2026 (the “2026 Notes”). The Tender Offer is made only by and pursuant to the terms of the Offer to Purchase, dated August 8, 2024. The Tender Offer is conditioned on the consummation of this offering, but this offering is not conditioned on the completion of the Tender Offer.</w:t>
      </w:r>
    </w:p>
    <w:p>
      <w:pPr>
        <w:spacing w:after="0" w:line="180"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Company intends to use the net proceeds from this offering, together with cash on hand, (i) to fund the Tender Offer for a portion of its 2026 Notes, including all accrued interest, fees and premiums thereon, (ii) for the reduction of outstanding indebtedness, and (iii) for general corporate purposes.</w:t>
      </w:r>
    </w:p>
    <w:p>
      <w:pPr>
        <w:spacing w:after="0" w:line="14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will be offered only to persons reasonably believed to be qualified institutional buyers in reliance on Rule 144A under the Securities Act and non-U.S. persons in transactions outside the United States in reliance on Regulation S under the Securities Act.</w:t>
      </w:r>
    </w:p>
    <w:p>
      <w:pPr>
        <w:sectPr>
          <w:pgSz w:w="11900" w:h="16838" w:orient="portrait"/>
          <w:cols w:equalWidth="0" w:num="1">
            <w:col w:w="11020"/>
          </w:cols>
          <w:pgMar w:left="440" w:top="117" w:right="43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 Additionally, this press release shall not constitute an offer to purchase or the solicitation of an offer to sell any 2026 Notes in the Tender Offer, nor does it constitute a notice of redemption under the indenture governing the 2026 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 Disclosure</w:t>
      </w:r>
    </w:p>
    <w:p>
      <w:pPr>
        <w:spacing w:after="0" w:line="1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All statements, except for statements of historical fact, made in this release regarding activities, events or developments the Company expects, believes or anticipates will or may occur in the future, such as statements regarding the proposed offering and the intended use of proceeds, including the Tender Offer,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2023 and its subsequently filed Quarterly Reports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California Resources Corporation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California Resources Corporation (CRC)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carbon capture and storage and other emissions-reducing projects.</w:t>
      </w:r>
    </w:p>
    <w:p>
      <w:pPr>
        <w:sectPr>
          <w:pgSz w:w="11900" w:h="16838" w:orient="portrait"/>
          <w:cols w:equalWidth="0" w:num="1">
            <w:col w:w="11000"/>
          </w:cols>
          <w:pgMar w:left="440" w:top="270"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CRC Contacts:</w:t>
            </w:r>
          </w:p>
        </w:tc>
        <w:tc>
          <w:tcPr>
            <w:tcW w:w="242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45"/>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Joanna Park (Investor Relations)</w:t>
            </w:r>
          </w:p>
        </w:tc>
        <w:tc>
          <w:tcPr>
            <w:tcW w:w="2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(818) 661-3731</w:t>
            </w:r>
          </w:p>
        </w:tc>
      </w:tr>
      <w:tr>
        <w:trPr>
          <w:trHeight w:val="283"/>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Joanna.Park@crc.com</w:t>
            </w:r>
          </w:p>
        </w:tc>
        <w:tc>
          <w:tcPr>
            <w:tcW w:w="1980" w:type="dxa"/>
            <w:vAlign w:val="bottom"/>
          </w:tcPr>
          <w:p>
            <w:pPr>
              <w:spacing w:after="0"/>
              <w:rPr>
                <w:sz w:val="24"/>
                <w:szCs w:val="24"/>
                <w:color w:val="auto"/>
              </w:rPr>
            </w:pPr>
          </w:p>
        </w:tc>
        <w:tc>
          <w:tcPr>
            <w:tcW w:w="2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(818) 661-6014</w:t>
            </w:r>
          </w:p>
        </w:tc>
      </w:tr>
      <w:tr>
        <w:trPr>
          <w:trHeight w:val="304"/>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Venn (Media)</w:t>
            </w:r>
          </w:p>
        </w:tc>
        <w:tc>
          <w:tcPr>
            <w:tcW w:w="2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7"/>
              </w:rPr>
              <w:t>Richard.Venn@crc.com</w:t>
            </w:r>
          </w:p>
        </w:tc>
      </w:tr>
      <w:tr>
        <w:trPr>
          <w:trHeight w:val="237"/>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California Resources Corporation</w:t>
            </w:r>
          </w:p>
        </w:tc>
        <w:tc>
          <w:tcPr>
            <w:tcW w:w="60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r>
    </w:tbl>
    <w:p>
      <w:pPr>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Memorandum Excerpts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purposes of this Exhibit: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“Aera Parent” means Aera Parent Predecessor and Aera Parent Successor on an individual basis and collective basis, as the context requires.</w:t>
      </w:r>
    </w:p>
    <w:p>
      <w:pPr>
        <w:spacing w:after="0" w:line="22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“Aera Parent Predecessor” means the combined activity of the Aera Companies in respect of the period prior to the Prior Transaction on February 28, 2023.</w:t>
      </w:r>
    </w:p>
    <w:p>
      <w:pPr>
        <w:spacing w:after="0" w:line="15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“Aera Parent Successor” means (x) the combined activity of GGR Holdings and its consolidated subsidiaries in respect of the period subsequent to the incorporation of GGR Parent on August 31, 2022 through December 28, 2023, and (y) the combined activity of GGR Holdings and its consolidated subsidiaries with respect to the period following December 29,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“GGR Holdings” means Green Gate Holdings,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“GGR Parent” means Green Gate Resources Parent, LLC.</w:t>
      </w:r>
    </w:p>
    <w:p>
      <w:pPr>
        <w:spacing w:after="0" w:line="22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“Prior Transaction” means the transaction, in February 2023, where GGR Holdings indirectly acquired all of the Aera Companies’ outstanding equity interests from the Prior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Owners” means Exxon Mobil Corporation and Shell plc.</w:t>
      </w:r>
    </w:p>
    <w:p>
      <w:pPr>
        <w:spacing w:after="0" w:line="22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“Revolving Credit Facility” means the Credit Agreement, dated as of April 26, 2023, between CRC, Citibank, N.A., as administrative agent, collateral agent, and issuing bank, and the several lenders party thereto, as amended.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Second Quarter Preliminary Operating and Financial Results of Aera Parent</w:t>
      </w:r>
    </w:p>
    <w:p>
      <w:pPr>
        <w:spacing w:after="0" w:line="12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unaudited historical interim condensed consolidated and combined financial statements of Aera Parent as of and for the six months ended June 30, 2024 are not yet available. The following estimates (the “Preliminary Estimates”) are based on Aera Parent’s preliminary operating and financial results for the six months ended June 30, 2024 which, as of the date of this offering memorandum, have not been finalized. The Preliminary Estimates are derived from Aera Parent’s internal records and are based on the most current information available to Aera Parent’s management. The Preliminary Estimates were prepared in a manner substantially consistent with the preparation of Aera Parent’s historical financial results, which may not be comparable to the preparation of CRC’s historical financial results. Neither Aera Parent’s independent accountant, nor any other independent accountant, has reviewed, audited, compiled or performed any procedures in respect of the Preliminary Estimates and, accordingly, does not express any opinion or other form of assurance with respect thereto. The Preliminary Estimates have not been reviewed and have not been audited, and the normal reporting processes with respect to the following preliminary operational and financial results have not been fully completed. During the course of Aera Parent’s and Aera Parent’s independent account’s review process on their operating and financial results for the six months ended June 30, 2024, they may identify items that would require adjustments to the Preliminary Estimates and could affect the final operating and financial results. Any such adjustments could be material.</w:t>
      </w:r>
    </w:p>
    <w:p>
      <w:pPr>
        <w:spacing w:after="0" w:line="19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summary is not intended to be a comprehensive statement of Aera Parent’s unaudited financial results for the six months ended June 30, 2024. The results of operations for an interim period, including the summary preliminary financial results provided below, may not give a true indication of the results to be expected for a full year or any future period. In addition, the Preliminary Estimates set forth below should not be viewed as a substitute for full financial statements prepared in accordance with GAAP.</w:t>
      </w:r>
    </w:p>
    <w:p>
      <w:pPr>
        <w:sectPr>
          <w:pgSz w:w="11900" w:h="16838" w:orient="portrait"/>
          <w:cols w:equalWidth="0" w:num="1">
            <w:col w:w="11020"/>
          </w:cols>
          <w:pgMar w:left="440" w:top="117" w:right="439" w:bottom="1440" w:gutter="0" w:footer="0" w:header="0"/>
        </w:sectPr>
      </w:pPr>
    </w:p>
    <w:bookmarkStart w:id="7" w:name="page8"/>
    <w:bookmarkEnd w:id="7"/>
    <w:tbl>
      <w:tblPr>
        <w:tblLayout w:type="fixed"/>
        <w:tblInd w:w="176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Estimate for the Six</w:t>
            </w:r>
          </w:p>
        </w:tc>
      </w:tr>
      <w:tr>
        <w:trPr>
          <w:trHeight w:val="148"/>
        </w:trPr>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3"/>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Production Data:</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net production (MBoe/d)</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production (Mbo/d)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Financial Data (in millions):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676</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Revolving Credit Facility provides that, upon the issuance of certain unsecured indebtedness, the borrowing base will be automatically decreased by an amount equal to 25% of the aggregate principal amount of such indebtedness so issued. We are currently seeking and expect to receive a waiver of the automatic reduction of the borrowing base under the Revolving Credit Facility that allows for the issuance of the Notes Offered Hereby without such reduction. If obtained, there would be no borrowing base reduction under our Revolving Credit Facility in connection with the issuance of the Notes Offered Hereby.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As of July 31, 2024, we had $96 million of available cash and cash equivalents and no borrowings outstanding under our Revolving Credit Facility.</w:t>
      </w:r>
    </w:p>
    <w:p>
      <w:pPr>
        <w:sectPr>
          <w:pgSz w:w="11900" w:h="16838" w:orient="portrait"/>
          <w:cols w:equalWidth="0" w:num="1">
            <w:col w:w="10900"/>
          </w:cols>
          <w:pgMar w:left="440" w:top="251" w:right="5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Investor Presentation Excerpts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7029450" cy="3951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9450" cy="395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4" w:right="60"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Hedges are based on weighted-average Brent prices per barrel. CRC also entered in natural gas hedges for the purchases of natural gas used in our operations. These can be found in our 2Q24 10-Q. Aera has entered into hedges for the purchase of natural gas that are not included in this table.</w:t>
      </w: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Swaps represents net sold swaps.</w:t>
      </w:r>
    </w:p>
    <w:p>
      <w:pPr>
        <w:spacing w:after="0" w:line="9" w:lineRule="exact"/>
        <w:rPr>
          <w:rFonts w:ascii="Times New Roman" w:cs="Times New Roman" w:eastAsia="Times New Roman" w:hAnsi="Times New Roman"/>
          <w:sz w:val="18"/>
          <w:szCs w:val="18"/>
          <w:color w:val="auto"/>
        </w:rPr>
      </w:pPr>
    </w:p>
    <w:p>
      <w:pPr>
        <w:ind w:left="424" w:right="120"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results presented through 2Q24 do not include settlements related to hedge positions held by Aera. Represents estimated net cash settlement payments for derivative contracts as of July 1, 2024, except 2023, 1Q24 and 2Q24 which are actuals for year ended on December 31, 2023, and the periods ended on June 30, 2024 and March 31, 2024, respectively. Assumes forward commodity prices as of July 1, 2024 and assumes an average Brent price per barrel of oil of $84.71 for the balance of 2024, $80.36 for 2025, $76.38 for 2026, $73.83 for 2027 and $72.77 for 2028.</w:t>
      </w:r>
    </w:p>
    <w:p>
      <w:pPr>
        <w:sectPr>
          <w:pgSz w:w="11900" w:h="16838" w:orient="portrait"/>
          <w:cols w:equalWidth="0" w:num="1">
            <w:col w:w="11024"/>
          </w:cols>
          <w:pgMar w:left="436"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5237480</wp:posOffset>
            </wp:positionH>
            <wp:positionV relativeFrom="paragraph">
              <wp:posOffset>173990</wp:posOffset>
            </wp:positionV>
            <wp:extent cx="1757680"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76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
        <w:spacing w:after="0"/>
        <w:tabs>
          <w:tab w:leader="none" w:pos="7604" w:val="left"/>
        </w:tabs>
        <w:rPr>
          <w:sz w:val="20"/>
          <w:szCs w:val="20"/>
          <w:color w:val="auto"/>
        </w:rPr>
      </w:pPr>
      <w:r>
        <w:rPr>
          <w:rFonts w:ascii="Times New Roman" w:cs="Times New Roman" w:eastAsia="Times New Roman" w:hAnsi="Times New Roman"/>
          <w:sz w:val="18"/>
          <w:szCs w:val="18"/>
          <w:b w:val="1"/>
          <w:bCs w:val="1"/>
          <w:color w:val="auto"/>
        </w:rPr>
        <w:t>NEWS RELEASE</w:t>
      </w:r>
      <w:r>
        <w:rPr>
          <w:sz w:val="20"/>
          <w:szCs w:val="20"/>
          <w:color w:val="auto"/>
        </w:rPr>
        <w:tab/>
      </w:r>
      <w:r>
        <w:rPr>
          <w:rFonts w:ascii="Times New Roman" w:cs="Times New Roman" w:eastAsia="Times New Roman" w:hAnsi="Times New Roman"/>
          <w:sz w:val="17"/>
          <w:szCs w:val="17"/>
          <w:b w:val="1"/>
          <w:bCs w:val="1"/>
          <w:color w:val="auto"/>
        </w:rPr>
        <w:t>For immediate release</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California Resources Corporation Announces Cash Tender Offer for up to $200 Million of its 7.125% Senior Notes due 2026</w:t>
      </w:r>
    </w:p>
    <w:p>
      <w:pPr>
        <w:spacing w:after="0" w:line="229"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Long Beach, California, August 8, 2024 – California Resources Corporation (NYSE: CRC) (the “Company”) announced today the commencement of a cash tender offer (the “Tender Offer”) to purchase up to $200 million aggregate principal amount of its outstanding 7.125% senior notes due 2026 (the “2026 Notes”) upon the terms and conditions described in the Company’s Offer to Purchase, dated August 8, 2024 (as may be amended or supplemented, the “Offer to Purchase”).</w:t>
      </w:r>
    </w:p>
    <w:p>
      <w:pPr>
        <w:spacing w:after="0" w:line="180"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Certain information regarding the 2026 Notes and the U.S. Treasury Reference Security, the Bloomberg reference page and the fixed spread is set forth in the table below.</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Bloomberg</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20" w:type="dxa"/>
            <w:vAlign w:val="bottom"/>
          </w:tcPr>
          <w:p>
            <w:pPr>
              <w:spacing w:after="0"/>
              <w:rPr>
                <w:sz w:val="13"/>
                <w:szCs w:val="13"/>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Early</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CUSIP</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920" w:type="dxa"/>
            <w:vAlign w:val="bottom"/>
            <w:gridSpan w:val="2"/>
            <w:vMerge w:val="continue"/>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Security</w:t>
            </w:r>
          </w:p>
        </w:tc>
        <w:tc>
          <w:tcPr>
            <w:tcW w:w="158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5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ISINs</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Tender</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Tender</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8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Numbers</w:t>
            </w:r>
          </w:p>
        </w:tc>
        <w:tc>
          <w:tcPr>
            <w:tcW w:w="1580" w:type="dxa"/>
            <w:vAlign w:val="bottom"/>
            <w:gridSpan w:val="2"/>
            <w:vMerge w:val="continue"/>
          </w:tcPr>
          <w:p>
            <w:pPr>
              <w:spacing w:after="0"/>
              <w:rPr>
                <w:sz w:val="15"/>
                <w:szCs w:val="15"/>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9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0"/>
              </w:rPr>
              <w:t>Page</w:t>
            </w:r>
            <w:r>
              <w:rPr>
                <w:rFonts w:ascii="Times New Roman" w:cs="Times New Roman" w:eastAsia="Times New Roman" w:hAnsi="Times New Roman"/>
                <w:sz w:val="14"/>
                <w:szCs w:val="14"/>
                <w:color w:val="auto"/>
                <w:w w:val="90"/>
                <w:vertAlign w:val="superscript"/>
              </w:rPr>
              <w:t>(1)</w:t>
            </w:r>
          </w:p>
        </w:tc>
        <w:tc>
          <w:tcPr>
            <w:tcW w:w="8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points)</w:t>
            </w:r>
          </w:p>
        </w:tc>
        <w:tc>
          <w:tcPr>
            <w:tcW w:w="82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4"/>
              </w:rPr>
              <w:t>Premium</w:t>
            </w:r>
            <w:r>
              <w:rPr>
                <w:rFonts w:ascii="Times New Roman" w:cs="Times New Roman" w:eastAsia="Times New Roman" w:hAnsi="Times New Roman"/>
                <w:sz w:val="14"/>
                <w:szCs w:val="14"/>
                <w:color w:val="auto"/>
                <w:w w:val="94"/>
                <w:vertAlign w:val="superscript"/>
              </w:rPr>
              <w:t>(2) (3)</w:t>
            </w:r>
          </w:p>
        </w:tc>
        <w:tc>
          <w:tcPr>
            <w:tcW w:w="0" w:type="dxa"/>
            <w:vAlign w:val="bottom"/>
          </w:tcPr>
          <w:p>
            <w:pPr>
              <w:spacing w:after="0"/>
              <w:rPr>
                <w:sz w:val="1"/>
                <w:szCs w:val="1"/>
                <w:color w:val="auto"/>
              </w:rPr>
            </w:pPr>
          </w:p>
        </w:tc>
      </w:tr>
      <w:tr>
        <w:trPr>
          <w:trHeight w:val="185"/>
        </w:trPr>
        <w:tc>
          <w:tcPr>
            <w:tcW w:w="258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7.125% Senior Notes due 2026</w:t>
            </w:r>
          </w:p>
        </w:tc>
        <w:tc>
          <w:tcPr>
            <w:tcW w:w="62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13057Q</w:t>
            </w:r>
          </w:p>
        </w:tc>
        <w:tc>
          <w:tcPr>
            <w:tcW w:w="1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US13057QAH02</w:t>
            </w: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rPr>
              <w:t>$545,452,000</w:t>
            </w: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rPr>
              <w:t>$200,000,000</w:t>
            </w:r>
          </w:p>
        </w:tc>
        <w:tc>
          <w:tcPr>
            <w:tcW w:w="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97"/>
              <w:spacing w:after="0" w:line="185" w:lineRule="exact"/>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320"/>
              <w:spacing w:after="0" w:line="185" w:lineRule="exact"/>
              <w:rPr>
                <w:sz w:val="20"/>
                <w:szCs w:val="20"/>
                <w:color w:val="auto"/>
              </w:rPr>
            </w:pPr>
            <w:r>
              <w:rPr>
                <w:rFonts w:ascii="Times New Roman" w:cs="Times New Roman" w:eastAsia="Times New Roman" w:hAnsi="Times New Roman"/>
                <w:sz w:val="18"/>
                <w:szCs w:val="18"/>
                <w:color w:val="auto"/>
                <w:w w:val="94"/>
              </w:rPr>
              <w:t>FIT3</w:t>
            </w: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ind w:left="80"/>
              <w:spacing w:after="0" w:line="185" w:lineRule="exact"/>
              <w:rPr>
                <w:sz w:val="20"/>
                <w:szCs w:val="20"/>
                <w:color w:val="auto"/>
              </w:rPr>
            </w:pPr>
            <w:r>
              <w:rPr>
                <w:rFonts w:ascii="Times New Roman" w:cs="Times New Roman" w:eastAsia="Times New Roman" w:hAnsi="Times New Roman"/>
                <w:sz w:val="18"/>
                <w:szCs w:val="18"/>
                <w:color w:val="auto"/>
                <w:w w:val="94"/>
              </w:rPr>
              <w:t>+0 bps</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AH0</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USU1303AAE65</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U.S.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U1303A</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Treasury</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AE6</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due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January 31,</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60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page on Bloomberg from which the Dealer Managers (as defined below) will quote the bid side price of the applicable U.S. Treasury security.</w:t>
      </w: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$1,000 principal amount.</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Early Tender Consideration for Notes tendered and accepted for purchase on or prior to the Early Tender Time.</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Tender Offer Details</w:t>
      </w:r>
    </w:p>
    <w:p>
      <w:pPr>
        <w:spacing w:after="0" w:line="121" w:lineRule="exact"/>
        <w:rPr>
          <w:sz w:val="20"/>
          <w:szCs w:val="20"/>
          <w:color w:val="auto"/>
        </w:rPr>
      </w:pPr>
    </w:p>
    <w:p>
      <w:pPr>
        <w:jc w:val="both"/>
        <w:ind w:left="4" w:right="520"/>
        <w:spacing w:after="0" w:line="266" w:lineRule="auto"/>
        <w:rPr>
          <w:sz w:val="20"/>
          <w:szCs w:val="20"/>
          <w:color w:val="auto"/>
        </w:rPr>
      </w:pPr>
      <w:r>
        <w:rPr>
          <w:rFonts w:ascii="Times New Roman" w:cs="Times New Roman" w:eastAsia="Times New Roman" w:hAnsi="Times New Roman"/>
          <w:sz w:val="18"/>
          <w:szCs w:val="18"/>
          <w:color w:val="auto"/>
        </w:rPr>
        <w:t>Subject to the Maximum Tender Amount, proration (if applicable) and the satisfaction or waiver of the conditions to the Tender Offer, including a financing condition, the Company will accept for purchase on the Early Settlement Date or the Final Settlement Date (each as defined below), as applicable, 2026 Notes validly tendered in the Tender Offer.</w:t>
      </w:r>
    </w:p>
    <w:p>
      <w:pPr>
        <w:spacing w:after="0" w:line="176"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Tender Offer will expire at 5:00 p.m., New York City time, on September 6, 2024, or any other date and time to which the Company extends the Tender Offer (such date and time, as it may be extended, the “Expiration Time”), unless earlier terminated.</w:t>
      </w:r>
    </w:p>
    <w:p>
      <w:pPr>
        <w:spacing w:after="0" w:line="162"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To be eligible to receive the Early Tender Consideration (as defined below), which includes an early tender premium of $30 per $1,000 principal amount of 2026 Notes (the “Early Tender Premium”), holders of 2026 Notes must validly tender their 2026 Notes at or prior to 5:00 p.m., New York City time, on August 21, 2024, unless extended or the Tender Offer is earlier terminated by the Company (such date and time, as it may be extended, the “Early Tender Time”).</w:t>
      </w:r>
    </w:p>
    <w:p>
      <w:pPr>
        <w:sectPr>
          <w:pgSz w:w="11900" w:h="16838" w:orient="portrait"/>
          <w:cols w:equalWidth="0" w:num="1">
            <w:col w:w="11024"/>
          </w:cols>
          <w:pgMar w:left="436" w:top="117" w:right="439" w:bottom="1440" w:gutter="0" w:footer="0" w:header="0"/>
        </w:sectPr>
      </w:pPr>
    </w:p>
    <w:bookmarkStart w:id="10" w:name="page11"/>
    <w:bookmarkEnd w:id="10"/>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Maximum Tender Amount and proration, if applicable, holders of 2026 Notes that validly tender their 2026 Notes after the Early Tender Time but at or prior to the Expiration Time will only be eligible to receive the Late Tender Consideration (as defined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of acceptance and proration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2026 Notes validly tendered at or prior to the Early Tender Time will be accepted for purchase in priority to other 2026 Notes validly tendered after the Early Tender Time. Accordingly, if the Maximum Tender Amount is reached as a result of tenders of 2026 Notes made at or prior to the Early Tender Time, 2026 Notes tendered after the Early Tender Time will not be accepted for purchase (unless the Maximum Tender Amount is increased by the Company, in its sole discretion, subject to applicable law). If the aggregate principal amount of 2026 Notes validly tendered exceeds the Maximum Tender Amount on the applicable settlement date, the amount of 2026 Notes purchased in the Tender Offer will be prorated as set forth in the Offer to Purchase.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and accrued interest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consideration (the “Early Tender Consideration”) offered per $1,000 principal amount of 2026 Notes validly tendered at or prior to the Early Tender Time, and accepted for purchase pursuant to the Tender Offer, will be determined in the manner described in the Offer to Purchase by reference to the fixed spread for the 2026 Notes specified in the table above, plus the yield based on the bid-side price of the U.S. Treasury Reference Security specified in the table above as quoted on the Bloomberg Reference Page specified in the table above, calculated as of 10:00 a.m., New York City time, on August 22, 2024 (the “Price Determination Time”), unless extended or the Tender Offer is earlier terminated by the Company.</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Early Tender Time is the last date and time for holders of 2026 Notes to tender their 2026 Notes in order to be eligible to receive the Early Tender Consideration. Holders of any 2026 Notes that are validly tendered after the Early Tender Time but at or prior to the Expiration Time, and that are accepted for purchase, will receive an amount equal to the Early Tender Consideration minus the Early Tender Premium (the “Late Tender Consideration”).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Early Tender Consideration or the Late Tender Consideration, as applicable, all holders of 2026 Notes accepted for purchase in the Tender Offer will also receive accrued and unpaid interest on such 2026 Notes validly tendered and accepted for purchase from the last interest payment date up to, but not including, the applicable settlement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Except as set forth in the paragraph below, payment for the 2026 Notes that are validly tendered at or prior to the Expiration Time, and that are accepted for purchase, will be made on the date referred to as the “Final Settlement Date.” The Company anticipates that the Final Settlement Date will be September 13, 2024, the fifth business day after the Expiration Time, subject to all conditions to the Tender Offer, including a financing condition, having been satisfied or waived by the Company.</w:t>
      </w:r>
    </w:p>
    <w:p>
      <w:pPr>
        <w:sectPr>
          <w:pgSz w:w="11900" w:h="16838" w:orient="portrait"/>
          <w:cols w:equalWidth="0" w:num="1">
            <w:col w:w="10980"/>
          </w:cols>
          <w:pgMar w:left="440" w:top="270" w:right="479" w:bottom="1440" w:gutter="0" w:footer="0" w:header="0"/>
        </w:sectPr>
      </w:pPr>
    </w:p>
    <w:bookmarkStart w:id="11" w:name="page12"/>
    <w:bookmarkEnd w:id="11"/>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reserves the right, in its sole discretion, to pay for 2026 Notes that are validly tendered at or prior to the Early Tender Time, and that are accepted for purchase, on a date following the Early Tender Time and prior to the Expiration Time (the “Early Settlement Date”). The Company anticipates that the Early Settlement Date will be August 23, 2024, the second business day after the Early Tender Time, subject to all conditions to the Tender Offer, including a financing condition, having been satisfied or waived by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conditions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2026 Notes tendered pursuant to the Tender Offer may be withdrawn at any time at or prior to 5:00 p.m., New York City time, on August 21, 2024, unless extended or the Tender Offer is earlier terminated by the Company (such date and time, as it may be extended, the “Withdrawal Deadline”), but not thereafter.</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After the Withdrawal Deadline, holders of 2026 Notes who have tendered their 2026 Notes may not withdraw their tendered 2026 Notes unless the Company amends the Tender Offer in a manner that is materially adverse to such tendering holders, in which case withdrawal rights may be extended to the extent required by law, or as the Company otherwise determines is appropriate to allow tendering holders of 2026 Notes a reasonable opportunity to respond to such amendment. Additionally, the Company, in its sole discretion, may extend the Withdrawal Deadline for any purpose. 2026 Notes withdrawn prior to the Withdrawal Deadline may be tendered again at or prior to the Expiration Time, in accordance with the procedures set forth in the Offer to Purchase.</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 holder holds their 2026 Notes through a custodian bank, broker, dealer or other nominee, such nominee may have an earlier deadline or deadlines for receiving instructions to participate or withdraw tendered 2026 Notes in the Tender Offer.</w:t>
      </w:r>
    </w:p>
    <w:p>
      <w:pPr>
        <w:spacing w:after="0" w:line="16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Company’s obligation to accept for payment and to pay for the 2026 Notes validly tendered in the Tender Offer is subject to the satisfaction or waiver of a number of conditions described in the Offer to Purchase, including a financing condition. The Tender Offer may be terminated or withdrawn, subject to applicable law. The Company reserves the right, subject to applicable law, to (i) waive any and all conditions to the Tender Offer, (ii) extend or terminate the Tender Offer, (iii) increase or decrease the Maximum Tender Amount, or (iv) otherwise amend the Tender Offer in any respect.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 Managers and Depositary and Information Agent</w:t>
      </w:r>
    </w:p>
    <w:p>
      <w:pPr>
        <w:spacing w:after="0" w:line="12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Company has appointed Jefferies LLC, Citigroup Global Markets Inc. and TD Securities (USA) Inc. as joint dealer managers (the “Dealer Managers”) for the Tender Offer. The Company has retained D.F. King &amp; Co., Inc. as the depositary and information agent for the Tender Offer. For additional information regarding the terms of the Tender Offer, please contact: Jefferies LLC at (888) 708-5831 (toll-free), Citigroup Global Markets Inc. at (800) 558-3745 (toll-free) or (212) 723-6106 (collect), or TD Securities (USA) LLC at (866) 584-2096 (toll-free) or (212) 827-2842 (collect). Requests for documents and questions regarding the tendering of securities may be directed to D.F. King &amp; Co., Inc by telephone at (212) 269-5550 (for banks and brokers only) or (800) 713-9960 (toll-free), by email at CRC@dfking.com or to the Dealer Managers at their respective telephone numbers.</w:t>
      </w:r>
    </w:p>
    <w:p>
      <w:pPr>
        <w:sectPr>
          <w:pgSz w:w="11900" w:h="16838" w:orient="portrait"/>
          <w:cols w:equalWidth="0" w:num="1">
            <w:col w:w="11020"/>
          </w:cols>
          <w:pgMar w:left="440" w:top="270" w:right="4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press release shall not constitute, or form part of, an offer to sell, a solicitation to buy or an offer to purchase or sell any securities. The Tender Offer is being made only pursuant to the Offer to Purchase and only in such jurisdictions as is permitted under applicable law.</w:t>
      </w:r>
    </w:p>
    <w:p>
      <w:pPr>
        <w:spacing w:after="0" w:line="16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From time to time after completion of the Tender Offer, the Company or its affiliates may purchase additional 2026 Notes in the open market, in privately negotiated transactions, through tender or exchange offers or otherwise, or the Company may redeem 2026 Notes pursuant to their terms. Any future purchases may be on the same terms or on terms that are more or less favorable to holders of the 2026 Notes than the terms of the Tender Offer.</w:t>
      </w:r>
    </w:p>
    <w:p>
      <w:pPr>
        <w:spacing w:after="0" w:line="1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press release is neither an offer to purchase nor a solicitation of an offer to sell any 2026 Notes in the Tender Offer and does not constitute a notice of redemption for the 2026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California Resources Corporation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California Resources Corporation (CRC)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carbon capture and storage and other emissions-reducing projects.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All statements, except for statements of historical fact, made in this release regarding activities, events or developments the Company expects, believes or anticipates will or may occur in the future, such as statements regarding the Tender Offer,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2023 and its subsequently filed Quarterly Reports on Form 10-Q.</w:t>
      </w:r>
    </w:p>
    <w:p>
      <w:pPr>
        <w:sectPr>
          <w:pgSz w:w="11900" w:h="16838" w:orient="portrait"/>
          <w:cols w:equalWidth="0" w:num="1">
            <w:col w:w="11020"/>
          </w:cols>
          <w:pgMar w:left="440" w:top="270" w:right="43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Joanna Park (Investor Relations)</w:t>
      </w:r>
    </w:p>
    <w:p>
      <w:pPr>
        <w:spacing w:after="0" w:line="27" w:lineRule="exact"/>
        <w:rPr>
          <w:sz w:val="20"/>
          <w:szCs w:val="20"/>
          <w:color w:val="auto"/>
        </w:rPr>
      </w:pPr>
    </w:p>
    <w:p>
      <w:pPr>
        <w:ind w:left="4" w:right="8399" w:hanging="4"/>
        <w:spacing w:after="0" w:line="260" w:lineRule="auto"/>
        <w:tabs>
          <w:tab w:leader="none" w:pos="43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661-3731 Joanna.Park@crc.com</w:t>
      </w:r>
    </w:p>
    <w:p>
      <w:pPr>
        <w:spacing w:after="0" w:line="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Richard Venn (Media)</w:t>
      </w:r>
    </w:p>
    <w:p>
      <w:pPr>
        <w:spacing w:after="0" w:line="27" w:lineRule="exact"/>
        <w:rPr>
          <w:sz w:val="20"/>
          <w:szCs w:val="20"/>
          <w:color w:val="auto"/>
        </w:rPr>
      </w:pPr>
    </w:p>
    <w:p>
      <w:pPr>
        <w:ind w:left="4" w:right="8299" w:hanging="4"/>
        <w:spacing w:after="0" w:line="290" w:lineRule="auto"/>
        <w:tabs>
          <w:tab w:leader="none" w:pos="43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661-6014 Richard.Venn@crc.com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Source: California Resources Corporation</w:t>
      </w:r>
    </w:p>
    <w:sectPr>
      <w:pgSz w:w="11900" w:h="16838" w:orient="portrait"/>
      <w:cols w:equalWidth="0" w:num="1">
        <w:col w:w="10023"/>
      </w:cols>
      <w:pgMar w:left="436"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818"/>
    </w:lvl>
  </w:abstractNum>
  <w:abstractNum w:abstractNumId="4">
    <w:nsid w:val="46E87CCD"/>
    <w:multiLevelType w:val="hybridMultilevel"/>
    <w:lvl w:ilvl="0">
      <w:lvlJc w:val="left"/>
      <w:lvlText w:val="(%1)"/>
      <w:numFmt w:val="decimal"/>
      <w:start w:val="81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2024-08-08T08:13:48Z</dcterms:created>
  <dcterms:modified xsi:type="dcterms:W3CDTF">2024-08-08T08:13:48Z</dcterms:modified>
</cp:coreProperties>
</file>