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01/20/2022</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3260" w:type="dxa"/>
            <w:vAlign w:val="bottom"/>
            <w:tcBorders>
              <w:bottom w:val="single" w:sz="8" w:color="2C2C2C"/>
            </w:tcBorders>
            <w:gridSpan w:val="6"/>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2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01/20/2022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175,000</w:t>
            </w:r>
            <w:r>
              <w:rPr>
                <w:rFonts w:ascii="Arial" w:cs="Arial" w:eastAsia="Arial" w:hAnsi="Arial"/>
                <w:sz w:val="11"/>
                <w:szCs w:val="11"/>
                <w:color w:val="008000"/>
                <w:w w:val="82"/>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44.2993</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9,263,968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01/21/2022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80"/>
              <w:spacing w:after="0" w:line="320" w:lineRule="exact"/>
              <w:rPr>
                <w:sz w:val="20"/>
                <w:szCs w:val="20"/>
                <w:color w:val="auto"/>
              </w:rPr>
            </w:pPr>
            <w:r>
              <w:rPr>
                <w:rFonts w:ascii="Arial" w:cs="Arial" w:eastAsia="Arial" w:hAnsi="Arial"/>
                <w:sz w:val="34"/>
                <w:szCs w:val="34"/>
                <w:color w:val="0000FF"/>
                <w:w w:val="90"/>
                <w:vertAlign w:val="subscript"/>
              </w:rPr>
              <w:t>7,905</w:t>
            </w:r>
            <w:r>
              <w:rPr>
                <w:rFonts w:ascii="Arial" w:cs="Arial" w:eastAsia="Arial" w:hAnsi="Arial"/>
                <w:sz w:val="11"/>
                <w:szCs w:val="11"/>
                <w:color w:val="008000"/>
                <w:w w:val="90"/>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42.6443</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9,256,063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7"/>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7585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58571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6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9,256,063 shares of Common Stock by reason of the direct or indirect beneficial ownership of such shares as follows: (i) ACOF AIV 1A directly holds 514,490 shares of Common Stock, (ii) ACOF AIV 1B directly holds 1,882,776 shares of Common Stock, (iii) ACOF AIV 2 directly holds 1,917,999 shares of Common Stock, (iv) AEOF AIV A-B directly holds 1,894,861 shares of Common Stock, (v) AEOF AIV C directly holds 804,524 shares of Common Stock and (vi) AF Energy Feeder, L.P. directly holds 2,241,413 shares of Common Stock.</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20"/>
          </w:cols>
          <w:pgMar w:left="480" w:top="131" w:right="49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920"/>
          </w:cols>
          <w:pgMar w:left="480" w:top="131" w:right="49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2022-01-24T15:05:09Z</dcterms:created>
  <dcterms:modified xsi:type="dcterms:W3CDTF">2022-01-24T15:05:09Z</dcterms:modified>
</cp:coreProperties>
</file>