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5486ds3asr.htm"/>
        <w:bookmarkStart w:id="1" w:name="ksd785486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5,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40"/>
        </w:rPr>
      </w:pPr>
      <w:r>
        <w:rPr>
          <w:rFonts w:ascii="Times New Roman" w:hAnsi="Times New Roman"/>
          <w:b/>
          <w:sz w:val="40"/>
        </w:rPr>
        <w:t xml:space="preserve">CALIFORNIA RESOURCES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46-5670947</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No.)</w:t>
            </w:r>
          </w:p>
        </w:tc>
      </w:tr>
    </w:tbl>
    <w:p>
      <w:pPr>
        <w:pStyle w:val="TextBody"/>
        <w:bidi w:val="0"/>
        <w:spacing w:before="40" w:after="0"/>
        <w:jc w:val="center"/>
        <w:rPr>
          <w:rFonts w:ascii="Times New Roman" w:hAnsi="Times New Roman"/>
          <w:b/>
          <w:sz w:val="18"/>
        </w:rPr>
      </w:pPr>
      <w:r>
        <w:rPr>
          <w:rFonts w:ascii="Times New Roman" w:hAnsi="Times New Roman"/>
          <w:b/>
          <w:sz w:val="18"/>
        </w:rPr>
        <w:t xml:space="preserve">1 World Trade Center, Suite 1500 </w:t>
      </w:r>
    </w:p>
    <w:p>
      <w:pPr>
        <w:pStyle w:val="TextBody"/>
        <w:bidi w:val="0"/>
        <w:spacing w:before="0" w:after="0"/>
        <w:jc w:val="center"/>
        <w:rPr>
          <w:rFonts w:ascii="Times New Roman" w:hAnsi="Times New Roman"/>
          <w:b/>
          <w:sz w:val="18"/>
        </w:rPr>
      </w:pPr>
      <w:r>
        <w:rPr>
          <w:rFonts w:ascii="Times New Roman" w:hAnsi="Times New Roman"/>
          <w:b/>
          <w:sz w:val="18"/>
        </w:rPr>
        <w:t xml:space="preserve">Long Beach, California 90831 </w:t>
      </w:r>
    </w:p>
    <w:p>
      <w:pPr>
        <w:pStyle w:val="TextBody"/>
        <w:bidi w:val="0"/>
        <w:spacing w:before="0" w:after="0"/>
        <w:jc w:val="center"/>
        <w:rPr>
          <w:rFonts w:ascii="Times New Roman" w:hAnsi="Times New Roman"/>
          <w:b/>
          <w:sz w:val="18"/>
        </w:rPr>
      </w:pPr>
      <w:r>
        <w:rPr>
          <w:rFonts w:ascii="Times New Roman" w:hAnsi="Times New Roman"/>
          <w:b/>
          <w:sz w:val="18"/>
        </w:rPr>
        <w:t xml:space="preserve">(888) 848-4754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Michael L. Preston </w:t>
      </w:r>
    </w:p>
    <w:p>
      <w:pPr>
        <w:pStyle w:val="TextBody"/>
        <w:bidi w:val="0"/>
        <w:spacing w:before="0" w:after="0"/>
        <w:jc w:val="center"/>
        <w:rPr>
          <w:rFonts w:ascii="Times New Roman" w:hAnsi="Times New Roman"/>
          <w:b/>
          <w:sz w:val="18"/>
        </w:rPr>
      </w:pPr>
      <w:r>
        <w:rPr>
          <w:rFonts w:ascii="Times New Roman" w:hAnsi="Times New Roman"/>
          <w:b/>
          <w:sz w:val="18"/>
        </w:rPr>
        <w:t xml:space="preserve">Executive Vice President, Chief Strategy Officer and General Counsel </w:t>
      </w:r>
    </w:p>
    <w:p>
      <w:pPr>
        <w:pStyle w:val="TextBody"/>
        <w:bidi w:val="0"/>
        <w:spacing w:before="0" w:after="0"/>
        <w:jc w:val="center"/>
        <w:rPr>
          <w:rFonts w:ascii="Times New Roman" w:hAnsi="Times New Roman"/>
          <w:b/>
          <w:sz w:val="18"/>
        </w:rPr>
      </w:pPr>
      <w:r>
        <w:rPr>
          <w:rFonts w:ascii="Times New Roman" w:hAnsi="Times New Roman"/>
          <w:b/>
          <w:sz w:val="18"/>
        </w:rPr>
        <w:t xml:space="preserve">California Resources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1 World Trade Center, Suite 1500 </w:t>
      </w:r>
    </w:p>
    <w:p>
      <w:pPr>
        <w:pStyle w:val="TextBody"/>
        <w:bidi w:val="0"/>
        <w:spacing w:before="0" w:after="0"/>
        <w:jc w:val="center"/>
        <w:rPr>
          <w:rFonts w:ascii="Times New Roman" w:hAnsi="Times New Roman"/>
          <w:b/>
          <w:sz w:val="18"/>
        </w:rPr>
      </w:pPr>
      <w:r>
        <w:rPr>
          <w:rFonts w:ascii="Times New Roman" w:hAnsi="Times New Roman"/>
          <w:b/>
          <w:sz w:val="18"/>
        </w:rPr>
        <w:t xml:space="preserve">Long Beach, California 90831 </w:t>
      </w:r>
    </w:p>
    <w:p>
      <w:pPr>
        <w:pStyle w:val="TextBody"/>
        <w:bidi w:val="0"/>
        <w:spacing w:before="0" w:after="0"/>
        <w:jc w:val="center"/>
        <w:rPr>
          <w:rFonts w:ascii="Times New Roman" w:hAnsi="Times New Roman"/>
          <w:b/>
          <w:sz w:val="18"/>
        </w:rPr>
      </w:pPr>
      <w:r>
        <w:rPr>
          <w:rFonts w:ascii="Times New Roman" w:hAnsi="Times New Roman"/>
          <w:b/>
          <w:sz w:val="18"/>
        </w:rPr>
        <w:t xml:space="preserve">(888) 848-4754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40" w:after="0"/>
        <w:jc w:val="center"/>
        <w:rPr>
          <w:rFonts w:ascii="Times New Roman" w:hAnsi="Times New Roman"/>
          <w:b/>
          <w:sz w:val="18"/>
        </w:rPr>
      </w:pPr>
      <w:r>
        <w:rPr>
          <w:rFonts w:ascii="Times New Roman" w:hAnsi="Times New Roman"/>
          <w:b/>
          <w:sz w:val="18"/>
        </w:rPr>
        <w:t xml:space="preserve">Sarah K. Morgan </w:t>
      </w:r>
    </w:p>
    <w:p>
      <w:pPr>
        <w:pStyle w:val="TextBody"/>
        <w:bidi w:val="0"/>
        <w:spacing w:before="0" w:after="0"/>
        <w:jc w:val="center"/>
        <w:rPr>
          <w:rFonts w:ascii="Times New Roman" w:hAnsi="Times New Roman"/>
          <w:b/>
          <w:sz w:val="18"/>
        </w:rPr>
      </w:pPr>
      <w:r>
        <w:rPr>
          <w:rFonts w:ascii="Times New Roman" w:hAnsi="Times New Roman"/>
          <w:b/>
          <w:sz w:val="18"/>
        </w:rPr>
        <w:t xml:space="preserve">Scott D. Rubinsky </w:t>
      </w:r>
    </w:p>
    <w:p>
      <w:pPr>
        <w:pStyle w:val="TextBody"/>
        <w:bidi w:val="0"/>
        <w:spacing w:before="0" w:after="0"/>
        <w:jc w:val="center"/>
        <w:rPr>
          <w:rFonts w:ascii="Times New Roman" w:hAnsi="Times New Roman"/>
          <w:b/>
          <w:sz w:val="18"/>
        </w:rPr>
      </w:pPr>
      <w:r>
        <w:rPr>
          <w:rFonts w:ascii="Times New Roman" w:hAnsi="Times New Roman"/>
          <w:b/>
          <w:sz w:val="18"/>
        </w:rPr>
        <w:t xml:space="preserve">Vinson &amp; Elkins L.L.P. </w:t>
      </w:r>
    </w:p>
    <w:p>
      <w:pPr>
        <w:pStyle w:val="TextBody"/>
        <w:bidi w:val="0"/>
        <w:spacing w:before="0" w:after="0"/>
        <w:jc w:val="center"/>
        <w:rPr>
          <w:rFonts w:ascii="Times New Roman" w:hAnsi="Times New Roman"/>
          <w:b/>
          <w:sz w:val="18"/>
        </w:rPr>
      </w:pPr>
      <w:r>
        <w:rPr>
          <w:rFonts w:ascii="Times New Roman" w:hAnsi="Times New Roman"/>
          <w:b/>
          <w:sz w:val="18"/>
        </w:rPr>
        <w:t xml:space="preserve">845 Texas Avenue, Suite 4700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77002 </w:t>
      </w:r>
    </w:p>
    <w:p>
      <w:pPr>
        <w:pStyle w:val="TextBody"/>
        <w:bidi w:val="0"/>
        <w:spacing w:before="0" w:after="0"/>
        <w:jc w:val="center"/>
        <w:rPr>
          <w:rFonts w:ascii="Times New Roman" w:hAnsi="Times New Roman"/>
          <w:b/>
          <w:sz w:val="18"/>
        </w:rPr>
      </w:pPr>
      <w:r>
        <w:rPr>
          <w:rFonts w:ascii="Times New Roman" w:hAnsi="Times New Roman"/>
          <w:b/>
          <w:sz w:val="18"/>
        </w:rPr>
        <w:t xml:space="preserve">(713) 758-2222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From time to time after this registration statement becomes effective. </w:t>
      </w:r>
    </w:p>
    <w:p>
      <w:pPr>
        <w:pStyle w:val="TextBody"/>
        <w:bidi w:val="0"/>
        <w:spacing w:before="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0"/>
        </w:rPr>
      </w:pPr>
      <w:r>
        <w:rPr>
          <w:rFonts w:ascii="Times New Roman" w:hAnsi="Times New Roman"/>
          <w:b/>
          <w:sz w:val="40"/>
        </w:rPr>
        <w:t xml:space="preserve">CALIFORNIA RESOURCES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21,315,707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by the selling security holders identified in this prospectus of up to 21,315,707 shares of the common stock, par value $0.01 per share (common stock), of California Resources Corporation (the Company, CRC, we, our or us). We are not selling any common stock and we will not receive any proceeds from the sale of the shares of common stock by the selling security holders. We have paid the fees and expenses incident to the registration of the shares of common stock for sale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Our registration of the shares of common stock covered by this prospectus does not mean that the selling security holders will offer or sell any of the common stock. The selling security holders may sell the common stock covered by this prospectus in a number of different ways and at varying prices. For information on the possible methods of sale that may be used by the selling security holders, you should refer to the section entitled Plan of Distribution beginning on page 23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these 21,315,707 shares of our common stock for sale by the selling stockholders named in the section of this prospectus titled Selling Stockholders pursuant to that certain Registration Rights Agreement (the Registration Rights Agreement), dated July 1, 2024, by and between the Company and each of the seller parties thereto (the Holders) entered into in connection with CRCs business combination (the Aera Merger) with the Aera Companies (as defined below). The shares registered hereby are subject to certain lock up restrictions as set forth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New York Stock Exchange (NYSE) under the symbol CRC. On August 2, 2024, the last reported sale price of our common stock on the NYSE was $47.40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stock involves a high degree of risk. Please read carefully the information under the heading </w:t>
      </w:r>
      <w:hyperlink w:anchor="tx785486_5">
        <w:r>
          <w:rPr>
            <w:rStyle w:val="InternetLink"/>
            <w:rFonts w:ascii="Times New Roman" w:hAnsi="Times New Roman"/>
            <w:b/>
            <w:sz w:val="24"/>
          </w:rPr>
          <w:t>Risk Factors</w:t>
        </w:r>
      </w:hyperlink>
      <w:r>
        <w:rPr>
          <w:rFonts w:ascii="Times New Roman" w:hAnsi="Times New Roman"/>
          <w:b/>
          <w:sz w:val="24"/>
        </w:rPr>
        <w:t xml:space="preserve"> beginning on page 7 of this prospectus and any applicable prospectus supplement and in the documents incorporated by reference in this prospectus and in any prospectus supplement before you make an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prospectus is dated August 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0"/>
              <w:jc w:val="left"/>
              <w:rPr/>
            </w:pPr>
            <w:hyperlink w:anchor="tx78548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2">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3">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4">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6">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7">
              <w:r>
                <w:rPr>
                  <w:rStyle w:val="InternetLink"/>
                  <w:rFonts w:ascii="Times New Roman" w:hAnsi="Times New Roman"/>
                  <w:sz w:val="20"/>
                </w:rPr>
                <w:t>Selling Security 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9">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10">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785486_11">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and any prospectus supplement. We have not, and the selling security holders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8548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the selling security holders may offer and sell, from time to time, up to 21,315,707 shares of our common stock under this shelf registration statement. This prospectus provides you with a general description of the securities the selling security holders may offer. We may provide you with a prospectus supplement containing specific information about the terms of a particular offering by the selling security holders. The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or unless otherwise noted, all references in this prospectus or any accompanying prospectus supplement to CRC, the Company, we, us or our are to California Resources Corporation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785486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and other information with the SEC (File No. 001-36478) pursuant to the Securities Exchange Act of 1934, as amended (the Exchange Act). The SEC maintains a website that contains these and other reports, proxy and information statements and other information regarding registrants that file electronically with the SEC. The address of the SECs website is www.sec.gov. Our filings are also available to the public on our website at www.crc.com, free of charge. Information on our website does not constitute part of this prospectus. You may inspect a copy of the registration statement through the SECs website,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we can disclose important information to you without actually including the specific information in this prospectus by referring to those documents.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filed on </w:t>
            </w:r>
            <w:hyperlink r:id="rId2">
              <w:r>
                <w:rPr>
                  <w:rStyle w:val="InternetLink"/>
                  <w:rFonts w:ascii="Times New Roman" w:hAnsi="Times New Roman"/>
                  <w:sz w:val="20"/>
                </w:rPr>
                <w:t>February 28, 2024</w:t>
              </w:r>
            </w:hyperlink>
            <w:r>
              <w:rPr>
                <w:rFonts w:ascii="Times New Roman" w:hAnsi="Times New Roman"/>
                <w:sz w:val="20"/>
              </w:rPr>
              <w:t xml:space="preserve"> (the 2023 Annual Report), including those portions of our definitive proxy statement on Schedule 14A, filed on </w:t>
            </w:r>
            <w:hyperlink r:id="rId3">
              <w:r>
                <w:rPr>
                  <w:rStyle w:val="InternetLink"/>
                  <w:rFonts w:ascii="Times New Roman" w:hAnsi="Times New Roman"/>
                  <w:sz w:val="20"/>
                </w:rPr>
                <w:t>March 21, 2024</w:t>
              </w:r>
            </w:hyperlink>
            <w:r>
              <w:rPr>
                <w:rFonts w:ascii="Times New Roman" w:hAnsi="Times New Roman"/>
                <w:sz w:val="20"/>
              </w:rPr>
              <w:t xml:space="preserve">,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three months ended March 31, 2024, filed on May 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Forms 8-K filed with the SEC on </w:t>
            </w:r>
            <w:hyperlink r:id="rId5">
              <w:r>
                <w:rPr>
                  <w:rStyle w:val="InternetLink"/>
                  <w:rFonts w:ascii="Times New Roman" w:hAnsi="Times New Roman"/>
                  <w:sz w:val="20"/>
                </w:rPr>
                <w:t>February  9, 2024</w:t>
              </w:r>
            </w:hyperlink>
            <w:r>
              <w:rPr>
                <w:rFonts w:ascii="Times New Roman" w:hAnsi="Times New Roman"/>
                <w:sz w:val="20"/>
              </w:rPr>
              <w:t xml:space="preserve">, </w:t>
            </w:r>
            <w:hyperlink r:id="rId6">
              <w:r>
                <w:rPr>
                  <w:rStyle w:val="InternetLink"/>
                  <w:rFonts w:ascii="Times New Roman" w:hAnsi="Times New Roman"/>
                  <w:sz w:val="20"/>
                </w:rPr>
                <w:t>February  14, 2024</w:t>
              </w:r>
            </w:hyperlink>
            <w:r>
              <w:rPr>
                <w:rFonts w:ascii="Times New Roman" w:hAnsi="Times New Roman"/>
                <w:sz w:val="20"/>
              </w:rPr>
              <w:t xml:space="preserve">, </w:t>
            </w:r>
            <w:hyperlink r:id="rId7">
              <w:r>
                <w:rPr>
                  <w:rStyle w:val="InternetLink"/>
                  <w:rFonts w:ascii="Times New Roman" w:hAnsi="Times New Roman"/>
                  <w:sz w:val="20"/>
                </w:rPr>
                <w:t>March  11, 2024</w:t>
              </w:r>
            </w:hyperlink>
            <w:r>
              <w:rPr>
                <w:rFonts w:ascii="Times New Roman" w:hAnsi="Times New Roman"/>
                <w:sz w:val="20"/>
              </w:rPr>
              <w:t xml:space="preserve">, </w:t>
            </w:r>
            <w:hyperlink r:id="rId8">
              <w:r>
                <w:rPr>
                  <w:rStyle w:val="InternetLink"/>
                  <w:rFonts w:ascii="Times New Roman" w:hAnsi="Times New Roman"/>
                  <w:sz w:val="20"/>
                </w:rPr>
                <w:t>March  26, 2024</w:t>
              </w:r>
            </w:hyperlink>
            <w:r>
              <w:rPr>
                <w:rFonts w:ascii="Times New Roman" w:hAnsi="Times New Roman"/>
                <w:sz w:val="20"/>
              </w:rPr>
              <w:t xml:space="preserve">, </w:t>
            </w:r>
            <w:hyperlink r:id="rId9">
              <w:r>
                <w:rPr>
                  <w:rStyle w:val="InternetLink"/>
                  <w:rFonts w:ascii="Times New Roman" w:hAnsi="Times New Roman"/>
                  <w:sz w:val="20"/>
                </w:rPr>
                <w:t>May  7, 2024</w:t>
              </w:r>
            </w:hyperlink>
            <w:r>
              <w:rPr>
                <w:rFonts w:ascii="Times New Roman" w:hAnsi="Times New Roman"/>
                <w:sz w:val="20"/>
              </w:rPr>
              <w:t xml:space="preserve">, </w:t>
            </w:r>
            <w:hyperlink r:id="rId10">
              <w:r>
                <w:rPr>
                  <w:rStyle w:val="InternetLink"/>
                  <w:rFonts w:ascii="Times New Roman" w:hAnsi="Times New Roman"/>
                  <w:sz w:val="20"/>
                </w:rPr>
                <w:t>May  20, 2024</w:t>
              </w:r>
            </w:hyperlink>
            <w:r>
              <w:rPr>
                <w:rFonts w:ascii="Times New Roman" w:hAnsi="Times New Roman"/>
                <w:sz w:val="20"/>
              </w:rPr>
              <w:t xml:space="preserve">, </w:t>
            </w:r>
            <w:hyperlink r:id="rId11">
              <w:r>
                <w:rPr>
                  <w:rStyle w:val="InternetLink"/>
                  <w:rFonts w:ascii="Times New Roman" w:hAnsi="Times New Roman"/>
                  <w:sz w:val="20"/>
                </w:rPr>
                <w:t>May  21, 2024</w:t>
              </w:r>
            </w:hyperlink>
            <w:r>
              <w:rPr>
                <w:rFonts w:ascii="Times New Roman" w:hAnsi="Times New Roman"/>
                <w:sz w:val="20"/>
              </w:rPr>
              <w:t xml:space="preserve">, </w:t>
            </w:r>
            <w:hyperlink r:id="rId12">
              <w:r>
                <w:rPr>
                  <w:rStyle w:val="InternetLink"/>
                  <w:rFonts w:ascii="Times New Roman" w:hAnsi="Times New Roman"/>
                  <w:sz w:val="20"/>
                </w:rPr>
                <w:t>June  5, 2024</w:t>
              </w:r>
            </w:hyperlink>
            <w:r>
              <w:rPr>
                <w:rFonts w:ascii="Times New Roman" w:hAnsi="Times New Roman"/>
                <w:sz w:val="20"/>
              </w:rPr>
              <w:t xml:space="preserve">, </w:t>
            </w:r>
            <w:hyperlink r:id="rId13">
              <w:r>
                <w:rPr>
                  <w:rStyle w:val="InternetLink"/>
                  <w:rFonts w:ascii="Times New Roman" w:hAnsi="Times New Roman"/>
                  <w:sz w:val="20"/>
                </w:rPr>
                <w:t>June  26, 2024</w:t>
              </w:r>
            </w:hyperlink>
            <w:r>
              <w:rPr>
                <w:rFonts w:ascii="Times New Roman" w:hAnsi="Times New Roman"/>
                <w:sz w:val="20"/>
              </w:rPr>
              <w:t xml:space="preserve"> and </w:t>
            </w:r>
            <w:hyperlink r:id="rId14">
              <w:r>
                <w:rPr>
                  <w:rStyle w:val="InternetLink"/>
                  <w:rFonts w:ascii="Times New Roman" w:hAnsi="Times New Roman"/>
                  <w:sz w:val="20"/>
                </w:rPr>
                <w:t>July 1, 2024</w:t>
              </w:r>
            </w:hyperlink>
            <w:r>
              <w:rPr>
                <w:rFonts w:ascii="Times New Roman" w:hAnsi="Times New Roman"/>
                <w:sz w:val="20"/>
              </w:rPr>
              <w:t xml:space="preserve"> (with respect to each of the foregoing, excluding any information furnished pursuant to Item 2.02 or Item 7.01);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on October  27, 2020, including any amendments or reports filed for the purpose of updating the description, including </w:t>
            </w:r>
            <w:hyperlink r:id="rId16">
              <w:r>
                <w:rPr>
                  <w:rStyle w:val="InternetLink"/>
                  <w:rFonts w:ascii="Times New Roman" w:hAnsi="Times New Roman"/>
                  <w:sz w:val="20"/>
                </w:rPr>
                <w:t>Exhibit 4.1</w:t>
              </w:r>
            </w:hyperlink>
            <w:r>
              <w:rPr>
                <w:rFonts w:ascii="Times New Roman" w:hAnsi="Times New Roman"/>
                <w:sz w:val="20"/>
              </w:rPr>
              <w:t xml:space="preserve"> of the 2023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future filings we make with the SEC pursuant to Section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 </w:t>
      </w:r>
    </w:p>
    <w:p>
      <w:pPr>
        <w:pStyle w:val="TextBody"/>
        <w:bidi w:val="0"/>
        <w:spacing w:before="12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center"/>
        <w:rPr>
          <w:rFonts w:ascii="Times New Roman" w:hAnsi="Times New Roman"/>
          <w:sz w:val="20"/>
        </w:rPr>
      </w:pPr>
      <w:r>
        <w:rPr>
          <w:rFonts w:ascii="Times New Roman" w:hAnsi="Times New Roman"/>
          <w:sz w:val="20"/>
        </w:rPr>
        <w:t xml:space="preserve">Phone: (888) 848-4754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85486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including the documents incorporated by reference herein, includes forward-looking statements within the meaning of Section 27A of the Securities Act of 1933 (the Securities Act)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commodity prices, including supply and demand considerations for our products and services, and the impact of such fluctuations on revenues and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as to production levels and/or pricing by OPEC or U.S. producers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policy, war and political conditions and events, including the military conflicts in Israel, Ukraine and Yemen and the Red Sea;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integrate the business of Aera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or other emissions, (3) the protection of health, safety and the environment, or (4) the transportation, marketing and sale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inflation on future expenses and changes generally in the prices of goods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and our capital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lower-than-expected production or higher-than-expected production decline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estimates of reserves and related future cash flows, including changes arising from our inability to develop such reserves in a timely manner, and any inability to replace such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recoverability of resources and unexpected geologic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trends, including conditions in the worldwide financial, trade and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production-sharing contracts effects on production and operating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available equipment, service or labor price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transportation or storage capacity and the need to shut-in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from operations and competition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from prior or future efforts to reduce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risks and liability under federal, regional, state, provincial, tribal, local and international environmental laws and regulations (including remedial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creditworthiness and performance of our counterparties, including financial institutions, operating partners, carbon capture and storage (CCS) project participants and other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reorganization or restructuring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claim and utilize tax credits or other incentives in connection with our CCS projects and clean energy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contemplated by our energy transition strategies and initiatives, including CCS projects and other renewable energy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maximize the value of our carbon management business and operate it on a stand alone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infrastructure projects and enter into third party contracts on contemplated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around the accounting of emissions and our ability to successfully gather and verify emissions data and other environmental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dividend policy and share repurchase program, and our ability to declare future dividends or repurchase shares under our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financial flexibility due to existing and future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insufficient cash flow to fund our capital plan and other planned investments and return capital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and the terms of credit in commercial banking and capital markets, including our ability to refinance our debt or obtain separate financing for our carbon management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state, federal or international tax rates, including our ability to utilize our net operating loss carryforwards to reduce our income tax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stock price on costs associated with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enter into desirable transactions, including joint ventures, divestitures of oil and natural gas properties and real estate, and acquisitions, and our ability to achieve any expected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due to earthquakes, forest fires, floods, extreme weather events or other natural occurrences, accidents, mechanical failures, power outages, transportation or storage constraints, labor difficulties, cybersecurity breaches or attacks or other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pandemics, epidemics, outbreaks, or other public health events, such as the COVID-19 pandemic;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risk factors discussed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not to place undue reliance on forward-looking statements contained in this prospectus, which speaks only as of the date on which such statement is made, and we undertake no obligation to correct or update any forward-looking statement, whether as a result of new information, future events or otherwise, except as required by applicable law. This prospectus may also contain information from third party sources. This data may involve a number of assumptions and limitations, and we have not independently verified them and do not warrant the accuracy or completeness of such third-party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additional information regarding known material factors that could cause our actual results to differ from projected results please read the risk factors described in the section titled Risk Factors beginning on page 8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85486_4"/>
      <w:bookmarkEnd w:id="6"/>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CCS and other emissions-reducing projects.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 World Trade Center, Suite 1500, Long Beach, California 90831, and our telephone number is (888) 848-4754. Our website address is www.crc.com. Neither our website nor any information contained on our website is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NYSE under the ticker symbol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8548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In addition to the other information included in this prospectus, you should carefully consider each of the risk factors set forth in this prospectus and in our most recent Annual Report on Form 10-K on file with the SEC, any subsequently filed Quarterly Reports on Form 10-Q and any subsequently filed Current Reports on Form 8-K, which are incorporated by reference into this prospectus. Before making an investment decision, you should carefully consider these risks as well as other information we include or incorporate by reference in this prospectus and any prospectus supplement. Any of these risks and uncertainties could have a material adverse effect on our business, financial condition, cash flows and results of operations. If that occurs, the trading price of our common stock could decline materially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may not be able to retain customers and retain and hire key personnel and maintain relationships with their suppliers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our business combination with the Aera Companies (the Aera Merger), the combined company may experience impacts on relationships with customers and suppliers that may harm the combined companys business and results of operations. Certain customers or suppliers may seek to terminate or modify contractual obligations following the Aera Merger whether or not contractual rights are triggered as a result of the Aera Merger. There can be no guarantee that customers and suppliers will remain with or continue to have a relationship with the combined company or do so on the same or similar contractual terms following the Aera Merger. If any customers or suppliers seek to terminate or modify contractual obligations or discontinue their relationships with the combined company, then the combined companys business and results of operations may be harmed. In addition, third parties with whom CRC or the Aera Companies currently have relationships may terminate or otherwise reduce the scope of their relationship with either party in anticipation of the Aera Merger. Any such disruptions could limit the combined companys ability to achieve the anticipated benefits of the Aera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fail to realize the anticipated benefits of the Aera Merger.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Aera Merger will depend on, among other things, the combined companys ability to combine each of CRCs and the Aera Companies businesses in a manner that realizes anticipated synergies and benefits and meets or exceeds the forecasted stand-alone cost savings anticipated by the combined company. CRC anticipates that the combined company will benefit from significant synergies, based on, among other things, increased scale. If the combined company is not able to successfully achieve these synergies, or the cost to achieve these synergies is greater than expected, then the anticipated benefits of the Aera Merger may not be realized fully or at all or may take longer to realize than expected. </w:t>
      </w:r>
    </w:p>
    <w:p>
      <w:pPr>
        <w:pStyle w:val="TextBody"/>
        <w:bidi w:val="0"/>
        <w:spacing w:before="360" w:after="0"/>
        <w:jc w:val="left"/>
        <w:rPr>
          <w:rFonts w:ascii="Times New Roman" w:hAnsi="Times New Roman"/>
          <w:b/>
          <w:i/>
          <w:sz w:val="20"/>
        </w:rPr>
      </w:pPr>
      <w:r>
        <w:rPr>
          <w:rFonts w:ascii="Times New Roman" w:hAnsi="Times New Roman"/>
          <w:b/>
          <w:i/>
          <w:sz w:val="20"/>
        </w:rPr>
        <w:t>The failure to successfully integrate the businesses and operations of CRC and the Aera Companies in the expected time frame may adversely affect the combined companys future results.</w:t>
      </w:r>
    </w:p>
    <w:p>
      <w:pPr>
        <w:pStyle w:val="TextBody"/>
        <w:bidi w:val="0"/>
        <w:spacing w:before="120" w:after="0"/>
        <w:jc w:val="left"/>
        <w:rPr>
          <w:rFonts w:ascii="Times New Roman" w:hAnsi="Times New Roman"/>
          <w:sz w:val="20"/>
        </w:rPr>
      </w:pPr>
      <w:r>
        <w:rPr>
          <w:rFonts w:ascii="Times New Roman" w:hAnsi="Times New Roman"/>
          <w:sz w:val="20"/>
        </w:rPr>
        <w:t xml:space="preserve">CRC and the Aera Companies have previously operated independently; however, their respective businesses may not be integrated successfully. It is possible that the integration process could result in the loss of customers, distributors, suppliers, vendors, landlords, joint venture partners or other business partners, the disruption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companys or both companies ongoing businesses, inconsistencies in standards, controls, procedures and policies, potential unknown liabilities and unforeseen expenses, delays, or regulatory conditions following completion of the Aera Merger or higher than expected integration costs and an overall post-completion integration process that takes longer than originally anticipated. Specifically, the following issues, among others, must be addressed in integrating the operations of CRC and the Aera Companies in order to realize the anticipated benefits of the Aera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companies operations and corporate functions and the resulting difficulties associated with managing a larger, more complex, integrated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businesses of CRC and the Aera Companies in a manner that permits the combined company to achieve any cost savings or operating synergies anticipated to result from the Aera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additional and unforeseen expenses such that integration costs are not more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avoiding delays in connection with the integration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minimizing 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eliminating redundant functions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existing agreements with customers, distributors, suppliers, vendors, landlords, joint venture partners or other business partners and avoiding delays in entering into new agreements with prospective customers, providers and vendors or business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consolidating the companies operating, administrative and information technology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at times the attention of certain members of either companys or both companies management and resources may be focused on the integration of the businesses of the two companies and diverted from day-to-day business operations or other opportunities that may have been beneficial to such company, which may disrupt the business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CRC accounted for the Aera Merger as an acquisition of a business in accordance with United States generally accepted accounting principles. Under the acquisition method of accounting, the assets and liabilities of the Aera Companies and their consolidated subsidiaries were recorded, as of the date of completion, at their respective fair values and added to CRCs. The combined companys reported financial condition and results of operations for periods after completion of the Aera Merger will reflect CRCs balances and results after completion of the Aera Merger but will not be restated retroactively to reflect the historical financial position or results of operations of the Aera Companies and their consolidated subsidiaries for periods prior to the Aera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is allocated to the Aera Companies and their consolidated subsidiaries identifiable tangible and intangible assets acquired and liabilities assumed based on their respective fair market values as of the date of completion of the Aera Merger, with any excess purchase price allocated to goodwill. To the extent the value of goodwill or intangibles, if any, becomes impaired in the future, CRC may be required to incur material non-cash charges relating to such impairment. The combined companys operating results may be significantly impacted from both the impairment and the underlying trends in the business that triggered the impairment.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As one of the largest California oil producer, the combined company may face increased scrutiny from certain stakeholders. </w:t>
      </w:r>
    </w:p>
    <w:p>
      <w:pPr>
        <w:pStyle w:val="TextBody"/>
        <w:bidi w:val="0"/>
        <w:spacing w:before="120" w:after="0"/>
        <w:jc w:val="left"/>
        <w:rPr>
          <w:rFonts w:ascii="Times New Roman" w:hAnsi="Times New Roman"/>
          <w:sz w:val="20"/>
        </w:rPr>
      </w:pPr>
      <w:r>
        <w:rPr>
          <w:rFonts w:ascii="Times New Roman" w:hAnsi="Times New Roman"/>
          <w:sz w:val="20"/>
        </w:rPr>
        <w:t xml:space="preserve">As one of the largest California oil producer, the combined company may be subject to greater scrutiny from regulators, advocacy groups, and certain institutional investors or investment funds, among others. This may result in additional pressure on the combined companys exploration and production activities; increased costs; unfavorable reputational impacts; and the diversion managements attention and resources; among other adverse impacts. More onerous stakeholder expectations could make it more challenging for the combined company to realize its mission of delivering long-term investment value by safely and responsibly developing its portfolio of energy assets and reducing carbon emissions through its carbon management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78548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will receive all of the net proceeds from the sale of common stock. We will not receive any of the proceeds from the sale of the common stock by the selling security holders. However, pursuant to the Registration Rights Agreement, we are required to pay certain offering fees and expenses in connection with the registration of the selling stockholders shares and to indemnify the selling stockholders against certain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785486_7"/>
      <w:bookmarkEnd w:id="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offering for resale from time to time, in one or more offerings, of 21,315,707 shares of common stock owned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This common stock was obtained by the selling security holders named below pursuant to the Agreement and Plan of Merger (the Merger Agreement), relating to CRCs business combination with Aera Energy, LLC (together with its wholly-owned subsidiaries, Aera) and its operating affiliate Aera Energy Services Company (together with Aera, the Aera Companies).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may from time to time offer and sell pursuant to this prospectus any or all of the common stock they own, but make no representation that any of the common stock will be offered for sale.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security holders and the common stock that the selling security holders may offer and sell from time to time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selling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owned by the selling security holders prior to the sale of the common stock covered by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that may be offered by the selling security holders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owned by the selling security holders following the sale of any common stock covered by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common stock owned by the selling security holders following the sale of any common stock covered by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information with respect to beneficial ownership of the selling security holders has been furnished to us by or on behalf of the selling security holders. We have not sought to verify such information. We believe, based on information supplied by the selling security holders, that except as may otherwise be indicated in the footnotes to the table below, the selling security holders have sole voting and dispositive power with respect to the common stock reported as beneficially owned by them. Because the selling security holders identified in the table may sell some or all of the common stock owned by them which is included in this prospectus, and because there are currently no agreements, arrangements or understandings with respect to the sale of any of the common stock, no estimate can be given as to the number of common stock available for resale hereby that will be held by the selling security holders upon termination of this offering. In addition, the selling security holders may have sold, transferred or otherwise disposed of, or may sell, transfer or otherwise dispose of, at any time and from time to time, the common stock it holds in exempt or non-exempt transactions after the date on which the selling security holders provided the information set forth on the table below. We have, therefore, assumed for the purposes of the following table, that the selling security holders will sell all of the common stock beneficially owned by them that is covered by this prospectus, but will not sell any other shares of our common stock that they may presently own. The percent of beneficial ownership for the selling security holders is based on 89,202,633 shares of our common stock outstanding as of July 31, 2024.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percentages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 of any securities of which that person has a right to acquire beneficial ownership within 60 days. Under these rules, more than one person may be deemed a beneficial owner of the same securities and a person may be deemed a beneficial owner of securities as to which he has no economic interest. Except as otherwise indicated in the footnotes below, each of the beneficial owners has, to our knowledge, sole voting and investment power with respect to the indicated shares of common stock and has not pledged any such shares of common stock as security.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5"/>
        <w:gridCol w:w="195"/>
        <w:gridCol w:w="60"/>
        <w:gridCol w:w="1131"/>
        <w:gridCol w:w="60"/>
        <w:gridCol w:w="216"/>
        <w:gridCol w:w="60"/>
        <w:gridCol w:w="564"/>
        <w:gridCol w:w="277"/>
        <w:gridCol w:w="118"/>
        <w:gridCol w:w="60"/>
        <w:gridCol w:w="1131"/>
        <w:gridCol w:w="60"/>
        <w:gridCol w:w="118"/>
        <w:gridCol w:w="314"/>
        <w:gridCol w:w="749"/>
        <w:gridCol w:w="315"/>
        <w:gridCol w:w="356"/>
        <w:gridCol w:w="315"/>
        <w:gridCol w:w="752"/>
        <w:gridCol w:w="69"/>
      </w:tblGrid>
      <w:tr>
        <w:trPr/>
        <w:tc>
          <w:tcPr>
            <w:tcW w:w="328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2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677" w:type="dxa"/>
            <w:gridSpan w:val="10"/>
            <w:tcBorders>
              <w:bottom w:val="single" w:sz="8" w:space="0" w:color="000000"/>
            </w:tcBorders>
            <w:tcMar>
              <w:bottom w:w="28" w:type="dxa"/>
            </w:tcMar>
            <w:vAlign w:val="bottom"/>
          </w:tcPr>
          <w:p>
            <w:pPr>
              <w:pStyle w:val="TableContents"/>
              <w:bidi w:val="0"/>
              <w:spacing w:before="0" w:after="283"/>
              <w:jc w:val="center"/>
              <w:rPr/>
            </w:pPr>
            <w:r>
              <w:rPr>
                <w:b/>
              </w:rPr>
              <w:t>Shares Beneficially Owned</w:t>
            </w:r>
            <w:r>
              <w:rPr/>
              <w:br/>
            </w:r>
            <w:r>
              <w:rPr>
                <w:b/>
              </w:rPr>
              <w:t>Prior to the Offering</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8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9" w:type="dxa"/>
            <w:tcBorders/>
            <w:vAlign w:val="bottom"/>
          </w:tcPr>
          <w:p>
            <w:pPr>
              <w:pStyle w:val="TableContents"/>
              <w:bidi w:val="0"/>
              <w:spacing w:before="0" w:after="283"/>
              <w:jc w:val="left"/>
              <w:rPr/>
            </w:pPr>
            <w:r>
              <w:rPr/>
              <w:t> </w:t>
            </w:r>
          </w:p>
        </w:tc>
      </w:tr>
      <w:tr>
        <w:trPr/>
        <w:tc>
          <w:tcPr>
            <w:tcW w:w="32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 Holder</w:t>
            </w:r>
          </w:p>
        </w:tc>
        <w:tc>
          <w:tcPr>
            <w:tcW w:w="195"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9" w:type="dxa"/>
            <w:tcBorders/>
            <w:vAlign w:val="bottom"/>
          </w:tcPr>
          <w:p>
            <w:pPr>
              <w:pStyle w:val="TableContents"/>
              <w:bidi w:val="0"/>
              <w:spacing w:before="0" w:after="283"/>
              <w:jc w:val="left"/>
              <w:rPr/>
            </w:pPr>
            <w:r>
              <w:rPr/>
              <w:t> </w:t>
            </w:r>
          </w:p>
        </w:tc>
      </w:tr>
      <w:tr>
        <w:trPr/>
        <w:tc>
          <w:tcPr>
            <w:tcW w:w="3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CPP Investment Board Private Holdings (6), Inc.(1)</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10,506,895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11.78</w:t>
            </w:r>
          </w:p>
        </w:tc>
        <w:tc>
          <w:tcPr>
            <w:tcW w:w="27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10,506,895</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31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285" w:type="dxa"/>
            <w:tcBorders/>
          </w:tcPr>
          <w:p>
            <w:pPr>
              <w:pStyle w:val="TableContents"/>
              <w:bidi w:val="0"/>
              <w:spacing w:before="0" w:after="0"/>
              <w:jc w:val="left"/>
              <w:rPr>
                <w:rFonts w:ascii="Times New Roman" w:hAnsi="Times New Roman"/>
                <w:sz w:val="20"/>
              </w:rPr>
            </w:pPr>
            <w:r>
              <w:rPr>
                <w:rFonts w:ascii="Times New Roman" w:hAnsi="Times New Roman"/>
                <w:sz w:val="20"/>
              </w:rPr>
              <w:t>IKAV Energy Inc.(2)</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114,504</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114,504</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IKAV Impact S.à.r.l.(3)</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8,371,203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9.38</w:t>
            </w:r>
          </w:p>
        </w:tc>
        <w:tc>
          <w:tcPr>
            <w:tcW w:w="27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8,371,203</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31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285" w:type="dxa"/>
            <w:tcBorders/>
          </w:tcPr>
          <w:p>
            <w:pPr>
              <w:pStyle w:val="TableContents"/>
              <w:bidi w:val="0"/>
              <w:spacing w:before="0" w:after="0"/>
              <w:jc w:val="left"/>
              <w:rPr>
                <w:rFonts w:ascii="Times New Roman" w:hAnsi="Times New Roman"/>
                <w:sz w:val="20"/>
              </w:rPr>
            </w:pPr>
            <w:r>
              <w:rPr>
                <w:rFonts w:ascii="Times New Roman" w:hAnsi="Times New Roman"/>
                <w:sz w:val="20"/>
              </w:rPr>
              <w:t>OakTree Huntington Investment Fund II AIF, L.P.  Class C(4)</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17,717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17,717</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Oaktree Huntington Investment Fund II AIF, L.P.  Class G(4)</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126,959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126,959</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31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285" w:type="dxa"/>
            <w:tcBorders/>
          </w:tcPr>
          <w:p>
            <w:pPr>
              <w:pStyle w:val="TableContents"/>
              <w:bidi w:val="0"/>
              <w:spacing w:before="0" w:after="0"/>
              <w:jc w:val="left"/>
              <w:rPr>
                <w:rFonts w:ascii="Times New Roman" w:hAnsi="Times New Roman"/>
                <w:sz w:val="20"/>
              </w:rPr>
            </w:pPr>
            <w:r>
              <w:rPr>
                <w:rFonts w:ascii="Times New Roman" w:hAnsi="Times New Roman"/>
                <w:sz w:val="20"/>
              </w:rPr>
              <w:t>OCM Aera E Holdings, LLC(4)</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915,288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1.03</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915,288</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OCM Opps Xb AIF Holdings (Delaware), L.P.(4)</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199,734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199,734</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31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285" w:type="dxa"/>
            <w:tcBorders/>
          </w:tcPr>
          <w:p>
            <w:pPr>
              <w:pStyle w:val="TableContents"/>
              <w:bidi w:val="0"/>
              <w:spacing w:before="0" w:after="0"/>
              <w:jc w:val="left"/>
              <w:rPr>
                <w:rFonts w:ascii="Times New Roman" w:hAnsi="Times New Roman"/>
                <w:sz w:val="20"/>
              </w:rPr>
            </w:pPr>
            <w:r>
              <w:rPr>
                <w:rFonts w:ascii="Times New Roman" w:hAnsi="Times New Roman"/>
                <w:sz w:val="20"/>
              </w:rPr>
              <w:t>OCM Opps XI AIV Holdings (Delaware), L.P.(4)</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787,055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787,055</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Simlog Inc.(5)</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276,352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276,352</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31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28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21,315,707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23.90</w:t>
            </w:r>
          </w:p>
        </w:tc>
        <w:tc>
          <w:tcPr>
            <w:tcW w:w="27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21,315,707</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31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 Investment Board Private Holdings (6), Inc. (PHI-6) is the wholly owned subsidiary of CPP Investment Board Private Holdings (5), Inc. (PHI-5), which is the wholly owned subsidiary of Canada Pension Plan Investment Board (CPPIB). As such, each of the foregoing entities may be deemed to share beneficial ownership of the securities held of record by PHI-6 . PHI-6, PHI-5 and CPPIB have shared voting power and shared dispositive power with respect to the shares of common stock. The address of this selling stockholder is 1 Queen Street East, Suite 2500, Toronto, ON M5C 2W5, Canada.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IKAV Energy Inc. is wholly owned by IKAV Energy Holdings LLC, whose majority managing member is IKAV Inc. The shareholders of IKAV Inc. are IKAV Energy Spain, S.L. and Mr. von Wasserschleben. Mr. von Wasserschleben is the sole owner of IKAV Energy Spain, S.L. As such, each of the foregoing entities and Mr. von Wasserschleben may be deemed to share beneficial ownership of the securities held of record by IKAV Energy Inc. and therefore have shared voting power and dispositive power. The address of this selling stockholder is 1201 Louisiana Street, Suite 3400, Houston, Texas 77002.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IKAV Impact S.à r.l. is controlled by IKAV SICAV-FIS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IKAV Impact S.à r.l. and therefore have shared voting power and dispositive power. The address of this selling stockholder is 1201 Louisiana Street, Suite 3400, Houston, Texas 77002.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partner of OCM Opps XB AIF Holdings (Delaware), L.P. and OCM Opps XI AIV Holdings (Delaware), L.P. and manager of OCM Aera E Holdings, LLC is Oaktree Fund GP, LLC. The sole managing member of Oaktree Fund GP, LLC is Oaktree Fund GP I, L.P. The sole general partner of Oaktree Fund GP I, L.P. is Oaktree Capital I, L.P. The sole general partner of Oaktree Capital I, L.P. is Oaktree Capital I GP, LLC. The general partner of Oaktree Huntington Investment Fund II AIF (Delaware), L.P.  Class C and Oaktree Huntington Investment Fund II AIF (Delaware), L.P.  Class G is Oaktree Fund AIF Series, L.P. - Series N. The general partner of Oaktree Fund AIF Series, L.P. - Series N is Oaktree Fund GP AIF, LLC. The managing member of Oaktree Fund GP AIF, LLC is Oaktree Fund GP III, L.P. The sole general partner of Oaktree Fund GP III, L.P. is Oaktree AIF Investments, L.P. The sole managing member of Brookfield OCM Holdings II, LLC (formerly known as OCM Holdings I, LLC) is Brookfield OCM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Holdings, LLC (formerly known as Oaktree Holdings, LLC). The sole managing member of Brookfield OCM Holdings, LLC is Brookfield Oaktree Holdings, LLC (formerly known as Oaktree Capital Group, LLC). Brookfield Oaktree Holdings, LLC is governed and controlled by its eleven-member board of directors. Each of the foregoing general partners, managing members, and directors, disclaims beneficial ownership of the securities except to the extent of their pecuniary interest therein (if any). The address of each of the foregoing is c/o Oaktree Capital Management, 333 South Grand Ave, 28th Floor, Los Angeles, California 90071.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SIMLOG Inc. is wholly owned by Simlog S.à r.l., which is controlled by IKAV SICAV-FIS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SIMLOG Inc. and therefore have shared voting power and dispositive power. The address of this selling stockholder is 1201 Louisiana Street, Suite 3400, Houston, Texas 77002.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Relationships with Selling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Except as disclosed below, none of the selling security holders has had any material relationships with the Company within the past three years.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our business combination with the Aera Companies, we entered into the Registration Rights Agreement with the Holders. Pursuant to the terms of the Registration Rights Agreement, the Holders are entitled to certain registration rights with respect to the shares of common stock issued pursuant to the Merger Agreement. The Registration Rights Agreement also provides the Holders the ability to request CRC conduct certain underwritten offerings and provides the Holders with certain customary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each Holder agreed to certain lock-up provisions whereby such Holder and any of its permitted transferees holding shares of common stock agreed not to transfer (1) any shares of common stock issued to such Holder to any non-affiliate until six months after January 1, 2025; (2) more than one-third of the shares of common stock issued to such Holder to any non-affiliate until July 1, 2025; and (3) more than two-thirds of the shares of common stock issued to such Holder to any non-affiliate until January 1, 2026. Transfers from each Holder to its general partners, limited partners, members or stockholders, or to any corporation, partnership, limited liability company, investment fund or other entity that controls, is controlled by or is under common control with such Holder are exempted from the lock-up restrictions, except for such Holders portfolio companies. In addition, the lock-up provisions permit transfers pursuant to liquidations, stock exchanges, share repurchase programs and certain hedging arrangements.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our business combination with the Aera Companies, we entered into stockholder agreements with IKAV Energy, Inc. (IKAV) and CPP Investment Board Private Holdings (6), Inc. (CPPIB) to set forth certain corporate governance rights of IKAV and CPPIB (each a Stockholder Agreement). Pursuant to each Stockholder Agreement, on July 1, 2024, the following members of our Board of Directors (the Board) were designated to serve on the Board by certain of the selling security holders: (i) Bobby Saadati, who was designated by IKAV and (ii) James Jackson, who was designated by CPPIB. For so long as each of IKAV and CPPIB, together with its respective affiliates, beneficially owns, in the aggregate, 5% or more of the issued and outstanding shares of common stock, they will have the right to nominate one person for appointment to the Board (each such person, a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Agreement contains certain standstill provisions which, among other things, will prohibit the Holder party thereto and certain of its affiliates (such affiliates, the Restricted Parties) from (i) acquiring additional shares of common stock that would result in such Holder and its Restricted Parties beneficially owning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14.9% of outstanding common stock; (ii) soliciting proxies or influencing any voting of common stock or CRCs other equity securities; (iii) directly or indirectly proposing transactions that would be reasonably likely to result in a change of control of CRC; (iv) seeking additional representation on the Board, or otherwise seeking to control the management of CRC and its controlled affiliates, including through the removal of directors; (v) forming, joining or knowingly encouraging or engaging in discussions regarding the formation of a group within the meaning of Section 13(d)(3) of the Exchange Act with non-affiliates with respect to CRCs securities; and (vi) publicly disclosing any intention, plan, or arrangement inconsistent with any of the foregoing. The standstill provisions continue until (a) such Holder, together with its respective Restricted Parties, ceases to beneficially own, in the aggregate, 7.5% or more of outstanding common stock and (b) no Stockholder Nominee designated by such Holder is serving on the Board and such Holder either is no longer entitled to, or has irrevocably waived, the right to appoint a Stockholder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785486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together with the additional information we include in any applicable prospectus supplements, summarizes the material terms and provisions of our capital stock that we may offer, in the case of our common stock, under this prospectus. It may not contain all the information that is important to you. For the complete terms of our common stock and preferred stock, please refer to our Amended and Restated Certificate of Incorporation, as amended (Certificate of Incorporation) and our Amended and Restated Bylaws (Bylaws), which are incorporated by reference into the registration statement which includes this prospectus. The Delaware General Corporation Law (DGCL) may also affect the terms of these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authorized capital stock consists of 220,000,000 shares, which include 200,000,000 shares of the common stock and 20,000,000 shares of preferred stock, par value $0.01 per share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granted to any holders of the preferred stock, holders of the common stock will be entitled to dividends and distributions (payable in cash, stock or otherwise) as may be declared on the common stock by the Board at any time and from time to time out of any funds of the Company legally available for the payment of such dividends or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 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common stock will share ratably in the Companys assets on liquidation after payment or provision for all debts and other liabilities and any preferential liquidation rights of any preferred stock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common stock do not have preemptive rights to purchase shares of the Companys stock. The common stock is not convertible, redeemable, assessable or entitled to the benefits of any sinking or repurchase fund. The rights, preferences and privileges of holders of the common stock will be subject to those of the holders of any shares of preferred stock that the Company may issue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no director or officer will be personally liable to the Company or its stockholders for monetary damages for breach of fiduciary duty as a director or officer,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or officer for a breach of fiduciary duty as a director.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the Certificate of Incorporation, the Bylaws and the DGCL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 </w:t>
      </w:r>
    </w:p>
    <w:p>
      <w:pPr>
        <w:pStyle w:val="TextBody"/>
        <w:bidi w:val="0"/>
        <w:spacing w:before="360" w:after="0"/>
        <w:jc w:val="left"/>
        <w:rPr>
          <w:rFonts w:ascii="Times New Roman" w:hAnsi="Times New Roman"/>
          <w:sz w:val="20"/>
        </w:rPr>
      </w:pPr>
      <w:r>
        <w:rPr>
          <w:rFonts w:ascii="Times New Roman" w:hAnsi="Times New Roman"/>
          <w:b/>
          <w:i/>
          <w:sz w:val="20"/>
        </w:rPr>
        <w:t>Written Consent of Stockholders</w:t>
      </w:r>
      <w:r>
        <w:rPr>
          <w:rFonts w:ascii="Times New Roman" w:hAnsi="Times New Roman"/>
          <w:b/>
          <w:sz w:val="20"/>
        </w:rPr>
        <w:t>;</w:t>
      </w:r>
      <w:r>
        <w:rPr>
          <w:rFonts w:ascii="Times New Roman" w:hAnsi="Times New Roman"/>
          <w:sz w:val="20"/>
        </w:rPr>
        <w:t xml:space="preserve"> </w:t>
      </w:r>
      <w:r>
        <w:rPr>
          <w:rFonts w:ascii="Times New Roman" w:hAnsi="Times New Roman"/>
          <w:b/>
          <w:i/>
          <w:sz w:val="20"/>
        </w:rPr>
        <w:t>Calling of Special Meeting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approval by a majority of the directors then in office and the affirmative vote of the holders of a majority in voting power of the outstanding shares of stock of the Company entitled to vote thereon,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together as a single class, in addition to any vote of holders of any class or series of stock of the Company required by law or by the Certificate of Incorporation, will be required to amend, alter, restate or repeal any provision of the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Bylaws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Bylaws </w:t>
      </w:r>
    </w:p>
    <w:p>
      <w:pPr>
        <w:pStyle w:val="TextBody"/>
        <w:bidi w:val="0"/>
        <w:spacing w:before="120" w:after="0"/>
        <w:jc w:val="left"/>
        <w:rPr>
          <w:rFonts w:ascii="Times New Roman" w:hAnsi="Times New Roman"/>
          <w:sz w:val="20"/>
        </w:rPr>
      </w:pPr>
      <w:r>
        <w:rPr>
          <w:rFonts w:ascii="Times New Roman" w:hAnsi="Times New Roman"/>
          <w:sz w:val="20"/>
        </w:rPr>
        <w:t xml:space="preserve">Advance notice is required for stockholders to nominate directors or to submit proposals for consideration at meetings of stockholders. </w:t>
      </w:r>
    </w:p>
    <w:p>
      <w:pPr>
        <w:pStyle w:val="TextBody"/>
        <w:bidi w:val="0"/>
        <w:spacing w:before="360" w:after="0"/>
        <w:jc w:val="left"/>
        <w:rPr>
          <w:rFonts w:ascii="Times New Roman" w:hAnsi="Times New Roman"/>
          <w:sz w:val="20"/>
        </w:rPr>
      </w:pPr>
      <w:r>
        <w:rPr>
          <w:rFonts w:ascii="Times New Roman" w:hAnsi="Times New Roman"/>
          <w:b/>
          <w:i/>
          <w:sz w:val="20"/>
        </w:rPr>
        <w:t>Board Size</w:t>
      </w:r>
      <w:r>
        <w:rPr>
          <w:rFonts w:ascii="Times New Roman" w:hAnsi="Times New Roman"/>
          <w:b/>
          <w:sz w:val="20"/>
        </w:rPr>
        <w:t>;</w:t>
      </w:r>
      <w:r>
        <w:rPr>
          <w:rFonts w:ascii="Times New Roman" w:hAnsi="Times New Roman"/>
          <w:sz w:val="20"/>
        </w:rPr>
        <w:t xml:space="preserve"> </w:t>
      </w:r>
      <w:r>
        <w:rPr>
          <w:rFonts w:ascii="Times New Roman" w:hAnsi="Times New Roman"/>
          <w:b/>
          <w:i/>
          <w:sz w:val="20"/>
        </w:rPr>
        <w:t>Director Removal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the number of directors on the Board will initially be nine and will be fixed from time to time exclusively pursuant to a resolution adopted by the Board. The Board currently consists of ten directors. </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 </w:t>
      </w:r>
    </w:p>
    <w:p>
      <w:pPr>
        <w:pStyle w:val="TextBody"/>
        <w:bidi w:val="0"/>
        <w:spacing w:before="360" w:after="0"/>
        <w:jc w:val="left"/>
        <w:rPr>
          <w:rFonts w:ascii="Times New Roman" w:hAnsi="Times New Roman"/>
          <w:sz w:val="20"/>
        </w:rPr>
      </w:pPr>
      <w:r>
        <w:rPr>
          <w:rFonts w:ascii="Times New Roman" w:hAnsi="Times New Roman"/>
          <w:b/>
          <w:i/>
          <w:sz w:val="20"/>
        </w:rPr>
        <w:t>Vacancies on the Board</w:t>
      </w:r>
      <w:r>
        <w:rPr>
          <w:rFonts w:ascii="Times New Roman" w:hAnsi="Times New Roman"/>
          <w:b/>
          <w:sz w:val="20"/>
        </w:rPr>
        <w:t>;</w:t>
      </w:r>
      <w:r>
        <w:rPr>
          <w:rFonts w:ascii="Times New Roman" w:hAnsi="Times New Roman"/>
          <w:sz w:val="20"/>
        </w:rPr>
        <w:t xml:space="preserve"> </w:t>
      </w:r>
      <w:r>
        <w:rPr>
          <w:rFonts w:ascii="Times New Roman" w:hAnsi="Times New Roman"/>
          <w:b/>
          <w:i/>
          <w:sz w:val="20"/>
        </w:rPr>
        <w:t>Newly Created Directorships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do not have the right to cumulate votes, as discussed further under Common StockVoting.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elected in its Certificate of Incorporation to be subject to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status, 15% or more of the corporations outstanding voting stock.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is approved by the board of directors of the corporation and authorized at an annual or special meeting of the stockholders by the affirmative vote of at least two-thirds of the outstanding voting stock that is not owned by the interested stockholder.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described above do not apply to any action or proceeding asserting a claim under the Securities Act, or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quoted on the NYSE under the symbol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785486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an aggregate of 21,315,707 shares of common stock. Our registered common stock will trade on the NYSE under the symbol CRC.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being registered is currently owned by the selling security holders. The selling security holders, which as used herein includes donees, pledgees, transferees or other successors-in-interest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 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the shares by any selling security holder to its partners, members, managers, affiliates, employees, directors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security holders from the sale of the common stock offered by them will be the purchase price of the common stock less discounts or commissions, if any. The selling security holders reserve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also may resell all or a portion of the shares in open market transactions in reliance upon Rule 144 under the Securities Act, </w:t>
      </w:r>
      <w:r>
        <w:rPr>
          <w:rFonts w:ascii="Times New Roman" w:hAnsi="Times New Roman"/>
          <w:i/>
          <w:sz w:val="20"/>
        </w:rPr>
        <w:t xml:space="preserve">provided </w:t>
      </w:r>
      <w:r>
        <w:rPr>
          <w:rFonts w:ascii="Times New Roman" w:hAnsi="Times New Roman"/>
          <w:sz w:val="20"/>
        </w:rPr>
        <w:t xml:space="preserve">that they meet the criteria and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security 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 holders that the anti-manipulation rules of Regulation M under the Exchange Act may apply to sales of shares in the market and to the activities of the selling security holders and their affiliates. In addition, to the extent applicable,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security holders to keep the registration statement of which this prospectus constitutes a part effective until the earliest of (1) such time as all of the shares covered by this prospectus (1) have been disposed of pursuant to and in accordance with the registration statement; (2) have been disposed of pursuant to any section of Rule 144 of the Securities Act under circumstances in which all of the applicable conditions of such Rule (then in effect) are met; or (3) have been sold or disposed of in a transaction in which the selling security holders rights under the Registration Right Agreement are not transferred or assigned pursuant to Section 3.3 of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the selling security holders will sell any or all of the shares of common stock registered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Once sold under the registration statement, of which this prospectus forms a part, the shares of common stock will be freely tradable in the hands of persons other than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785486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our common stock offered by this prospectus will be passed upon for us by Vinson &amp; Elkins L.L.P., Houston, Texas. If certain legal matters in connection with an offering of securities made by this prospectus or a related prospectus supplement are passed upon by counsel for the underwriters of such offering, that counsel will be named in the applicable prospectus supplement relating to that offering. </w:t>
      </w:r>
    </w:p>
    <w:p>
      <w:pPr>
        <w:pStyle w:val="TextBody"/>
        <w:bidi w:val="0"/>
        <w:spacing w:before="480" w:after="0"/>
        <w:jc w:val="center"/>
        <w:rPr>
          <w:rFonts w:ascii="Times New Roman" w:hAnsi="Times New Roman"/>
          <w:b/>
          <w:sz w:val="20"/>
        </w:rPr>
      </w:pPr>
      <w:bookmarkStart w:id="13" w:name="tx785486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California Resources Corporation and subsidiaries as of December 31, 2023 and 2022, and for each of the years in the three-year period ended December 31, 2023, incorporated by reference herein, and the effectiveness of the Companys internal control over financial reporting as of December 31, 2023,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and combined financial statements of Green Gate Resources Parent, LLC and its subsidiaries, which comprises the consolidated and combined balance sheets as of December 31, 2023 (Successor) and 2022 (Successor) and December 31, 2022 (Predecessor), the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appearing in this prospectus and registration statement, have been audited by BDO USA, P.C., independent auditors,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included in this prospectus with respect to certain oil and gas reserves associated with California Resources Corporations oil and gas properties is confirmed in a report of Netherland, Sewell &amp; Associates, Inc., independent petroleum engineers, detailing the audit of the proved reserves as of December 31, 2023 prepared by California Resources Corporations staff. We have included this information in reliance on the authority of such firm as an expert in these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incorporated herein by reference into this prospectus with respect to certain oil and gas reserves associated with the Aera Companies oil and gas properties was prepared in a report of Netherland, Sewell &amp; Associates, Inc., independent petroleum engineers, detailing the proved reserves as of December 31, 2023. We have included this information in reliance on the authority of such firm as an expert in these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440" w:after="0"/>
        <w:jc w:val="center"/>
        <w:rPr>
          <w:rFonts w:ascii="Times New Roman" w:hAnsi="Times New Roman"/>
          <w:b/>
          <w:sz w:val="40"/>
        </w:rPr>
      </w:pPr>
      <w:r>
        <w:rPr>
          <w:rFonts w:ascii="Times New Roman" w:hAnsi="Times New Roman"/>
          <w:b/>
          <w:sz w:val="40"/>
        </w:rPr>
        <w:t xml:space="preserve">CALIFORNIA RESOURCES CORPORATION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21,315,707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920" w:after="0"/>
        <w:jc w:val="center"/>
        <w:rPr>
          <w:rFonts w:ascii="Times New Roman" w:hAnsi="Times New Roman"/>
          <w:b/>
          <w:sz w:val="20"/>
        </w:rPr>
      </w:pPr>
      <w:r>
        <w:rPr>
          <w:rFonts w:ascii="Times New Roman" w:hAnsi="Times New Roman"/>
          <w:b/>
          <w:sz w:val="20"/>
        </w:rPr>
        <w:t xml:space="preserve">August 5, 2024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141,327.23</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Financial printer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Any indemnification under subsections (a) and (b) of Section 145 of the DGCL (unless ordered by a court) shall be made by the corporation only as authorized in the specific case upon a determination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also contain indemnification rights for the directors and officers. Specifically, the Certificate of Incorporation and Bylaws provide for the indemnity of the officers and directors to the fullest extent authorized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DGCL permits the Company and its subsidiaries to purchase and maintain insurance on behalf of any person who is a director or officer for acts committed in their capacities as such directors or officers. The Company currently maintains such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general effect of the foregoing is to provide indemnification to officers and directors for liabilities that may arise by reason of their status as officers or directors, other than liabilities arising from willful or intentional misconduct, acts or omissions not in good faith, unlawful distributions of corporate assets or transactions from which the officer or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current directors and executive officers containing provisions that are in some respects broader than the specific indemnification provisions contained in the DGCL. The indemnification agreements require us, among other things, to (i) indemnify these individuals to the fullest extent permitted under Delaware law against liabilities that may arise by reason of their service to the Company and (ii) advance expenses, to the extent not prohibited by law, incurred in connection with any proceeding not initiated by the indemnitee as to which they could be indemnified. We also intend to enter into indemnification agreements with our future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liability insurance policies that indemnify our directors and officers against various liabilities, including certain liabilities under arising under the Securities Act and the Exchange Act, that may be incurred by them in their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Underwriting Agreement to be filed as Exhibit 1.1 to this registration statement provides for indemnification by the underwriters of us, our directors and officers and the selling stockholders, and by us and the selling stockholders of the underwriters, for certain liabilities arising under the Securities Act or otherwise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filed as exhibits to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508"/>
        <w:gridCol w:w="8823"/>
      </w:tblGrid>
      <w:tr>
        <w:trPr/>
        <w:tc>
          <w:tcPr>
            <w:tcW w:w="87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23"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08" w:type="dxa"/>
            <w:tcBorders/>
            <w:vAlign w:val="bottom"/>
          </w:tcPr>
          <w:p>
            <w:pPr>
              <w:pStyle w:val="TableContents"/>
              <w:bidi w:val="0"/>
              <w:spacing w:before="0" w:after="283"/>
              <w:jc w:val="left"/>
              <w:rPr/>
            </w:pPr>
            <w:r>
              <w:rPr/>
              <w:t>  </w:t>
            </w:r>
          </w:p>
        </w:tc>
        <w:tc>
          <w:tcPr>
            <w:tcW w:w="88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1.1**</w:t>
            </w:r>
          </w:p>
        </w:tc>
        <w:tc>
          <w:tcPr>
            <w:tcW w:w="508"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r>
              <w:rPr/>
              <w:t>Form of Underwriting Agreement.</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2.1#</w:t>
            </w:r>
          </w:p>
        </w:tc>
        <w:tc>
          <w:tcPr>
            <w:tcW w:w="508"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7">
              <w:r>
                <w:rPr>
                  <w:rStyle w:val="InternetLink"/>
                </w:rPr>
                <w:t xml:space="preserve">Agreement and Plan of Merger, dated February  7, 2024, by and among California Resources Corporation, a Delaware corporation, and Petra Merger Sub I, LLC, Petra Merger Sub C, LLC, Petra Merger Sub O, LLC, Petra Merger Sub O2, LLC, Petra Merger Sub O3, LLC, each a Delaware limited liability company and a wholly-owned direct subsidiary of CRC, Petra Merger Sub S, LLC, a Delaware limited liability company and a wholly-owned direct subsidiary of CRC,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and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 (incorporated by reference to Exhibit 10.1 to CRCs Current Report on Form 8-K filed on February 9, 2024).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2.2</w:t>
            </w:r>
          </w:p>
        </w:tc>
        <w:tc>
          <w:tcPr>
            <w:tcW w:w="508"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8">
              <w:r>
                <w:rPr>
                  <w:rStyle w:val="InternetLink"/>
                </w:rPr>
                <w:t>Separation and Distribution Agreement, dated as of November  25, 2014, between Occidental Petroleum Corporation and California Resources Corporation (incorporated by reference to Exhibit 2.1 to CRCs Current Report on Form 8-K filed on December 1, 2014).</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w:t>
            </w:r>
          </w:p>
        </w:tc>
        <w:tc>
          <w:tcPr>
            <w:tcW w:w="508"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9">
              <w:r>
                <w:rPr>
                  <w:rStyle w:val="InternetLink"/>
                </w:rPr>
                <w:t>Amended Debtors Joint Plan of Reorganization Under Chapter 11 of the Bankruptcy Code (incorporated by reference to Exhibit 2.1 to the Registrants Current Report on Form 8-K filed on October 19, 2020).</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4.1</w:t>
            </w:r>
          </w:p>
        </w:tc>
        <w:tc>
          <w:tcPr>
            <w:tcW w:w="508"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20">
              <w:r>
                <w:rPr>
                  <w:rStyle w:val="InternetLink"/>
                </w:rPr>
                <w:t>Indenture, dated January  20, 2021, by and among California Resources Corporation, the guarantors party thereto and Wilmington Trust, National Association, as trustee (incorporated by reference to Exhibit 4.1 of the Companys Current Report on Form 8-K filed on January 21, 2021).</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0"/>
        <w:gridCol w:w="504"/>
        <w:gridCol w:w="8801"/>
      </w:tblGrid>
      <w:tr>
        <w:trPr/>
        <w:tc>
          <w:tcPr>
            <w:tcW w:w="900"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900"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04" w:type="dxa"/>
            <w:tcBorders/>
            <w:vAlign w:val="bottom"/>
          </w:tcPr>
          <w:p>
            <w:pPr>
              <w:pStyle w:val="TableContents"/>
              <w:bidi w:val="0"/>
              <w:spacing w:before="0" w:after="283"/>
              <w:jc w:val="left"/>
              <w:rPr/>
            </w:pPr>
            <w:r>
              <w:rPr/>
              <w:t>  </w:t>
            </w:r>
          </w:p>
        </w:tc>
        <w:tc>
          <w:tcPr>
            <w:tcW w:w="88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4.2</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1">
              <w:r>
                <w:rPr>
                  <w:rStyle w:val="InternetLink"/>
                </w:rPr>
                <w:t>First Supplemental Indenture, dated January  20, 2021, by and among California Resources Corporation, the guarantors party thereto, Elk Hills Power, LLC, EHP Midco Holdings Company, LLC, EHP Topco Holding Company, LLC, and Wilmington Trust, National Association, as trustee (incorporated by reference to Exhibit 4.2 of the Companys Current Report on Form 8-K filed on January 21, 2021).</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4.3</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2">
              <w:r>
                <w:rPr>
                  <w:rStyle w:val="InternetLink"/>
                </w:rPr>
                <w:t>Supplemental Indenture to the 2026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 (incorporated by reference to Exhibit 10.6 of the Companys Current Report on Form 8-K filed on July 1,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4.3</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3">
              <w:r>
                <w:rPr>
                  <w:rStyle w:val="InternetLink"/>
                </w:rPr>
                <w:t>Indenture, dated June  5, 2024, by and among the California Resources Corporation, the guarantors party thereto and Wilmington Trust, National Association, as trustee (incorporated by reference to Exhibit 4.1 of the Companys Current Report on Form 8-K filed on June 5,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4.4</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4">
              <w:r>
                <w:rPr>
                  <w:rStyle w:val="InternetLink"/>
                </w:rPr>
                <w:t>Supplemental Indenture to the 2029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 (incorporated by reference to Exhibit 10.7 of the Companys Current Report on Form 8-K filed on July 1,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5.1*</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51.htm">
              <w:r>
                <w:rPr>
                  <w:rStyle w:val="InternetLink"/>
                </w:rPr>
                <w:t xml:space="preserve">Legal Opinion of Vinson &amp; Elkins L.L.P. </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10.1</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5">
              <w:r>
                <w:rPr>
                  <w:rStyle w:val="InternetLink"/>
                </w:rPr>
                <w:t>Registration Rights Agreement, by and between CRC and the Holders, dated as of July  1, 2024 (incorporated by reference to Exhibit 10.1 of the Companys Current Report on Form 8-K filed on July 1,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10.2</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6">
              <w:r>
                <w:rPr>
                  <w:rStyle w:val="InternetLink"/>
                </w:rPr>
                <w:t>Stockholder Agreement, by and between CRC and IKAV, dated as of July  1, 2024 (incorporated by reference to Exhibit 10.2 of the Companys Current Report on Form 8-K filed on July 1,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10.3</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r:id="rId27">
              <w:r>
                <w:rPr>
                  <w:rStyle w:val="InternetLink"/>
                </w:rPr>
                <w:t>Stockholder Agreement, by and between CRC and CPPIB dated as of July  1, 2024 (incorporated by reference to Exhibit 10.3 of the Companys Current Report on Form 8-K filed on July 1, 2024).</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23.1*</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231.htm">
              <w:r>
                <w:rPr>
                  <w:rStyle w:val="InternetLink"/>
                </w:rPr>
                <w:t xml:space="preserve">Consent of Independent Registered Public Accounting Firm, KPMG LLP. </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23.2*</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232.htm">
              <w:r>
                <w:rPr>
                  <w:rStyle w:val="InternetLink"/>
                </w:rPr>
                <w:t xml:space="preserve">Consent of Independent Auditor, BDO USA, P.C.. </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23.3*</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233.htm">
              <w:r>
                <w:rPr>
                  <w:rStyle w:val="InternetLink"/>
                </w:rPr>
                <w:t xml:space="preserve">Consent of Netherland, Sewell &amp; Associates, Inc. (California Resources Corporation) </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23.4*</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234.htm">
              <w:r>
                <w:rPr>
                  <w:rStyle w:val="InternetLink"/>
                </w:rPr>
                <w:t xml:space="preserve">Consent of Netherland, Sewell &amp; Associates, Inc. (Aera Companies) </w:t>
              </w:r>
            </w:hyperlink>
          </w:p>
        </w:tc>
      </w:tr>
      <w:tr>
        <w:trPr>
          <w:trHeight w:val="120" w:hRule="atLeast"/>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 </w:t>
            </w:r>
            <w:r>
              <w:rPr/>
              <w:t>23.5*</w:t>
            </w:r>
          </w:p>
        </w:tc>
        <w:tc>
          <w:tcPr>
            <w:tcW w:w="504"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hyperlink w:anchor="d785486dex51.htm">
              <w:r>
                <w:rPr>
                  <w:rStyle w:val="InternetLink"/>
                </w:rPr>
                <w:t xml:space="preserve">Consent of Vinson &amp; Elkins L.L.P. (included as part of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3"/>
        <w:gridCol w:w="509"/>
        <w:gridCol w:w="8793"/>
      </w:tblGrid>
      <w:tr>
        <w:trPr/>
        <w:tc>
          <w:tcPr>
            <w:tcW w:w="903"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793" w:type="dxa"/>
            <w:tcBorders/>
            <w:vAlign w:val="center"/>
          </w:tcPr>
          <w:p>
            <w:pPr>
              <w:pStyle w:val="TableContents"/>
              <w:bidi w:val="0"/>
              <w:spacing w:before="0" w:after="283"/>
              <w:jc w:val="left"/>
              <w:rPr>
                <w:sz w:val="4"/>
                <w:szCs w:val="4"/>
              </w:rPr>
            </w:pPr>
            <w:r>
              <w:rPr>
                <w:sz w:val="4"/>
                <w:szCs w:val="4"/>
              </w:rPr>
            </w:r>
          </w:p>
        </w:tc>
      </w:tr>
      <w:tr>
        <w:trPr/>
        <w:tc>
          <w:tcPr>
            <w:tcW w:w="903"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09" w:type="dxa"/>
            <w:tcBorders/>
            <w:vAlign w:val="bottom"/>
          </w:tcPr>
          <w:p>
            <w:pPr>
              <w:pStyle w:val="TableContents"/>
              <w:bidi w:val="0"/>
              <w:spacing w:before="0" w:after="283"/>
              <w:jc w:val="left"/>
              <w:rPr/>
            </w:pPr>
            <w:r>
              <w:rPr/>
              <w:t>  </w:t>
            </w:r>
          </w:p>
        </w:tc>
        <w:tc>
          <w:tcPr>
            <w:tcW w:w="87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tcPr>
          <w:p>
            <w:pPr>
              <w:pStyle w:val="TableContents"/>
              <w:bidi w:val="0"/>
              <w:spacing w:before="0" w:after="283"/>
              <w:jc w:val="left"/>
              <w:rPr/>
            </w:pPr>
            <w:r>
              <w:rPr/>
              <w:t> </w:t>
            </w:r>
            <w:r>
              <w:rPr/>
              <w:t>24.1*</w:t>
            </w:r>
          </w:p>
        </w:tc>
        <w:tc>
          <w:tcPr>
            <w:tcW w:w="509"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283"/>
              <w:jc w:val="left"/>
              <w:rPr/>
            </w:pPr>
            <w:hyperlink w:anchor="sig">
              <w:r>
                <w:rPr>
                  <w:rStyle w:val="InternetLink"/>
                </w:rPr>
                <w:t xml:space="preserve">Power of Attorney (included on the signature page). </w:t>
              </w:r>
            </w:hyperlink>
          </w:p>
        </w:tc>
      </w:tr>
      <w:tr>
        <w:trPr>
          <w:trHeight w:val="120" w:hRule="atLeast"/>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tcPr>
          <w:p>
            <w:pPr>
              <w:pStyle w:val="TableContents"/>
              <w:bidi w:val="0"/>
              <w:spacing w:before="0" w:after="283"/>
              <w:jc w:val="left"/>
              <w:rPr/>
            </w:pPr>
            <w:r>
              <w:rPr/>
              <w:t> </w:t>
            </w:r>
            <w:r>
              <w:rPr/>
              <w:t>99.1*</w:t>
            </w:r>
          </w:p>
        </w:tc>
        <w:tc>
          <w:tcPr>
            <w:tcW w:w="509"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283"/>
              <w:jc w:val="left"/>
              <w:rPr/>
            </w:pPr>
            <w:hyperlink w:anchor="d785486dex991.htm">
              <w:r>
                <w:rPr>
                  <w:rStyle w:val="InternetLink"/>
                </w:rPr>
                <w:t xml:space="preserve">The consolidated and combined financial statements of Green Gate Resources Parent, LLC and its subsidiaries, which comprises the consolidated and combined balance sheets as of December  31, 2023 (Successor) and 2022 (Successor) and December 31, 2022 (Predecessor), the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w:t>
              </w:r>
            </w:hyperlink>
          </w:p>
        </w:tc>
      </w:tr>
      <w:tr>
        <w:trPr>
          <w:trHeight w:val="120" w:hRule="atLeast"/>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tcPr>
          <w:p>
            <w:pPr>
              <w:pStyle w:val="TableContents"/>
              <w:bidi w:val="0"/>
              <w:spacing w:before="0" w:after="283"/>
              <w:jc w:val="left"/>
              <w:rPr/>
            </w:pPr>
            <w:r>
              <w:rPr/>
              <w:t> </w:t>
            </w:r>
            <w:r>
              <w:rPr/>
              <w:t>99.2*</w:t>
            </w:r>
          </w:p>
        </w:tc>
        <w:tc>
          <w:tcPr>
            <w:tcW w:w="509"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283"/>
              <w:jc w:val="left"/>
              <w:rPr/>
            </w:pPr>
            <w:hyperlink w:anchor="d785486dex992.htm">
              <w:r>
                <w:rPr>
                  <w:rStyle w:val="InternetLink"/>
                </w:rPr>
                <w:t xml:space="preserve">The consolidated and combined financial statements of Green Gate Resources Parent, LLC and its subsidiaries as of and for the three months ended March 31, 2024. </w:t>
              </w:r>
            </w:hyperlink>
          </w:p>
        </w:tc>
      </w:tr>
      <w:tr>
        <w:trPr>
          <w:trHeight w:val="120" w:hRule="atLeast"/>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tcPr>
          <w:p>
            <w:pPr>
              <w:pStyle w:val="TableContents"/>
              <w:bidi w:val="0"/>
              <w:spacing w:before="0" w:after="283"/>
              <w:jc w:val="left"/>
              <w:rPr/>
            </w:pPr>
            <w:r>
              <w:rPr/>
              <w:t> </w:t>
            </w:r>
            <w:r>
              <w:rPr/>
              <w:t>99.3*</w:t>
            </w:r>
          </w:p>
        </w:tc>
        <w:tc>
          <w:tcPr>
            <w:tcW w:w="509"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283"/>
              <w:jc w:val="left"/>
              <w:rPr/>
            </w:pPr>
            <w:hyperlink w:anchor="d785486dex993.htm">
              <w:r>
                <w:rPr>
                  <w:rStyle w:val="InternetLink"/>
                </w:rPr>
                <w:t xml:space="preserve">Netherland, Sewell &amp; Associates, Inc. Estimated Future Reserves Attributable to Certain Leasehold and Royalty Interests as of December 31, 2023. </w:t>
              </w:r>
            </w:hyperlink>
          </w:p>
        </w:tc>
      </w:tr>
      <w:tr>
        <w:trPr>
          <w:trHeight w:val="120" w:hRule="atLeast"/>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tcPr>
          <w:p>
            <w:pPr>
              <w:pStyle w:val="TableContents"/>
              <w:bidi w:val="0"/>
              <w:spacing w:before="0" w:after="283"/>
              <w:jc w:val="left"/>
              <w:rPr/>
            </w:pPr>
            <w:r>
              <w:rPr/>
              <w:t>107*</w:t>
            </w:r>
          </w:p>
        </w:tc>
        <w:tc>
          <w:tcPr>
            <w:tcW w:w="509"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283"/>
              <w:jc w:val="left"/>
              <w:rPr/>
            </w:pPr>
            <w:hyperlink w:anchor="d785486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document that is incorporated by reference 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filing excludes certain schedules and exhibits pursuant to Item 601(a)(5) of Regulation S-K, which the registrant agrees to furnish supplementally to the SEC upon request by the SEC; provided, however, that the registrant may request confidential treatment pursuant to Rule 24b-2 of the Securities Exchange Act of 1934, as amended, for any schedules or exhibits so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as to a registration statement on Form S-3, is contained in a form of prospectus filed pursuant to Rule 424(b) of the Securities Act that is a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registrant is relying on Rule 430B of the Securities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of the Securities Act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of the Securities Act as part of a registration statement in reliance on Rule 430B relating to an offering made pursuant to Rule 415(a)(1)(i), (vii), or (x) of the Securities Act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of the Securities Act,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Long Beach, State of California, on August 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CALIFORNIA RESOURCES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Francisco J. Leon</w:t>
            </w:r>
          </w:p>
        </w:tc>
      </w:tr>
      <w:tr>
        <w:trPr/>
        <w:tc>
          <w:tcPr>
            <w:tcW w:w="6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Francisco J. Leon</w:t>
            </w:r>
          </w:p>
        </w:tc>
      </w:tr>
      <w:tr>
        <w:trPr/>
        <w:tc>
          <w:tcPr>
            <w:tcW w:w="6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Francisco J. Leon, Michael L. Preston, Jody L. Johnson and Ulrik Damborg, and each of them, any of whom may act without the joinder of the other, as his or her true and lawful attorneys-in-fact and agents, with full power of substitution and resubstitution, for him or her and in his or her name, place and stead, in any and all capacities, to sign any or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below on August 5,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7"/>
        <w:gridCol w:w="207"/>
        <w:gridCol w:w="5311"/>
      </w:tblGrid>
      <w:tr>
        <w:trPr/>
        <w:tc>
          <w:tcPr>
            <w:tcW w:w="46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Francisco J. Leon</w:t>
            </w:r>
          </w:p>
          <w:p>
            <w:pPr>
              <w:pStyle w:val="TableContents"/>
              <w:bidi w:val="0"/>
              <w:spacing w:before="0" w:after="20"/>
              <w:jc w:val="center"/>
              <w:rPr>
                <w:rFonts w:ascii="Times New Roman" w:hAnsi="Times New Roman"/>
                <w:sz w:val="20"/>
              </w:rPr>
            </w:pPr>
            <w:r>
              <w:rPr>
                <w:rFonts w:ascii="Times New Roman" w:hAnsi="Times New Roman"/>
                <w:sz w:val="20"/>
              </w:rPr>
              <w:t>Francisco J. Leon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Manuela (Nelly) Molina</w:t>
            </w:r>
          </w:p>
          <w:p>
            <w:pPr>
              <w:pStyle w:val="TableContents"/>
              <w:bidi w:val="0"/>
              <w:spacing w:before="0" w:after="20"/>
              <w:jc w:val="center"/>
              <w:rPr>
                <w:rFonts w:ascii="Times New Roman" w:hAnsi="Times New Roman"/>
                <w:sz w:val="20"/>
              </w:rPr>
            </w:pPr>
            <w:r>
              <w:rPr>
                <w:rFonts w:ascii="Times New Roman" w:hAnsi="Times New Roman"/>
                <w:sz w:val="20"/>
              </w:rPr>
              <w:t>Manuela (Nelly) Molina</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Noelle M. Repetti</w:t>
            </w:r>
          </w:p>
          <w:p>
            <w:pPr>
              <w:pStyle w:val="TableContents"/>
              <w:bidi w:val="0"/>
              <w:spacing w:before="0" w:after="20"/>
              <w:jc w:val="center"/>
              <w:rPr>
                <w:rFonts w:ascii="Times New Roman" w:hAnsi="Times New Roman"/>
                <w:sz w:val="20"/>
              </w:rPr>
            </w:pPr>
            <w:r>
              <w:rPr>
                <w:rFonts w:ascii="Times New Roman" w:hAnsi="Times New Roman"/>
                <w:sz w:val="20"/>
              </w:rPr>
              <w:t>Noelle M. Repetti</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and Controller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Tiffany (TJ) Thom Cepak</w:t>
            </w:r>
          </w:p>
          <w:p>
            <w:pPr>
              <w:pStyle w:val="TableContents"/>
              <w:bidi w:val="0"/>
              <w:spacing w:before="0" w:after="20"/>
              <w:jc w:val="center"/>
              <w:rPr>
                <w:rFonts w:ascii="Times New Roman" w:hAnsi="Times New Roman"/>
                <w:sz w:val="20"/>
              </w:rPr>
            </w:pPr>
            <w:r>
              <w:rPr>
                <w:rFonts w:ascii="Times New Roman" w:hAnsi="Times New Roman"/>
                <w:sz w:val="20"/>
              </w:rPr>
              <w:t>Tiffany (TJ) Thom Cepak</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Chair of the Board</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Andrew B. Bremner</w:t>
            </w:r>
          </w:p>
          <w:p>
            <w:pPr>
              <w:pStyle w:val="TableContents"/>
              <w:bidi w:val="0"/>
              <w:spacing w:before="0" w:after="20"/>
              <w:jc w:val="center"/>
              <w:rPr>
                <w:rFonts w:ascii="Times New Roman" w:hAnsi="Times New Roman"/>
                <w:sz w:val="20"/>
              </w:rPr>
            </w:pPr>
            <w:r>
              <w:rPr>
                <w:rFonts w:ascii="Times New Roman" w:hAnsi="Times New Roman"/>
                <w:sz w:val="20"/>
              </w:rPr>
              <w:t>Andrew B. Bremner</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N. Chapman</w:t>
            </w:r>
          </w:p>
          <w:p>
            <w:pPr>
              <w:pStyle w:val="TableContents"/>
              <w:bidi w:val="0"/>
              <w:spacing w:before="0" w:after="20"/>
              <w:jc w:val="center"/>
              <w:rPr>
                <w:rFonts w:ascii="Times New Roman" w:hAnsi="Times New Roman"/>
                <w:sz w:val="20"/>
              </w:rPr>
            </w:pPr>
            <w:r>
              <w:rPr>
                <w:rFonts w:ascii="Times New Roman" w:hAnsi="Times New Roman"/>
                <w:sz w:val="20"/>
              </w:rPr>
              <w:t>James N. Chapman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Jackson</w:t>
            </w:r>
          </w:p>
          <w:p>
            <w:pPr>
              <w:pStyle w:val="TableContents"/>
              <w:bidi w:val="0"/>
              <w:spacing w:before="0" w:after="20"/>
              <w:jc w:val="center"/>
              <w:rPr>
                <w:rFonts w:ascii="Times New Roman" w:hAnsi="Times New Roman"/>
                <w:sz w:val="20"/>
              </w:rPr>
            </w:pPr>
            <w:r>
              <w:rPr>
                <w:rFonts w:ascii="Times New Roman" w:hAnsi="Times New Roman"/>
                <w:sz w:val="20"/>
              </w:rPr>
              <w:t>James Jackson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 Kendall</w:t>
            </w:r>
          </w:p>
          <w:p>
            <w:pPr>
              <w:pStyle w:val="TableContents"/>
              <w:bidi w:val="0"/>
              <w:spacing w:before="0" w:after="20"/>
              <w:jc w:val="center"/>
              <w:rPr>
                <w:rFonts w:ascii="Times New Roman" w:hAnsi="Times New Roman"/>
                <w:sz w:val="20"/>
              </w:rPr>
            </w:pPr>
            <w:r>
              <w:rPr>
                <w:rFonts w:ascii="Times New Roman" w:hAnsi="Times New Roman"/>
                <w:sz w:val="20"/>
              </w:rPr>
              <w:t>Chris Kendall</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A. (Mac) McFarland</w:t>
            </w:r>
          </w:p>
          <w:p>
            <w:pPr>
              <w:pStyle w:val="TableContents"/>
              <w:bidi w:val="0"/>
              <w:spacing w:before="0" w:after="20"/>
              <w:jc w:val="center"/>
              <w:rPr>
                <w:rFonts w:ascii="Times New Roman" w:hAnsi="Times New Roman"/>
                <w:sz w:val="20"/>
              </w:rPr>
            </w:pPr>
            <w:r>
              <w:rPr>
                <w:rFonts w:ascii="Times New Roman" w:hAnsi="Times New Roman"/>
                <w:sz w:val="20"/>
              </w:rPr>
              <w:t>Mark A. (Mac) McFarland</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B. Roby</w:t>
            </w:r>
          </w:p>
          <w:p>
            <w:pPr>
              <w:pStyle w:val="TableContents"/>
              <w:bidi w:val="0"/>
              <w:spacing w:before="0" w:after="20"/>
              <w:jc w:val="center"/>
              <w:rPr>
                <w:rFonts w:ascii="Times New Roman" w:hAnsi="Times New Roman"/>
                <w:sz w:val="20"/>
              </w:rPr>
            </w:pPr>
            <w:r>
              <w:rPr>
                <w:rFonts w:ascii="Times New Roman" w:hAnsi="Times New Roman"/>
                <w:sz w:val="20"/>
              </w:rPr>
              <w:t>William B. Roby</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Alejandra Veltmann</w:t>
            </w:r>
          </w:p>
          <w:p>
            <w:pPr>
              <w:pStyle w:val="TableContents"/>
              <w:bidi w:val="0"/>
              <w:spacing w:before="0" w:after="20"/>
              <w:jc w:val="center"/>
              <w:rPr>
                <w:rFonts w:ascii="Times New Roman" w:hAnsi="Times New Roman"/>
                <w:sz w:val="20"/>
              </w:rPr>
            </w:pPr>
            <w:r>
              <w:rPr>
                <w:rFonts w:ascii="Times New Roman" w:hAnsi="Times New Roman"/>
                <w:sz w:val="20"/>
              </w:rPr>
              <w:t>A. Alejandra Veltmann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Bobby Saadati</w:t>
            </w:r>
          </w:p>
          <w:p>
            <w:pPr>
              <w:pStyle w:val="TableContents"/>
              <w:bidi w:val="0"/>
              <w:spacing w:before="0" w:after="20"/>
              <w:jc w:val="center"/>
              <w:rPr>
                <w:rFonts w:ascii="Times New Roman" w:hAnsi="Times New Roman"/>
                <w:sz w:val="20"/>
              </w:rPr>
            </w:pPr>
            <w:r>
              <w:rPr>
                <w:rFonts w:ascii="Times New Roman" w:hAnsi="Times New Roman"/>
                <w:sz w:val="20"/>
              </w:rPr>
              <w:t>Bobby Saadati</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p>
    <w:p>
      <w:pPr>
        <w:pStyle w:val="TextBody"/>
        <w:bidi w:val="0"/>
        <w:spacing w:before="0" w:after="0"/>
        <w:jc w:val="right"/>
        <w:rPr>
          <w:rFonts w:ascii="Times New Roman" w:hAnsi="Times New Roman"/>
          <w:b/>
          <w:sz w:val="20"/>
        </w:rPr>
      </w:pPr>
      <w:bookmarkStart w:id="15" w:name="d785486dex51.htm"/>
      <w:bookmarkStart w:id="16" w:name="ksd785486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8"/>
                    <a:stretch>
                      <a:fillRect/>
                    </a:stretch>
                  </pic:blipFill>
                  <pic:spPr bwMode="auto">
                    <a:xfrm>
                      <a:off x="0" y="0"/>
                      <a:ext cx="161925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5, 2024 </w:t>
      </w:r>
    </w:p>
    <w:p>
      <w:pPr>
        <w:pStyle w:val="TextBody"/>
        <w:bidi w:val="0"/>
        <w:spacing w:before="24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California 90831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for California Resources Corporation, a Delaware corporation (the </w:t>
      </w:r>
      <w:r>
        <w:rPr>
          <w:rFonts w:ascii="Times New Roman" w:hAnsi="Times New Roman"/>
          <w:b/>
          <w:i/>
          <w:sz w:val="20"/>
        </w:rPr>
        <w:t>Company</w:t>
      </w:r>
      <w:r>
        <w:rPr>
          <w:rFonts w:ascii="Times New Roman" w:hAnsi="Times New Roman"/>
          <w:sz w:val="20"/>
        </w:rPr>
        <w:t>), with respect to certain legal matters in connection with the preparation and filing of a Registration Statement on Form S-3 (the </w:t>
      </w:r>
      <w:r>
        <w:rPr>
          <w:rFonts w:ascii="Times New Roman" w:hAnsi="Times New Roman"/>
          <w:b/>
          <w:i/>
          <w:sz w:val="20"/>
        </w:rPr>
        <w:t>Registration Statement</w:t>
      </w:r>
      <w:r>
        <w:rPr>
          <w:rFonts w:ascii="Times New Roman" w:hAnsi="Times New Roman"/>
          <w:sz w:val="20"/>
        </w:rPr>
        <w:t>) filed on or about the date hereof with the U.S. Securities and Exchange Commission (the </w:t>
      </w:r>
      <w:r>
        <w:rPr>
          <w:rFonts w:ascii="Times New Roman" w:hAnsi="Times New Roman"/>
          <w:b/>
          <w:i/>
          <w:sz w:val="20"/>
        </w:rPr>
        <w:t>Commission</w:t>
      </w:r>
      <w:r>
        <w:rPr>
          <w:rFonts w:ascii="Times New Roman" w:hAnsi="Times New Roman"/>
          <w:sz w:val="20"/>
        </w:rPr>
        <w:t>) in connection with the registration by the Company under the Securities Act of 1933, as amended (the </w:t>
      </w:r>
      <w:r>
        <w:rPr>
          <w:rFonts w:ascii="Times New Roman" w:hAnsi="Times New Roman"/>
          <w:b/>
          <w:i/>
          <w:sz w:val="20"/>
        </w:rPr>
        <w:t>Securities Act</w:t>
      </w:r>
      <w:r>
        <w:rPr>
          <w:rFonts w:ascii="Times New Roman" w:hAnsi="Times New Roman"/>
          <w:sz w:val="20"/>
        </w:rPr>
        <w:t>), of the offer and sale by the selling security holders identified in the Registration Statement of up to 21,315,707 shares of common stock, par value $0.01 per share, of the Company (the </w:t>
      </w:r>
      <w:r>
        <w:rPr>
          <w:rFonts w:ascii="Times New Roman" w:hAnsi="Times New Roman"/>
          <w:b/>
          <w:i/>
          <w:sz w:val="20"/>
        </w:rPr>
        <w:t>Selling Stockholder Shares</w:t>
      </w:r>
      <w:r>
        <w:rPr>
          <w:rFonts w:ascii="Times New Roman" w:hAnsi="Times New Roman"/>
          <w:sz w:val="20"/>
        </w:rPr>
        <w:t>) . We have also participated in the preparation of a prospectus relating to the Selling Stockholder Shares (the </w:t>
      </w:r>
      <w:r>
        <w:rPr>
          <w:rFonts w:ascii="Times New Roman" w:hAnsi="Times New Roman"/>
          <w:b/>
          <w:i/>
          <w:sz w:val="20"/>
        </w:rPr>
        <w:t>Prospectus</w:t>
      </w:r>
      <w:r>
        <w:rPr>
          <w:rFonts w:ascii="Times New Roman" w:hAnsi="Times New Roman"/>
          <w:sz w:val="20"/>
        </w:rPr>
        <w:t xml:space="preserve">), which is contained in the Registration Statement to which this opinion is an exhibit.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expressed herein, we have examined, among other things, originals or copies, certified or otherwise identified to our satisfaction, of (i) the Amended and Restated Certificate of Incorporation and Amended and Restated Bylaws of the Company, each as amended to the date hereof, (ii) the Registration Statement, (iii) the Prospectus, and (iv) 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have relied upon certificates and other communications of corporate officers of the Company, without further investigation as to the facts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the Registration Statement, and any amendments thereto (including any post-effective amendments), will have become effective and comply with all applicable laws, and (v) the Selling Stockholder Shares will be sold in the manner specified in the Registration Statement and the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0"/>
        <w:gridCol w:w="122"/>
        <w:gridCol w:w="4913"/>
      </w:tblGrid>
      <w:tr>
        <w:trPr/>
        <w:tc>
          <w:tcPr>
            <w:tcW w:w="51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3" w:type="dxa"/>
            <w:tcBorders/>
            <w:vAlign w:val="center"/>
          </w:tcPr>
          <w:p>
            <w:pPr>
              <w:pStyle w:val="TableContents"/>
              <w:bidi w:val="0"/>
              <w:spacing w:before="0" w:after="283"/>
              <w:jc w:val="left"/>
              <w:rPr>
                <w:sz w:val="4"/>
                <w:szCs w:val="4"/>
              </w:rPr>
            </w:pPr>
            <w:r>
              <w:rPr>
                <w:sz w:val="4"/>
                <w:szCs w:val="4"/>
              </w:rPr>
            </w:r>
          </w:p>
        </w:tc>
      </w:tr>
      <w:tr>
        <w:trPr/>
        <w:tc>
          <w:tcPr>
            <w:tcW w:w="5170" w:type="dxa"/>
            <w:tcBorders/>
          </w:tcPr>
          <w:p>
            <w:pPr>
              <w:pStyle w:val="TableContents"/>
              <w:bidi w:val="0"/>
              <w:spacing w:before="0" w:after="283"/>
              <w:jc w:val="left"/>
              <w:rPr>
                <w:b/>
              </w:rPr>
            </w:pPr>
            <w:r>
              <w:rPr>
                <w:b/>
              </w:rPr>
              <w:t>Vinson &amp; Elkins LLP Attorneys at Law</w:t>
            </w:r>
          </w:p>
        </w:tc>
        <w:tc>
          <w:tcPr>
            <w:tcW w:w="122" w:type="dxa"/>
            <w:tcBorders/>
            <w:vAlign w:val="bottom"/>
          </w:tcPr>
          <w:p>
            <w:pPr>
              <w:pStyle w:val="TableContents"/>
              <w:bidi w:val="0"/>
              <w:spacing w:before="0" w:after="283"/>
              <w:jc w:val="left"/>
              <w:rPr/>
            </w:pPr>
            <w:r>
              <w:rPr/>
              <w:t>  </w:t>
            </w:r>
          </w:p>
        </w:tc>
        <w:tc>
          <w:tcPr>
            <w:tcW w:w="4913" w:type="dxa"/>
            <w:tcBorders/>
          </w:tcPr>
          <w:p>
            <w:pPr>
              <w:pStyle w:val="TableContents"/>
              <w:bidi w:val="0"/>
              <w:spacing w:before="0" w:after="283"/>
              <w:jc w:val="left"/>
              <w:rPr/>
            </w:pPr>
            <w:r>
              <w:rPr/>
              <w:t>Texas Tower, 845 Texas Avenue, Suite 4700</w:t>
            </w:r>
          </w:p>
        </w:tc>
      </w:tr>
      <w:tr>
        <w:trPr/>
        <w:tc>
          <w:tcPr>
            <w:tcW w:w="5170" w:type="dxa"/>
            <w:tcBorders/>
          </w:tcPr>
          <w:p>
            <w:pPr>
              <w:pStyle w:val="TableContents"/>
              <w:bidi w:val="0"/>
              <w:spacing w:before="0" w:after="283"/>
              <w:jc w:val="left"/>
              <w:rPr/>
            </w:pPr>
            <w:r>
              <w:rPr/>
              <w:t>Austin Dallas Dubai Houston London Los Angeles</w:t>
            </w:r>
          </w:p>
        </w:tc>
        <w:tc>
          <w:tcPr>
            <w:tcW w:w="122" w:type="dxa"/>
            <w:tcBorders/>
            <w:vAlign w:val="bottom"/>
          </w:tcPr>
          <w:p>
            <w:pPr>
              <w:pStyle w:val="TableContents"/>
              <w:bidi w:val="0"/>
              <w:spacing w:before="0" w:after="283"/>
              <w:jc w:val="left"/>
              <w:rPr/>
            </w:pPr>
            <w:r>
              <w:rPr/>
              <w:t>  </w:t>
            </w:r>
          </w:p>
        </w:tc>
        <w:tc>
          <w:tcPr>
            <w:tcW w:w="4913" w:type="dxa"/>
            <w:tcBorders/>
          </w:tcPr>
          <w:p>
            <w:pPr>
              <w:pStyle w:val="TableContents"/>
              <w:bidi w:val="0"/>
              <w:spacing w:before="0" w:after="283"/>
              <w:jc w:val="left"/>
              <w:rPr/>
            </w:pPr>
            <w:r>
              <w:rPr/>
              <w:t>Houston, TX 77002</w:t>
            </w:r>
          </w:p>
        </w:tc>
      </w:tr>
      <w:tr>
        <w:trPr/>
        <w:tc>
          <w:tcPr>
            <w:tcW w:w="5170" w:type="dxa"/>
            <w:tcBorders/>
          </w:tcPr>
          <w:p>
            <w:pPr>
              <w:pStyle w:val="TableContents"/>
              <w:bidi w:val="0"/>
              <w:spacing w:before="0" w:after="283"/>
              <w:jc w:val="left"/>
              <w:rPr/>
            </w:pPr>
            <w:r>
              <w:rPr/>
              <w:t>New York Richmond San Francisco Tokyo Washington</w:t>
            </w:r>
          </w:p>
        </w:tc>
        <w:tc>
          <w:tcPr>
            <w:tcW w:w="122" w:type="dxa"/>
            <w:tcBorders/>
            <w:vAlign w:val="bottom"/>
          </w:tcPr>
          <w:p>
            <w:pPr>
              <w:pStyle w:val="TableContents"/>
              <w:bidi w:val="0"/>
              <w:spacing w:before="0" w:after="283"/>
              <w:jc w:val="left"/>
              <w:rPr/>
            </w:pPr>
            <w:r>
              <w:rPr/>
              <w:t>  </w:t>
            </w:r>
          </w:p>
        </w:tc>
        <w:tc>
          <w:tcPr>
            <w:tcW w:w="4913" w:type="dxa"/>
            <w:tcBorders/>
          </w:tcPr>
          <w:p>
            <w:pPr>
              <w:pStyle w:val="TableContents"/>
              <w:bidi w:val="0"/>
              <w:spacing w:before="0" w:after="283"/>
              <w:jc w:val="left"/>
              <w:rPr/>
            </w:pPr>
            <w:r>
              <w:rPr>
                <w:b/>
              </w:rPr>
              <w:t>Tel</w:t>
            </w:r>
            <w:r>
              <w:rPr/>
              <w:t xml:space="preserve"> +1.713.758.2222 </w:t>
            </w:r>
            <w:r>
              <w:rPr>
                <w:b/>
              </w:rPr>
              <w:t>Fax</w:t>
            </w:r>
            <w:r>
              <w:rPr/>
              <w:t xml:space="preserve">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95"/>
        <w:gridCol w:w="122"/>
        <w:gridCol w:w="4888"/>
      </w:tblGrid>
      <w:tr>
        <w:trPr/>
        <w:tc>
          <w:tcPr>
            <w:tcW w:w="51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drawing>
                <wp:inline distT="0" distB="0" distL="0" distR="0">
                  <wp:extent cx="4953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9"/>
                          <a:stretch>
                            <a:fillRect/>
                          </a:stretch>
                        </pic:blipFill>
                        <pic:spPr bwMode="auto">
                          <a:xfrm>
                            <a:off x="0" y="0"/>
                            <a:ext cx="495300" cy="20002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right"/>
              <w:rPr/>
            </w:pPr>
            <w:r>
              <w:rPr/>
              <w:t>August 5, 2024 Page 2</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the Selling Stockholder Shares have been legally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concerning the enforceability of indemnification provisions to the extent they purport to relate to liabilities resulting from or based upon negligence or any violation of federal or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 Vinson &amp; Elkins L.L.P.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Vinson &amp; Elkins L.L.P.</w:t>
            </w:r>
          </w:p>
        </w:tc>
      </w:tr>
    </w:tbl>
    <w:p>
      <w:pPr>
        <w:pStyle w:val="TextBody"/>
        <w:bidi w:val="0"/>
        <w:spacing w:before="0" w:after="0"/>
        <w:jc w:val="right"/>
        <w:rPr>
          <w:rFonts w:ascii="Times New Roman" w:hAnsi="Times New Roman"/>
          <w:b/>
          <w:sz w:val="20"/>
        </w:rPr>
      </w:pPr>
      <w:bookmarkStart w:id="17" w:name="d785486dex231.htm"/>
      <w:bookmarkStart w:id="18" w:name="ksd785486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28, 2024, with respect to the consolidated financial statements of California Resources Corporation, and the effectiveness of internal control over financial reporting, incorporated herein by reference, and to the reference to our firm under the heading Experts in the prospectus.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5, 2024 </w:t>
      </w:r>
    </w:p>
    <w:p>
      <w:pPr>
        <w:pStyle w:val="TextBody"/>
        <w:bidi w:val="0"/>
        <w:spacing w:before="0" w:after="0"/>
        <w:jc w:val="right"/>
        <w:rPr>
          <w:rFonts w:ascii="Times New Roman" w:hAnsi="Times New Roman"/>
          <w:b/>
          <w:sz w:val="20"/>
        </w:rPr>
      </w:pPr>
      <w:bookmarkStart w:id="19" w:name="d785486dex232.htm"/>
      <w:bookmarkStart w:id="20" w:name="ksd785486dex232"/>
      <w:bookmarkEnd w:id="19"/>
      <w:bookmarkEnd w:id="2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Consent of Independent Auditor</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the Prospectus constituting a part of this Registration Statement of California Resources Corporation of our report dated April 16, 2024, relating to the consolidated and combined financial statements of Green Gate Resources Parent, LLC and its subsidiaries, which appears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August 5, 2024</w:t>
      </w:r>
    </w:p>
    <w:p>
      <w:pPr>
        <w:pStyle w:val="TextBody"/>
        <w:bidi w:val="0"/>
        <w:spacing w:before="0" w:after="0"/>
        <w:jc w:val="right"/>
        <w:rPr>
          <w:rFonts w:ascii="Times New Roman" w:hAnsi="Times New Roman"/>
          <w:b/>
          <w:sz w:val="20"/>
        </w:rPr>
      </w:pPr>
      <w:bookmarkStart w:id="21" w:name="d785486dex233.htm"/>
      <w:bookmarkStart w:id="22" w:name="ksd785486dex233"/>
      <w:bookmarkEnd w:id="21"/>
      <w:bookmarkEnd w:id="22"/>
      <w:r>
        <w:rPr>
          <w:rFonts w:ascii="Times New Roman" w:hAnsi="Times New Roman"/>
          <w:b/>
          <w:sz w:val="20"/>
        </w:rPr>
        <w:t xml:space="preserve">Exhibit 23.3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812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2181225" cy="314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CONSENT OF INDEPENDENT PETROLEUM ENGINEERS AND GEOLOGISTS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into this Registration Statement on Form S-3 (the Registration Statement) of our letter dated February 13, 2024 relating to our audit of California Resources Corporations proved oil and gas reserves as of December 31, 2023. We further consent to the reference to our firm under the heading Experts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NETHERLAND, SEWELL &amp; ASSOCIATES,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B. Talley, Jr.</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Richard B. Talley, Jr., P.E.</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August 5, 2024 </w:t>
      </w:r>
    </w:p>
    <w:p>
      <w:pPr>
        <w:pStyle w:val="TextBody"/>
        <w:bidi w:val="0"/>
        <w:spacing w:before="0" w:after="0"/>
        <w:jc w:val="right"/>
        <w:rPr>
          <w:rFonts w:ascii="Times New Roman" w:hAnsi="Times New Roman"/>
          <w:b/>
          <w:sz w:val="20"/>
        </w:rPr>
      </w:pPr>
      <w:bookmarkStart w:id="23" w:name="d785486dex234.htm"/>
      <w:bookmarkStart w:id="24" w:name="ksd785486dex234"/>
      <w:bookmarkEnd w:id="23"/>
      <w:bookmarkEnd w:id="24"/>
      <w:r>
        <w:rPr>
          <w:rFonts w:ascii="Times New Roman" w:hAnsi="Times New Roman"/>
          <w:b/>
          <w:sz w:val="20"/>
        </w:rPr>
        <w:t xml:space="preserve">Exhibit 23.4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812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2181225" cy="314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CONSENT OF INDEPENDENT PETROLEUM ENGINEERS AND GEOLOGISTS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into this Registration Statement on Form S-3 (the Registration Statement) of our letter dated April 22, 2024 relating to our report of Aera Energy, LLC and Aera Energy Services Companys proved oil and gas reserves as of December 31, 2023. We further consent to the reference to our firm under the heading Experts in the Registration Statement. </w:t>
      </w:r>
    </w:p>
    <w:p>
      <w:pPr>
        <w:pStyle w:val="TextBody"/>
        <w:bidi w:val="0"/>
        <w:spacing w:before="0" w:after="0"/>
        <w:jc w:val="left"/>
        <w:rPr/>
      </w:pPr>
      <w:r>
        <w:rPr/>
        <w:t> </w:t>
      </w:r>
    </w:p>
    <w:tbl>
      <w:tblPr>
        <w:tblW w:w="5405" w:type="dxa"/>
        <w:jc w:val="right"/>
        <w:tblInd w:w="0" w:type="dxa"/>
        <w:tblLayout w:type="fixed"/>
        <w:tblCellMar>
          <w:top w:w="0" w:type="dxa"/>
          <w:left w:w="0" w:type="dxa"/>
          <w:bottom w:w="0" w:type="dxa"/>
          <w:right w:w="0" w:type="dxa"/>
        </w:tblCellMar>
      </w:tblPr>
      <w:tblGrid>
        <w:gridCol w:w="1239"/>
        <w:gridCol w:w="243"/>
        <w:gridCol w:w="3923"/>
      </w:tblGrid>
      <w:tr>
        <w:trPr/>
        <w:tc>
          <w:tcPr>
            <w:tcW w:w="1239"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923" w:type="dxa"/>
            <w:tcBorders/>
            <w:vAlign w:val="center"/>
          </w:tcPr>
          <w:p>
            <w:pPr>
              <w:pStyle w:val="TableContents"/>
              <w:bidi w:val="0"/>
              <w:spacing w:before="0" w:after="283"/>
              <w:jc w:val="left"/>
              <w:rPr>
                <w:sz w:val="4"/>
                <w:szCs w:val="4"/>
              </w:rPr>
            </w:pPr>
            <w:r>
              <w:rPr>
                <w:sz w:val="4"/>
                <w:szCs w:val="4"/>
              </w:rPr>
            </w:r>
          </w:p>
        </w:tc>
      </w:tr>
      <w:tr>
        <w:trPr/>
        <w:tc>
          <w:tcPr>
            <w:tcW w:w="5405" w:type="dxa"/>
            <w:gridSpan w:val="3"/>
            <w:tcBorders/>
          </w:tcPr>
          <w:p>
            <w:pPr>
              <w:pStyle w:val="TableContents"/>
              <w:bidi w:val="0"/>
              <w:spacing w:before="0" w:after="283"/>
              <w:jc w:val="left"/>
              <w:rPr>
                <w:b/>
              </w:rPr>
            </w:pPr>
            <w:r>
              <w:rPr>
                <w:b/>
              </w:rPr>
              <w:t>NETHERLAND, SEWELL &amp; ASSOCIATES, INC.</w:t>
            </w:r>
          </w:p>
        </w:tc>
      </w:tr>
      <w:tr>
        <w:trPr>
          <w:trHeight w:val="240" w:hRule="atLeast"/>
        </w:trPr>
        <w:tc>
          <w:tcPr>
            <w:tcW w:w="1239"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r>
      <w:tr>
        <w:trPr/>
        <w:tc>
          <w:tcPr>
            <w:tcW w:w="1239" w:type="dxa"/>
            <w:tcBorders/>
          </w:tcPr>
          <w:p>
            <w:pPr>
              <w:pStyle w:val="TableContents"/>
              <w:bidi w:val="0"/>
              <w:spacing w:before="0" w:after="283"/>
              <w:jc w:val="left"/>
              <w:rPr/>
            </w:pPr>
            <w:r>
              <w:rPr/>
              <w:t>By:</w:t>
            </w:r>
          </w:p>
        </w:tc>
        <w:tc>
          <w:tcPr>
            <w:tcW w:w="243" w:type="dxa"/>
            <w:tcBorders/>
            <w:vAlign w:val="bottom"/>
          </w:tcPr>
          <w:p>
            <w:pPr>
              <w:pStyle w:val="TableContents"/>
              <w:bidi w:val="0"/>
              <w:spacing w:before="0" w:after="283"/>
              <w:jc w:val="left"/>
              <w:rPr/>
            </w:pPr>
            <w:r>
              <w:rPr/>
              <w:t> </w:t>
            </w:r>
          </w:p>
        </w:tc>
        <w:tc>
          <w:tcPr>
            <w:tcW w:w="39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B. Talley, Jr.</w:t>
            </w:r>
          </w:p>
        </w:tc>
      </w:tr>
      <w:tr>
        <w:trPr/>
        <w:tc>
          <w:tcPr>
            <w:tcW w:w="1239"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283"/>
              <w:jc w:val="left"/>
              <w:rPr/>
            </w:pPr>
            <w:r>
              <w:rPr/>
              <w:t>Richard B. Talley, Jr., P.E.</w:t>
            </w:r>
          </w:p>
        </w:tc>
      </w:tr>
      <w:tr>
        <w:trPr/>
        <w:tc>
          <w:tcPr>
            <w:tcW w:w="1239"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August 5, 2024 </w:t>
      </w:r>
    </w:p>
    <w:p>
      <w:pPr>
        <w:pStyle w:val="TextBody"/>
        <w:bidi w:val="0"/>
        <w:spacing w:before="0" w:after="0"/>
        <w:jc w:val="right"/>
        <w:rPr>
          <w:rFonts w:ascii="Times New Roman" w:hAnsi="Times New Roman"/>
          <w:b/>
          <w:sz w:val="20"/>
        </w:rPr>
      </w:pPr>
      <w:bookmarkStart w:id="25" w:name="d785486dex991.htm"/>
      <w:bookmarkStart w:id="26" w:name="ksd785486dex991"/>
      <w:bookmarkEnd w:id="25"/>
      <w:bookmarkEnd w:id="26"/>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27" w:name="tx785486_104"/>
      <w:bookmarkStart w:id="28" w:name="index"/>
      <w:bookmarkEnd w:id="27"/>
      <w:bookmarkEnd w:id="2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
        <w:gridCol w:w="105"/>
        <w:gridCol w:w="8631"/>
        <w:gridCol w:w="139"/>
        <w:gridCol w:w="63"/>
        <w:gridCol w:w="497"/>
        <w:gridCol w:w="65"/>
      </w:tblGrid>
      <w:tr>
        <w:trPr/>
        <w:tc>
          <w:tcPr>
            <w:tcW w:w="70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center"/>
              <w:rPr/>
            </w:pPr>
            <w:r>
              <w:rPr/>
              <w:t>Page(s)</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1">
              <w:r>
                <w:rPr>
                  <w:rStyle w:val="InternetLink"/>
                  <w:rFonts w:ascii="Times New Roman" w:hAnsi="Times New Roman"/>
                  <w:sz w:val="20"/>
                </w:rPr>
                <w:t xml:space="preserve">Independent Auditors Report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2">
              <w:r>
                <w:rPr>
                  <w:rStyle w:val="InternetLink"/>
                  <w:rFonts w:ascii="Times New Roman" w:hAnsi="Times New Roman"/>
                  <w:sz w:val="20"/>
                </w:rPr>
                <w:t>Consolidated and Combined Statements of Operations and Other Comprehensive Income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3">
              <w:r>
                <w:rPr>
                  <w:rStyle w:val="InternetLink"/>
                  <w:rFonts w:ascii="Times New Roman" w:hAnsi="Times New Roman"/>
                  <w:sz w:val="20"/>
                </w:rPr>
                <w:t xml:space="preserve">Consolidated and Combined Balance Sheets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F-5</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4">
              <w:r>
                <w:rPr>
                  <w:rStyle w:val="InternetLink"/>
                  <w:rFonts w:ascii="Times New Roman" w:hAnsi="Times New Roman"/>
                  <w:sz w:val="20"/>
                </w:rPr>
                <w:t xml:space="preserve">Consolidated and Combined Statements of Members and Stockholders Equity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F-6</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5">
              <w:r>
                <w:rPr>
                  <w:rStyle w:val="InternetLink"/>
                  <w:rFonts w:ascii="Times New Roman" w:hAnsi="Times New Roman"/>
                  <w:sz w:val="20"/>
                </w:rPr>
                <w:t>Consolidated and Combined Statements of Cash Flows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6">
              <w:r>
                <w:rPr>
                  <w:rStyle w:val="InternetLink"/>
                  <w:rFonts w:ascii="Times New Roman" w:hAnsi="Times New Roman"/>
                  <w:sz w:val="20"/>
                </w:rPr>
                <w:t>Notes to the Consolidated and Combined Financial Statements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05"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7">
              <w:r>
                <w:rPr>
                  <w:rStyle w:val="InternetLink"/>
                </w:rPr>
                <w:t xml:space="preserve">Nature of Operations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8">
              <w:r>
                <w:rPr>
                  <w:rStyle w:val="InternetLink"/>
                </w:rPr>
                <w:t xml:space="preserve">Summary of Significant Accounting Policies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9">
              <w:r>
                <w:rPr>
                  <w:rStyle w:val="InternetLink"/>
                </w:rPr>
                <w:t xml:space="preserve">Significant Transactions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F-14</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0">
              <w:r>
                <w:rPr>
                  <w:rStyle w:val="InternetLink"/>
                </w:rPr>
                <w:t xml:space="preserve">Revenue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F-16</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1">
              <w:r>
                <w:rPr>
                  <w:rStyle w:val="InternetLink"/>
                </w:rPr>
                <w:t>Inventories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2">
              <w:r>
                <w:rPr>
                  <w:rStyle w:val="InternetLink"/>
                </w:rPr>
                <w:t xml:space="preserve">Property, Plant, and Equipment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3">
              <w:r>
                <w:rPr>
                  <w:rStyle w:val="InternetLink"/>
                </w:rPr>
                <w:t>Transactions with Related Parties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4">
              <w:r>
                <w:rPr>
                  <w:rStyle w:val="InternetLink"/>
                </w:rPr>
                <w:t xml:space="preserve">Benefit Plans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5">
              <w:r>
                <w:rPr>
                  <w:rStyle w:val="InternetLink"/>
                </w:rPr>
                <w:t xml:space="preserve">Litigation and Other Contingencies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F-25</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6">
              <w:r>
                <w:rPr>
                  <w:rStyle w:val="InternetLink"/>
                </w:rPr>
                <w:t>Leases and Other Commitments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7">
              <w:r>
                <w:rPr>
                  <w:rStyle w:val="InternetLink"/>
                </w:rPr>
                <w:t>Fair Value of Financial Instruments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8">
              <w:r>
                <w:rPr>
                  <w:rStyle w:val="InternetLink"/>
                </w:rPr>
                <w:t>Derivatives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F-31</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19">
              <w:r>
                <w:rPr>
                  <w:rStyle w:val="InternetLink"/>
                </w:rPr>
                <w:t>Taxes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F-32</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20">
              <w:r>
                <w:rPr>
                  <w:rStyle w:val="InternetLink"/>
                </w:rPr>
                <w:t>Debt</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F-33</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85486_21">
              <w:r>
                <w:rPr>
                  <w:rStyle w:val="InternetLink"/>
                </w:rPr>
                <w:t xml:space="preserve">Subsequent Events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22">
              <w:r>
                <w:rPr>
                  <w:rStyle w:val="InternetLink"/>
                  <w:rFonts w:ascii="Times New Roman" w:hAnsi="Times New Roman"/>
                  <w:sz w:val="20"/>
                </w:rPr>
                <w:t>Supplementary Oil and Gas Information (Unaudited)</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85486_23">
              <w:r>
                <w:rPr>
                  <w:rStyle w:val="InternetLink"/>
                  <w:rFonts w:ascii="Times New Roman" w:hAnsi="Times New Roman"/>
                  <w:sz w:val="20"/>
                </w:rPr>
                <w:t>Costs and Results of Oil and Gas Producing Activities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F-38</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85486_24">
              <w:r>
                <w:rPr>
                  <w:rStyle w:val="InternetLink"/>
                  <w:rFonts w:ascii="Times New Roman" w:hAnsi="Times New Roman"/>
                  <w:sz w:val="20"/>
                </w:rPr>
                <w:t xml:space="preserve">Proved Reserve Estimates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F-39</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85486_25">
              <w:r>
                <w:rPr>
                  <w:rStyle w:val="InternetLink"/>
                  <w:rFonts w:ascii="Times New Roman" w:hAnsi="Times New Roman"/>
                  <w:sz w:val="20"/>
                </w:rPr>
                <w:t>Standardized Measure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9" w:name="fin785486_1"/>
      <w:bookmarkEnd w:id="29"/>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Managers and Management </w:t>
      </w:r>
    </w:p>
    <w:p>
      <w:pPr>
        <w:pStyle w:val="TextBody"/>
        <w:bidi w:val="0"/>
        <w:spacing w:before="0" w:after="0"/>
        <w:jc w:val="left"/>
        <w:rPr>
          <w:rFonts w:ascii="Times New Roman" w:hAnsi="Times New Roman"/>
          <w:sz w:val="20"/>
        </w:rPr>
      </w:pPr>
      <w:r>
        <w:rPr>
          <w:rFonts w:ascii="Times New Roman" w:hAnsi="Times New Roman"/>
          <w:sz w:val="20"/>
        </w:rPr>
        <w:t xml:space="preserve">Green Gate Resources Parent, LLC </w:t>
      </w:r>
    </w:p>
    <w:p>
      <w:pPr>
        <w:pStyle w:val="TextBody"/>
        <w:bidi w:val="0"/>
        <w:spacing w:before="0" w:after="0"/>
        <w:jc w:val="left"/>
        <w:rPr>
          <w:rFonts w:ascii="Times New Roman" w:hAnsi="Times New Roman"/>
          <w:sz w:val="20"/>
        </w:rPr>
      </w:pPr>
      <w:r>
        <w:rPr>
          <w:rFonts w:ascii="Times New Roman" w:hAnsi="Times New Roman"/>
          <w:sz w:val="20"/>
        </w:rPr>
        <w:t xml:space="preserve">Houston, Texas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and combined financial statements of Green Gate Resources Parent, LLC and its subsidiaries (the Company), which comprise the consolidated and combined balance sheets as of December 31, 2023 (Successor) and 2022 (Successor) and December 31, 2022 (Predecessor), and the related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and the related notes to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and combined financial statements present fairly, in all material respects, the financial position of the Company as of December 31, 2023 (Successor) and 2022 (Successor) and December 31, 2022 (Predecessor), and the results of its operations and its cash flows for the year ended December 31, 2023 (Successor) and the 122 days ended December 31, 2022 (Successor) and the 58 days ended February 27, 2023 (Predecessor) and the years ended December 31, 2022 (Predecessor) and 2021 (Predecessor)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and combined financial statements in accordance with accounting principles generally accepted in the United States of America, and for the design, implementation, and maintenance of internal control relevant to the preparation and fair presentation of consolidated and combined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and combined financial statements, management is required to evaluate whether there are conditions or events, considered in the aggregate, that raise substantial doubt about the Companys ability to continue as a going concern within one year after the date that the consolidated and combined financial statements are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and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and combined financial statements, whether due to fraud or error, and design and perform audit procedures responsive to those risks. Such procedures include examining, on a test basis, evidence regarding the amounts and disclosures in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April 16,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30" w:name="fin785486_2"/>
      <w:bookmarkEnd w:id="30"/>
      <w:r>
        <w:rPr>
          <w:rFonts w:ascii="Times New Roman" w:hAnsi="Times New Roman"/>
          <w:b/>
          <w:sz w:val="20"/>
        </w:rPr>
        <w:t xml:space="preserve">Consolidated and Combined Statements of Operations and Other Comprehensive Income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(in thousands of dollars)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9"/>
        <w:gridCol w:w="142"/>
        <w:gridCol w:w="169"/>
        <w:gridCol w:w="1221"/>
        <w:gridCol w:w="155"/>
        <w:gridCol w:w="82"/>
        <w:gridCol w:w="658"/>
        <w:gridCol w:w="659"/>
        <w:gridCol w:w="112"/>
        <w:gridCol w:w="142"/>
        <w:gridCol w:w="162"/>
        <w:gridCol w:w="1039"/>
        <w:gridCol w:w="155"/>
        <w:gridCol w:w="142"/>
        <w:gridCol w:w="140"/>
        <w:gridCol w:w="979"/>
        <w:gridCol w:w="155"/>
        <w:gridCol w:w="142"/>
        <w:gridCol w:w="140"/>
        <w:gridCol w:w="980"/>
        <w:gridCol w:w="162"/>
      </w:tblGrid>
      <w:tr>
        <w:trPr/>
        <w:tc>
          <w:tcPr>
            <w:tcW w:w="26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69" w:type="dxa"/>
            <w:vMerge w:val="restart"/>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03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37,711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2,755,581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2,084,423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6,641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2,812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13,287</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1,036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(127,921</w:t>
            </w:r>
          </w:p>
        </w:tc>
        <w:tc>
          <w:tcPr>
            <w:tcW w:w="155" w:type="dxa"/>
            <w:tcBorders/>
            <w:vAlign w:val="bottom"/>
          </w:tcPr>
          <w:p>
            <w:pPr>
              <w:pStyle w:val="TableContents"/>
              <w:bidi w:val="0"/>
              <w:spacing w:before="0" w:after="283"/>
              <w:jc w:val="left"/>
              <w:rPr>
                <w:b/>
              </w:rPr>
            </w:pPr>
            <w:r>
              <w:rPr>
                <w:b/>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1,654,728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2,808,905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2,124,775</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21" w:type="dxa"/>
            <w:tcBorders/>
            <w:shd w:fill="CCEEFF" w:val="clear"/>
            <w:vAlign w:val="bottom"/>
          </w:tcPr>
          <w:p>
            <w:pPr>
              <w:pStyle w:val="TableContents"/>
              <w:bidi w:val="0"/>
              <w:spacing w:before="0" w:after="283"/>
              <w:jc w:val="right"/>
              <w:rPr>
                <w:b/>
              </w:rPr>
            </w:pPr>
            <w:r>
              <w:rPr>
                <w:b/>
              </w:rPr>
              <w:t>394,466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463,186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396,246</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159,717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219,995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240,493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291,491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748,870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122,321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92,793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273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170,198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212,770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55,338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46,012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71,053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733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71,733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3,910</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1,350,713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1,812,683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304,016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312,092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4,485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(109,693</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6,850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(2,245</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203,413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321,342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1,302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gain/(loss) on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1,002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1,454</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cost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908</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988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2,999</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arising during the period</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9,069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6,864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22,279</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215,774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(100,880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947,719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350,726</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All items of other comprehensive income/(loss) are displayed net of a tax benefit of ($4,129) thousand, ($218) thousand, ($3,257) thousand, and ($10,175) thousand for the Successor year ended December 31, 2023, the Predecessor 58-day period ended February 27, 2023, and years ended December 31, 2022 and 2021, respectively.</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31" w:name="fin785486_3"/>
      <w:bookmarkEnd w:id="31"/>
      <w:r>
        <w:rPr>
          <w:rFonts w:ascii="Times New Roman" w:hAnsi="Times New Roman"/>
          <w:b/>
          <w:sz w:val="20"/>
        </w:rPr>
        <w:t xml:space="preserve">Consolidated and Combined Balance Sheets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68"/>
        <w:gridCol w:w="183"/>
        <w:gridCol w:w="1292"/>
        <w:gridCol w:w="60"/>
        <w:gridCol w:w="104"/>
        <w:gridCol w:w="201"/>
        <w:gridCol w:w="1170"/>
        <w:gridCol w:w="104"/>
        <w:gridCol w:w="168"/>
        <w:gridCol w:w="168"/>
        <w:gridCol w:w="1192"/>
        <w:gridCol w:w="160"/>
      </w:tblGrid>
      <w:tr>
        <w:trPr/>
        <w:tc>
          <w:tcPr>
            <w:tcW w:w="523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35" w:type="dxa"/>
            <w:vMerge w:val="restart"/>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235" w:type="dxa"/>
            <w:vMerge w:val="continue"/>
            <w:tcBorders/>
            <w:vAlign w:val="bottom"/>
          </w:tcPr>
          <w:p>
            <w:pPr>
              <w:pStyle w:val="Normal"/>
              <w:bidi w:val="0"/>
              <w:jc w:val="left"/>
              <w:rPr/>
            </w:pPr>
            <w:r>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1292" w:type="dxa"/>
            <w:tcBorders/>
            <w:shd w:fill="CCEEFF" w:val="clear"/>
            <w:vAlign w:val="bottom"/>
          </w:tcPr>
          <w:p>
            <w:pPr>
              <w:pStyle w:val="TableContents"/>
              <w:bidi w:val="0"/>
              <w:spacing w:before="0" w:after="283"/>
              <w:jc w:val="right"/>
              <w:rPr>
                <w:b/>
              </w:rPr>
            </w:pPr>
            <w:r>
              <w:rPr>
                <w:b/>
              </w:rPr>
              <w:t>29,376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343,681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15,840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191,102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174,532</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6,049</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1,760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9,155</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Crude oil and condensate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389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934</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17,101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15,241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4,542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293,541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566,162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34,865</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8,140</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2,923,569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4,508,315</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14,687</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18,108</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98,867</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163,903</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140,860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172,716</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14,589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14,476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31,032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161,304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88,596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 term debt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100,000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82,320</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149,374</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530,106</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425,162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1,022,265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1,078,771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Long term debt,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811,419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79,366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56,888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77,989</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2,500,044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1,581,922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9 and Note 10)</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and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$1.00 par value for the predecessor (2,000 shares authorized and outstanding)</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854,425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3,714,630</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(31,926</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865,484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3,682,706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&amp; Stockholders Equity</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32" w:name="fin785486_4"/>
      <w:bookmarkEnd w:id="32"/>
      <w:r>
        <w:rPr>
          <w:rFonts w:ascii="Times New Roman" w:hAnsi="Times New Roman"/>
          <w:b/>
          <w:sz w:val="20"/>
        </w:rPr>
        <w:t xml:space="preserve">Consolidated and Combined Statements of Members and Stockholders Equity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5"/>
        <w:gridCol w:w="235"/>
        <w:gridCol w:w="212"/>
        <w:gridCol w:w="519"/>
        <w:gridCol w:w="87"/>
        <w:gridCol w:w="287"/>
        <w:gridCol w:w="425"/>
        <w:gridCol w:w="435"/>
        <w:gridCol w:w="60"/>
        <w:gridCol w:w="235"/>
        <w:gridCol w:w="140"/>
        <w:gridCol w:w="1094"/>
        <w:gridCol w:w="155"/>
        <w:gridCol w:w="179"/>
        <w:gridCol w:w="261"/>
        <w:gridCol w:w="1404"/>
        <w:gridCol w:w="155"/>
        <w:gridCol w:w="179"/>
        <w:gridCol w:w="185"/>
        <w:gridCol w:w="1439"/>
        <w:gridCol w:w="164"/>
      </w:tblGrid>
      <w:tr>
        <w:trPr/>
        <w:tc>
          <w:tcPr>
            <w:tcW w:w="23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4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4,600,076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(65,817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4,534,261</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323,086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323,086</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(900,000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(900,000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27,640</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27,640</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4,023,162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(38,177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3,984,987</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941,468</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(1,250,000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6,251</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3,714,630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(31,926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3,682,706</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(101,245</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365</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February 27, 2023</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w:t>
            </w:r>
          </w:p>
        </w:tc>
        <w:tc>
          <w:tcPr>
            <w:tcW w:w="43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3,613,385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(31,561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3,581,826</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0"/>
        <w:gridCol w:w="367"/>
        <w:gridCol w:w="140"/>
        <w:gridCol w:w="875"/>
        <w:gridCol w:w="155"/>
        <w:gridCol w:w="319"/>
        <w:gridCol w:w="277"/>
        <w:gridCol w:w="1358"/>
        <w:gridCol w:w="60"/>
        <w:gridCol w:w="367"/>
        <w:gridCol w:w="217"/>
        <w:gridCol w:w="1380"/>
        <w:gridCol w:w="160"/>
      </w:tblGrid>
      <w:tr>
        <w:trPr/>
        <w:tc>
          <w:tcPr>
            <w:tcW w:w="453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514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31, 2022 (Inception)</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 </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169,000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169,000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169,000</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380" w:type="dxa"/>
            <w:tcBorders/>
            <w:vAlign w:val="bottom"/>
          </w:tcPr>
          <w:p>
            <w:pPr>
              <w:pStyle w:val="TableContents"/>
              <w:bidi w:val="0"/>
              <w:spacing w:before="0" w:after="283"/>
              <w:jc w:val="right"/>
              <w:rPr>
                <w:b/>
              </w:rPr>
            </w:pPr>
            <w:r>
              <w:rPr>
                <w:b/>
              </w:rPr>
              <w:t>169,000</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204,715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204,715</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(135,290</w:t>
            </w:r>
          </w:p>
        </w:tc>
        <w:tc>
          <w:tcPr>
            <w:tcW w:w="155"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(135,290</w:t>
            </w:r>
          </w:p>
        </w:tc>
        <w:tc>
          <w:tcPr>
            <w:tcW w:w="160" w:type="dxa"/>
            <w:tcBorders/>
            <w:vAlign w:val="bottom"/>
          </w:tcPr>
          <w:p>
            <w:pPr>
              <w:pStyle w:val="TableContents"/>
              <w:bidi w:val="0"/>
              <w:spacing w:before="0" w:after="283"/>
              <w:jc w:val="left"/>
              <w:rPr>
                <w:b/>
              </w:rPr>
            </w:pPr>
            <w:r>
              <w:rPr>
                <w:b/>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616,000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11,059</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854,425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11,059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865,484</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33" w:name="fin785486_5"/>
      <w:bookmarkEnd w:id="33"/>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8"/>
        <w:gridCol w:w="139"/>
        <w:gridCol w:w="158"/>
        <w:gridCol w:w="1230"/>
        <w:gridCol w:w="155"/>
        <w:gridCol w:w="81"/>
        <w:gridCol w:w="178"/>
        <w:gridCol w:w="1131"/>
        <w:gridCol w:w="194"/>
        <w:gridCol w:w="139"/>
        <w:gridCol w:w="162"/>
        <w:gridCol w:w="1039"/>
        <w:gridCol w:w="155"/>
        <w:gridCol w:w="138"/>
        <w:gridCol w:w="140"/>
        <w:gridCol w:w="981"/>
        <w:gridCol w:w="155"/>
        <w:gridCol w:w="139"/>
        <w:gridCol w:w="140"/>
        <w:gridCol w:w="981"/>
        <w:gridCol w:w="162"/>
      </w:tblGrid>
      <w:tr>
        <w:trPr/>
        <w:tc>
          <w:tcPr>
            <w:tcW w:w="260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8" w:type="dxa"/>
            <w:vMerge w:val="restart"/>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291,492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76,656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567,728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748,870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122,321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13,168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86,609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92,793</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9,529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commodity derivatives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127,921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assets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(13,278</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171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charges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(1,152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9,089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(3,189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on derivative settlements,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(18,666</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(64,431</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(13,598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(112,665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(93,749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1,518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from equity income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2,287</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5,483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working capital</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due from related parties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116,679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24,422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(49,872</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(140,952</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(14,882</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(8,738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(602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(712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1,488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58,436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(81,254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78,363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21,670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5,162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(5,048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3,880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(1,008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(71,979</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9,589</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4,042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(46,056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items, net</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50,393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65,025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(84,506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54,410</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Provided/(Used) by Operating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679,393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(27,935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1,484,711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1,047,365</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(215,060</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(38,620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(263,877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(107,757</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assets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8,434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52,321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3,839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companies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(1,589</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 paid to Sellers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(169,000</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Business Combination,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(1,791,133</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(8,933</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(2,006,691</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(169,000</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(105,507</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96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4"/>
        <w:gridCol w:w="198"/>
        <w:gridCol w:w="169"/>
        <w:gridCol w:w="1208"/>
        <w:gridCol w:w="155"/>
        <w:gridCol w:w="83"/>
        <w:gridCol w:w="196"/>
        <w:gridCol w:w="1137"/>
        <w:gridCol w:w="115"/>
        <w:gridCol w:w="262"/>
        <w:gridCol w:w="175"/>
        <w:gridCol w:w="1017"/>
        <w:gridCol w:w="155"/>
        <w:gridCol w:w="145"/>
        <w:gridCol w:w="140"/>
        <w:gridCol w:w="1064"/>
        <w:gridCol w:w="155"/>
        <w:gridCol w:w="146"/>
        <w:gridCol w:w="140"/>
        <w:gridCol w:w="878"/>
        <w:gridCol w:w="163"/>
      </w:tblGrid>
      <w:tr>
        <w:trPr/>
        <w:tc>
          <w:tcPr>
            <w:tcW w:w="250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4" w:type="dxa"/>
            <w:vMerge w:val="restart"/>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52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Aera Member Companies: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840" w:type="dxa"/>
            <w:gridSpan w:val="9"/>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Regular Distribution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(900,000</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Tax based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(85,290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from Aera Member Companies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(48,110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 - reduction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(1,422</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600,000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Term Loan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RBL Facility</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445,000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RBL Facility</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(45,000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(8,665</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(Used)/Provided in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1,372,513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(901,099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Restricted Cash</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45,216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(66,299</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20,647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40,759</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Restricted Cash</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343,681</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323,034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282,275</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45,216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277,382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343,681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323,034</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04" w:type="dxa"/>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04"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197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1,421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net of amount capitalized, included in cash flows from operating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89,161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interest paid, included in cash flows from investing activities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6,646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9,106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14,764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17,277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9,488</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asset retirement obligations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(36,590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(78,247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(94,188</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5,367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6,197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5,951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finance lease liabilities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338</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34" w:name="fin785486_6"/>
      <w:bookmarkEnd w:id="34"/>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35" w:name="fin785486_7"/>
            <w:bookmarkEnd w:id="35"/>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2023, GGRH acquired (the Acquisition) Aera Energy LLC and Aera Energy Services Company (collectively, Aera Companies). After the Acquisition, Aera Companies sole member company is GGI. </w:t>
      </w:r>
    </w:p>
    <w:p>
      <w:pPr>
        <w:pStyle w:val="TextBody"/>
        <w:bidi w:val="0"/>
        <w:spacing w:before="240" w:after="0"/>
        <w:jc w:val="left"/>
        <w:rPr>
          <w:rFonts w:ascii="Times New Roman" w:hAnsi="Times New Roman"/>
          <w:sz w:val="20"/>
        </w:rPr>
      </w:pPr>
      <w:r>
        <w:rPr>
          <w:rFonts w:ascii="Times New Roman" w:hAnsi="Times New Roman"/>
          <w:sz w:val="20"/>
        </w:rPr>
        <w:t xml:space="preserve">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 </w:t>
      </w:r>
    </w:p>
    <w:p>
      <w:pPr>
        <w:pStyle w:val="TextBody"/>
        <w:bidi w:val="0"/>
        <w:spacing w:before="240" w:after="0"/>
        <w:jc w:val="left"/>
        <w:rPr>
          <w:rFonts w:ascii="Times New Roman" w:hAnsi="Times New Roman"/>
          <w:sz w:val="20"/>
        </w:rPr>
      </w:pPr>
      <w:r>
        <w:rPr>
          <w:rFonts w:ascii="Times New Roman" w:hAnsi="Times New Roman"/>
          <w:sz w:val="20"/>
        </w:rPr>
        <w:t xml:space="preserve">Aera Energy Services Company (Aera Services), a Delaware corporation, was formed in May 1997 for the purpose of providing the human resource needs of Aera LLC. Prior to the Acquisition, SOVI and MCEPAC equally owned the voting shares of Aera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change of control, as a result of the Acquisition, Aera Companies assets and liabilities were adjusted to fair value on the closing date of the Acquisition. The consolidated financial statements distinguish between the predecessor periods (Predecessor) relating to the combined activity of the Aera Companies for periods prior to the Acquisition on February 28, 2023 and the successor period (Successor) relating to GGRH for periods subsequent to the incorporation of GGRH on August 31, 2022. </w:t>
      </w:r>
    </w:p>
    <w:p>
      <w:pPr>
        <w:pStyle w:val="TextBody"/>
        <w:bidi w:val="0"/>
        <w:spacing w:before="240" w:after="0"/>
        <w:jc w:val="left"/>
        <w:rPr>
          <w:rFonts w:ascii="Times New Roman" w:hAnsi="Times New Roman"/>
          <w:sz w:val="20"/>
        </w:rPr>
      </w:pPr>
      <w:r>
        <w:rPr>
          <w:rFonts w:ascii="Times New Roman" w:hAnsi="Times New Roman"/>
          <w:sz w:val="20"/>
        </w:rPr>
        <w:t xml:space="preserve">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Successor financial information includes the activity and accounts of GGRP, together with its consolidated subsidiaries (collectively, GGRP Companies), as of and for the year ended December 31, 2023, which includes the activity and accounts of Aera Companies, prospectively for the 307-day period following completion of the Acquisition, beginning on February 28, 2023. The accounts and operating activity for the Successor periods from August 31, 2022 to December 31, 2022 and from January 1, 2023 to February 28, 2023 consist solely of the activity of GGRH prior to the close of the Acquisition, which primarily related to a capital contribution made in order to finance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36" w:name="fin785486_8"/>
            <w:bookmarkEnd w:id="36"/>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have adopted accounting practices that are in conformity with accounting principles generally accepted in the United States of America (GAAP). </w:t>
      </w:r>
    </w:p>
    <w:p>
      <w:pPr>
        <w:pStyle w:val="TextBody"/>
        <w:bidi w:val="0"/>
        <w:spacing w:before="240" w:after="0"/>
        <w:jc w:val="left"/>
        <w:rPr>
          <w:rFonts w:ascii="Times New Roman" w:hAnsi="Times New Roman"/>
          <w:sz w:val="20"/>
        </w:rPr>
      </w:pPr>
      <w:r>
        <w:rPr>
          <w:rFonts w:ascii="Times New Roman" w:hAnsi="Times New Roman"/>
          <w:b/>
          <w:sz w:val="20"/>
        </w:rPr>
        <w:t>Principles of Consolidation and Combination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accompanying consolidated and combined financial statements include the consolidated accounts of GGRP together with all its consolidated subsidiaries. Combined financial statements are provided herein due to common ownership, management, and the nature of Aera Services operations as they relate to Aera LLC. All significant inter-company and intracompany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preparation of financial statements in conformity with GAAP requires management of the GGRP Companies to make estimates and assumptions that affect the amounts of assets and liabilities and disclosure of contingent assets and liabilities at the date of the financial statements and the reported amounts of revenues and expenses during the reporting periods. These estimates and assumptions may differ from those of an individual Member Company. Actual results could differ from these estimates. </w:t>
      </w:r>
    </w:p>
    <w:p>
      <w:pPr>
        <w:pStyle w:val="TextBody"/>
        <w:bidi w:val="0"/>
        <w:spacing w:before="240" w:after="0"/>
        <w:jc w:val="left"/>
        <w:rPr>
          <w:rFonts w:ascii="Times New Roman" w:hAnsi="Times New Roman"/>
          <w:sz w:val="20"/>
        </w:rPr>
      </w:pPr>
      <w:r>
        <w:rPr>
          <w:rFonts w:ascii="Times New Roman" w:hAnsi="Times New Roman"/>
          <w:b/>
          <w:sz w:val="20"/>
        </w:rPr>
        <w:t xml:space="preserve">Subsequent Events  </w:t>
      </w:r>
      <w:r>
        <w:rPr>
          <w:rFonts w:ascii="Times New Roman" w:hAnsi="Times New Roman"/>
          <w:sz w:val="20"/>
        </w:rPr>
        <w:t xml:space="preserve">Subsequent events have been evaluated through April 16, 2024, which is the date these consolidated and combined financial statements were available to be issued. The detailed disclosure is included in Note 15, Subsequent Events. </w:t>
      </w:r>
    </w:p>
    <w:p>
      <w:pPr>
        <w:pStyle w:val="TextBody"/>
        <w:bidi w:val="0"/>
        <w:spacing w:before="240" w:after="0"/>
        <w:jc w:val="left"/>
        <w:rPr>
          <w:rFonts w:ascii="Times New Roman" w:hAnsi="Times New Roman"/>
          <w:sz w:val="20"/>
        </w:rPr>
      </w:pPr>
      <w:r>
        <w:rPr>
          <w:rFonts w:ascii="Times New Roman" w:hAnsi="Times New Roman"/>
          <w:b/>
          <w:sz w:val="20"/>
        </w:rPr>
        <w:t xml:space="preserve">Business Combinations  </w:t>
      </w:r>
      <w:r>
        <w:rPr>
          <w:rFonts w:ascii="Times New Roman" w:hAnsi="Times New Roman"/>
          <w:sz w:val="20"/>
        </w:rPr>
        <w:t>The GGRP Companies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GGRP Companies have acquired inputs and processes that have the ability to create outputs, which would meet the requirements of a business. If determined to be a business combination, the GGRP Companies account for the transaction under the acquisition method of accounting in accordance with </w:t>
      </w:r>
      <w:r>
        <w:rPr>
          <w:rFonts w:ascii="Times New Roman" w:hAnsi="Times New Roman"/>
          <w:i/>
          <w:sz w:val="20"/>
        </w:rPr>
        <w:t>ASC 805, Business Combinations</w:t>
      </w:r>
      <w:r>
        <w:rPr>
          <w:rFonts w:ascii="Times New Roman" w:hAnsi="Times New Roman"/>
          <w:sz w:val="20"/>
        </w:rPr>
        <w:t>, which requires the acquiring entity in a business combination to recognize the fair value of all assets acquired, liabilities assumed, and any non-controlling interest in the acquiree and establishes the acquisition date as the fair value measurement point. Accordingly, the GGRP Companies recognize assets acquired and liabilities assumed in business combinations, including contingent assets and liabilities based on the fair value estimates as of the date of acquisition. In accordance with </w:t>
      </w:r>
      <w:r>
        <w:rPr>
          <w:rFonts w:ascii="Times New Roman" w:hAnsi="Times New Roman"/>
          <w:i/>
          <w:sz w:val="20"/>
        </w:rPr>
        <w:t>ASC 805</w:t>
      </w:r>
      <w:r>
        <w:rPr>
          <w:rFonts w:ascii="Times New Roman" w:hAnsi="Times New Roman"/>
          <w:sz w:val="20"/>
        </w:rPr>
        <w:t xml:space="preserve">, the GGRP Companies recognize and measures goodwill as of the acquisition date, as the excess of the fair value of the consideration paid over the fair value of the identified net assets acquired.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for the GGRP Companies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in the Consolidated and Combined Statement of Operations and Other Comprehensive Income in the amount of $5.9 million for the Successor year ended December 31, 2023. </w:t>
      </w:r>
    </w:p>
    <w:p>
      <w:pPr>
        <w:pStyle w:val="TextBody"/>
        <w:bidi w:val="0"/>
        <w:spacing w:before="240" w:after="0"/>
        <w:jc w:val="left"/>
        <w:rPr>
          <w:rFonts w:ascii="Times New Roman" w:hAnsi="Times New Roman"/>
          <w:sz w:val="20"/>
        </w:rPr>
      </w:pPr>
      <w:r>
        <w:rPr>
          <w:rFonts w:ascii="Times New Roman" w:hAnsi="Times New Roman"/>
          <w:sz w:val="20"/>
        </w:rPr>
        <w:t>If determined to be an asset acquisition, the GGRP Companies account for the transaction under </w:t>
      </w:r>
      <w:r>
        <w:rPr>
          <w:rFonts w:ascii="Times New Roman" w:hAnsi="Times New Roman"/>
          <w:i/>
          <w:sz w:val="20"/>
        </w:rPr>
        <w:t>ASC 805-50</w:t>
      </w:r>
      <w:r>
        <w:rPr>
          <w:rFonts w:ascii="Times New Roman" w:hAnsi="Times New Roman"/>
          <w:sz w:val="20"/>
        </w:rPr>
        <w:t xml:space="preserve">,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 </w:t>
      </w:r>
    </w:p>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 </w:t>
      </w:r>
    </w:p>
    <w:p>
      <w:pPr>
        <w:pStyle w:val="TextBody"/>
        <w:bidi w:val="0"/>
        <w:spacing w:before="240" w:after="0"/>
        <w:jc w:val="left"/>
        <w:rPr>
          <w:rFonts w:ascii="Times New Roman" w:hAnsi="Times New Roman"/>
          <w:sz w:val="20"/>
        </w:rPr>
      </w:pPr>
      <w:r>
        <w:rPr>
          <w:rFonts w:ascii="Times New Roman" w:hAnsi="Times New Roman"/>
          <w:b/>
          <w:sz w:val="20"/>
        </w:rPr>
        <w:t xml:space="preserve">Cash  </w:t>
      </w:r>
      <w:r>
        <w:rPr>
          <w:rFonts w:ascii="Times New Roman" w:hAnsi="Times New Roman"/>
          <w:sz w:val="20"/>
        </w:rPr>
        <w:t xml:space="preserve">Cash from time-to-time may exceed the amount of deposit insurance available and which are subject to an insignificant risk of changes in value or loss. </w:t>
      </w:r>
    </w:p>
    <w:p>
      <w:pPr>
        <w:pStyle w:val="TextBody"/>
        <w:bidi w:val="0"/>
        <w:spacing w:before="240" w:after="0"/>
        <w:jc w:val="left"/>
        <w:rPr>
          <w:rFonts w:ascii="Times New Roman" w:hAnsi="Times New Roman"/>
          <w:sz w:val="20"/>
        </w:rPr>
      </w:pPr>
      <w:r>
        <w:rPr>
          <w:rFonts w:ascii="Times New Roman" w:hAnsi="Times New Roman"/>
          <w:b/>
          <w:sz w:val="20"/>
        </w:rPr>
        <w:t xml:space="preserve">Restricted Cash  </w:t>
      </w:r>
      <w:r>
        <w:rPr>
          <w:rFonts w:ascii="Times New Roman" w:hAnsi="Times New Roman"/>
          <w:sz w:val="20"/>
        </w:rPr>
        <w:t>As of the Successor year ended December 31, 2023, cash included restricted cash of $15.8 million which represents funds held in escrow in connection with abandonment and remediation obligations as required under terms of the Newport Banning Ranch land sale.</w:t>
      </w:r>
    </w:p>
    <w:p>
      <w:pPr>
        <w:pStyle w:val="TextBody"/>
        <w:bidi w:val="0"/>
        <w:spacing w:before="240" w:after="0"/>
        <w:jc w:val="left"/>
        <w:rPr>
          <w:rFonts w:ascii="Times New Roman" w:hAnsi="Times New Roman"/>
          <w:sz w:val="20"/>
        </w:rPr>
      </w:pPr>
      <w:r>
        <w:rPr>
          <w:rFonts w:ascii="Times New Roman" w:hAnsi="Times New Roman"/>
          <w:b/>
          <w:sz w:val="20"/>
        </w:rPr>
        <w:t xml:space="preserve">Accounts Receivable  </w:t>
      </w:r>
      <w:r>
        <w:rPr>
          <w:rFonts w:ascii="Times New Roman" w:hAnsi="Times New Roman"/>
          <w:sz w:val="20"/>
        </w:rPr>
        <w:t xml:space="preserve">Accounts receivable are from both non-affiliates and affiliates for the Successor as of December 31, 2023 and primarily from affiliates of the Prior Member Companies for the Predecessor as of December 31, 2022. Accounts receivable are generally collected within 20 days after the end of the month. Aera LLC reviews all outstanding accounts receivable balances and records a reserve for amounts that are not expected to be fully recovered. As of the Successor year ended December 31, 2023 and the Predecessor combined year ended December 31, 2022, no expected credit losses were recorded. </w:t>
      </w:r>
    </w:p>
    <w:p>
      <w:pPr>
        <w:pStyle w:val="TextBody"/>
        <w:bidi w:val="0"/>
        <w:spacing w:before="24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Inventories of crude oil and condensate are carried at the lower of cost or market, on a last-in, first-out (LIFO) basis, and include certain costs directly related to the production process. Materials and supplies are carried at average cost and did not exceed replacement cost. </w:t>
      </w:r>
    </w:p>
    <w:p>
      <w:pPr>
        <w:pStyle w:val="TextBody"/>
        <w:bidi w:val="0"/>
        <w:spacing w:before="240" w:after="0"/>
        <w:jc w:val="left"/>
        <w:rPr>
          <w:rFonts w:ascii="Times New Roman" w:hAnsi="Times New Roman"/>
          <w:sz w:val="20"/>
        </w:rPr>
      </w:pPr>
      <w:r>
        <w:rPr>
          <w:rFonts w:ascii="Times New Roman" w:hAnsi="Times New Roman"/>
          <w:b/>
          <w:sz w:val="20"/>
        </w:rPr>
        <w:t>Equity Investments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Aera LLCs equity investments consist primarily of land development and cogeneration facility partnerships. Aera LLC accounts for its corporate joint ventures under the equity method of accounting in accordance with FASB ASC Topic 323 Investments  Equity Method and Joint Ventures. Aera LLC applies the equity method of accounting to investments over which Aera LLC exercises significant influence but does not have control. Under the equity method of accounting, Aera LLCs share of the investees earnings or losses are recognized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Aera LLC sold its ownership in the Newport Banning Ranch land asset. As a result, Newport Banning Ranch Limited Liability Company (NBR LLC), wrote off its assets associated with the development of that land and investment in the equity company. Aera LLC recognized a net gain of $1.1 million for the year 2022, which was comprised of $45.8 million of proceeds less the land value of $19.5 million and investment of $12.4 million at the time of sale, and the associated asset retirement obligation of $12.6 million. As the part of the Purchase Sale Agreement, Aera LLC maintained the remediation obligation. In September 2023, Aera LLC purchased the partnership interest from Cherokee Newport Beach, LLC representing an additional interest including an additional $7.9 million in an escrow account related to the land sale. Because Aera LLC now owns 99% of the remaining remediation obligation and related $15.8 million escrow account, NBR LLC is now consolidated and not accounted for as an equity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and the Predecessor combined year ended December 31, 2022, $1.8 million and $5.5 million of dividends in excess of equity income were received relating to equity investments,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Revenue Recognition  </w:t>
      </w:r>
      <w:r>
        <w:rPr>
          <w:rFonts w:ascii="Times New Roman" w:hAnsi="Times New Roman"/>
          <w:sz w:val="20"/>
        </w:rPr>
        <w:t xml:space="preserve">Revenues associated with the sales of crude oil, natural gas, and other products are recognized at a point in time when Aera LLCs performance obligation under these contracts is satisfied, which generally occurs when control of oil and natural gas transfers to the customer and collection of the consideration is considered probable. </w:t>
      </w:r>
    </w:p>
    <w:p>
      <w:pPr>
        <w:pStyle w:val="TextBody"/>
        <w:bidi w:val="0"/>
        <w:spacing w:before="240" w:after="0"/>
        <w:jc w:val="left"/>
        <w:rPr>
          <w:rFonts w:ascii="Times New Roman" w:hAnsi="Times New Roman"/>
          <w:sz w:val="20"/>
        </w:rPr>
      </w:pPr>
      <w:r>
        <w:rPr>
          <w:rFonts w:ascii="Times New Roman" w:hAnsi="Times New Roman"/>
          <w:b/>
          <w:sz w:val="20"/>
        </w:rPr>
        <w:t>Concentration of Customers </w:t>
      </w:r>
      <w:r>
        <w:rPr>
          <w:rFonts w:ascii="Times New Roman" w:hAnsi="Times New Roman"/>
          <w:sz w:val="20"/>
        </w:rPr>
        <w:t xml:space="preserve"> Aera LLC sells crude oil, natural gas and NGLs to marketers, refineries and other customers that have access to transportation and storage facilities. Considering the ongoing energy deficit in California and strong demand for in-state crude oil production, we do not believe that the loss of any single customer would have a material adverse effect on our consolidated and combined financial statements taken as a whole. If multiple significant customers were to discontinue purchasing our production abruptly, we believe we would have the resources needed to access alternative customers or markets and avoid or materially mitigate associated sales disruptions.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two customers each accounted for at least 10%, and collectively 96% of our sales (before the effects of hedging). For the Predecessor combined 58-day period ended February 27, 2023, year ended December 31, 2022, and year ended December 31, 2021 all sales were to related parties and our Prior Member Companies accounted for 100% of our sales. We continue to sell crude oil and natural gas to affiliates of our Prior Member Companies. The detailed disclosure is included in Note 7, Transactions with Related Parties. </w:t>
      </w:r>
    </w:p>
    <w:p>
      <w:pPr>
        <w:pStyle w:val="TextBody"/>
        <w:bidi w:val="0"/>
        <w:spacing w:before="240" w:after="0"/>
        <w:jc w:val="left"/>
        <w:rPr>
          <w:rFonts w:ascii="Times New Roman" w:hAnsi="Times New Roman"/>
          <w:sz w:val="20"/>
        </w:rPr>
      </w:pPr>
      <w:r>
        <w:rPr>
          <w:rFonts w:ascii="Times New Roman" w:hAnsi="Times New Roman"/>
          <w:b/>
          <w:sz w:val="20"/>
        </w:rPr>
        <w:t>Exploration and Development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successful efforts method of accounting is used for crude oil and natural gas exploration, development, production, and acquisition activities. </w:t>
      </w:r>
    </w:p>
    <w:p>
      <w:pPr>
        <w:pStyle w:val="TextBody"/>
        <w:bidi w:val="0"/>
        <w:spacing w:before="120" w:after="0"/>
        <w:jc w:val="left"/>
        <w:rPr>
          <w:rFonts w:ascii="Times New Roman" w:hAnsi="Times New Roman"/>
          <w:sz w:val="20"/>
        </w:rPr>
      </w:pPr>
      <w:r>
        <w:rPr>
          <w:rFonts w:ascii="Times New Roman" w:hAnsi="Times New Roman"/>
          <w:b/>
          <w:i/>
          <w:sz w:val="20"/>
        </w:rPr>
        <w:t>Property Acquisition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acquiring proved reserves including lease bonus, brokerage, and other fees are capitalized. The costs of non-producing properties that become productive are transferred to a producing property account. </w:t>
      </w:r>
    </w:p>
    <w:p>
      <w:pPr>
        <w:pStyle w:val="TextBody"/>
        <w:bidi w:val="0"/>
        <w:spacing w:before="120" w:after="0"/>
        <w:jc w:val="left"/>
        <w:rPr>
          <w:rFonts w:ascii="Times New Roman" w:hAnsi="Times New Roman"/>
          <w:sz w:val="20"/>
        </w:rPr>
      </w:pPr>
      <w:r>
        <w:rPr>
          <w:rFonts w:ascii="Times New Roman" w:hAnsi="Times New Roman"/>
          <w:b/>
          <w:i/>
          <w:sz w:val="20"/>
        </w:rPr>
        <w:t>Exploratory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exploratory wells are initially capitalized but, should efforts be determined to be unsuccessful, they are then charged against income. All other exploratory costs are charged to expense as incurred. </w:t>
      </w:r>
    </w:p>
    <w:p>
      <w:pPr>
        <w:pStyle w:val="TextBody"/>
        <w:bidi w:val="0"/>
        <w:spacing w:before="120" w:after="0"/>
        <w:jc w:val="left"/>
        <w:rPr>
          <w:rFonts w:ascii="Times New Roman" w:hAnsi="Times New Roman"/>
          <w:sz w:val="20"/>
        </w:rPr>
      </w:pPr>
      <w:r>
        <w:rPr>
          <w:rFonts w:ascii="Times New Roman" w:hAnsi="Times New Roman"/>
          <w:b/>
          <w:i/>
          <w:sz w:val="20"/>
        </w:rPr>
        <w:t>Development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development wells, including dry holes, well equipment, and attendant production facilities are capitalized. </w:t>
      </w:r>
    </w:p>
    <w:p>
      <w:pPr>
        <w:pStyle w:val="TextBody"/>
        <w:bidi w:val="0"/>
        <w:spacing w:before="240" w:after="0"/>
        <w:jc w:val="left"/>
        <w:rPr>
          <w:rFonts w:ascii="Times New Roman" w:hAnsi="Times New Roman"/>
          <w:sz w:val="20"/>
        </w:rPr>
      </w:pPr>
      <w:r>
        <w:rPr>
          <w:rFonts w:ascii="Times New Roman" w:hAnsi="Times New Roman"/>
          <w:b/>
          <w:sz w:val="20"/>
        </w:rPr>
        <w:t>Depreciation, Depletion, and Amortization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Depreciation, depletion, and amortization of the capitalized cost of producing properties, both tangible and intangible, are provided on a unit of production basis. On a field basis, proved developed oil and natural gas reserve volumes are used for depreciating drilling and development costs, and total proved oil and natural gas reserve volumes are used for depleting producing leasehold costs. Amortization of non-producing leasehold costs from the date of acquisition is based primarily upon experience in establishing rates to fully amortize the cost of those leases that may be unproductive over the holding period. Estimated dismantlement, restoration, abandonment costs, and residual salvage values are considered in determining amortization and depreciation rates. </w:t>
      </w:r>
    </w:p>
    <w:p>
      <w:pPr>
        <w:pStyle w:val="TextBody"/>
        <w:bidi w:val="0"/>
        <w:spacing w:before="240" w:after="0"/>
        <w:jc w:val="left"/>
        <w:rPr>
          <w:rFonts w:ascii="Times New Roman" w:hAnsi="Times New Roman"/>
          <w:sz w:val="20"/>
        </w:rPr>
      </w:pPr>
      <w:r>
        <w:rPr>
          <w:rFonts w:ascii="Times New Roman" w:hAnsi="Times New Roman"/>
          <w:sz w:val="20"/>
        </w:rPr>
        <w:t xml:space="preserve">Other plant and equipment and management information systems are depreciated on a straight-line basis over their estimated useful lives. Gains or losses are not recognized for normal retirements of plant and equipment subject to the composite or group method. Gains or losses from abnormal retirements or sales are recognized in current income. Expenditures for maintenance and repairs are expensed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Impairment  </w:t>
      </w:r>
      <w:r>
        <w:rPr>
          <w:rFonts w:ascii="Times New Roman" w:hAnsi="Times New Roman"/>
          <w:sz w:val="20"/>
        </w:rPr>
        <w:t xml:space="preserve">Aera LLC evaluates proved and unproved properties for indicators of impairment. Proved and unproved properties are evaluated for indicators of impairment when facts and circumstances indicate that their carrying value may not be recoverable, or at least annually. If a triggering event is deemed to have occurred, an impairment assessment is undertaken. In general, the Aera LLC does not view temporarily low prices or margins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Because the lifespan of most of the Aera LLC major assets are measure in decades, the future cash flows of these assets are predominantly based on long-term oil and natural gas commodity prices and industry margins, development costs, and production costs. Aera LLCs assesses impairment of proved oil and natural gas properties by comparing net capitalized costs, on a field-by-field basis, to estimated undiscounted future net cash flows using managements expectations of future oil and natural gas prices. If an impairment is indicated, a charge is recognized in the period in which the impairment occurred based on estimated fair value, which considers estimated future discounted cash flows. Unproved properties are assessed for impairment at least annually on a property-by-property basis and any impairment is charged to income. If the unproved properties are determined to be productive, the related costs are transferred to a producing property account. </w:t>
      </w:r>
    </w:p>
    <w:p>
      <w:pPr>
        <w:pStyle w:val="TextBody"/>
        <w:bidi w:val="0"/>
        <w:spacing w:before="240" w:after="0"/>
        <w:jc w:val="left"/>
        <w:rPr>
          <w:rFonts w:ascii="Times New Roman" w:hAnsi="Times New Roman"/>
          <w:sz w:val="20"/>
        </w:rPr>
      </w:pPr>
      <w:r>
        <w:rPr>
          <w:rFonts w:ascii="Times New Roman" w:hAnsi="Times New Roman"/>
          <w:b/>
          <w:sz w:val="20"/>
        </w:rPr>
        <w:t xml:space="preserve">Asset Retirement Obligations  </w:t>
      </w:r>
      <w:r>
        <w:rPr>
          <w:rFonts w:ascii="Times New Roman" w:hAnsi="Times New Roman"/>
          <w:sz w:val="20"/>
        </w:rPr>
        <w:t xml:space="preserve">Aera LLC incurs retirement obligations related to its exploration and production assets. The fair values of these obligations are recorded as liabilities on a discounted basis adjusted annually. Due to the large number of wells being placed in and removed from service, the fair value of the obligations is reviewed and updated annually, based on the most current information available. The costs associated with these liabilities are capitalized as part of the related assets and depreciated as the reserves are produced. Over time, the liabilities are accreted for the change in present value, based on Aera LLCs risk-adjusted discount rate. Liabilities for environmental costs are recorded when the costs are considered probable and can be reasonably estimated. Specified environmental liabilities are retained by the Prior Member Companies specified in terms and conditions of the preceding Aera Master Agreement. </w:t>
      </w:r>
    </w:p>
    <w:p>
      <w:pPr>
        <w:pStyle w:val="TextBody"/>
        <w:bidi w:val="0"/>
        <w:spacing w:before="240" w:after="0"/>
        <w:jc w:val="left"/>
        <w:rPr>
          <w:rFonts w:ascii="Times New Roman" w:hAnsi="Times New Roman"/>
          <w:sz w:val="20"/>
        </w:rPr>
      </w:pPr>
      <w:r>
        <w:rPr>
          <w:rFonts w:ascii="Times New Roman" w:hAnsi="Times New Roman"/>
          <w:b/>
          <w:sz w:val="20"/>
        </w:rPr>
        <w:t>Capitalized Interest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Interest from external borrowings is capitalized on capital projects using the weighted average borrowing rate of outstanding borrowings until the project is substantially complete and ready for its intended use. Capitalized interest is determined by multiplying our weighted average borrowing cost on debt by the average amount of qualifying costs incurred. Capitalized interest is depreciated in the same manner as the depreciation of the underlying assets.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Income taxes relate only to GGRP Companies incorporated subsidiaries and Aera Services. Aera LLC does not report income taxes since the income or loss before income taxes is allocated to the Member Companies for inclusion in their respective income tax returns. Deferred income taxes reflect the impact of temporary differences between the amount of assets and liabilities recognized for financial reporting purposes and such amounts recognized for tax purposes. </w:t>
      </w:r>
    </w:p>
    <w:p>
      <w:pPr>
        <w:pStyle w:val="TextBody"/>
        <w:bidi w:val="0"/>
        <w:spacing w:before="240" w:after="0"/>
        <w:jc w:val="left"/>
        <w:rPr>
          <w:rFonts w:ascii="Times New Roman" w:hAnsi="Times New Roman"/>
          <w:sz w:val="20"/>
        </w:rPr>
      </w:pPr>
      <w:r>
        <w:rPr>
          <w:rFonts w:ascii="Times New Roman" w:hAnsi="Times New Roman"/>
          <w:b/>
          <w:sz w:val="20"/>
        </w:rPr>
        <w:t>Other Assets, Net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assets, net is comprised primarily of prepaid pension assets and Greenhouse Gas Cap-and-Trade Program Compliance Instruments. Aera LLCs operating facilities subject to Californias Cap-and-Trade Program must obtain compliance instruments (allowances) for ultimate surrender to meet program compliance obligations. Aera LLC manages its holding of compliance instruments as part of its annual business planning activities and adjusts throughout the year. </w:t>
      </w:r>
    </w:p>
    <w:p>
      <w:pPr>
        <w:pStyle w:val="TextBody"/>
        <w:bidi w:val="0"/>
        <w:spacing w:before="240" w:after="0"/>
        <w:jc w:val="left"/>
        <w:rPr>
          <w:rFonts w:ascii="Times New Roman" w:hAnsi="Times New Roman"/>
          <w:sz w:val="20"/>
        </w:rPr>
      </w:pPr>
      <w:r>
        <w:rPr>
          <w:rFonts w:ascii="Times New Roman" w:hAnsi="Times New Roman"/>
          <w:b/>
          <w:sz w:val="20"/>
        </w:rPr>
        <w:t>Other Long Term Liabilities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long term liabilities are comprised primarily of the post-retirement plan benefit obligation, derivative liabilities, and lease liabilities. </w:t>
      </w:r>
    </w:p>
    <w:p>
      <w:pPr>
        <w:pStyle w:val="TextBody"/>
        <w:bidi w:val="0"/>
        <w:spacing w:before="240" w:after="0"/>
        <w:jc w:val="left"/>
        <w:rPr>
          <w:rFonts w:ascii="Times New Roman" w:hAnsi="Times New Roman"/>
          <w:sz w:val="20"/>
        </w:rPr>
      </w:pPr>
      <w:r>
        <w:rPr>
          <w:rFonts w:ascii="Times New Roman" w:hAnsi="Times New Roman"/>
          <w:b/>
          <w:sz w:val="20"/>
        </w:rPr>
        <w:t xml:space="preserve">Leases  </w:t>
      </w:r>
      <w:r>
        <w:rPr>
          <w:rFonts w:ascii="Times New Roman" w:hAnsi="Times New Roman"/>
          <w:sz w:val="20"/>
        </w:rPr>
        <w:t xml:space="preserve">Aera LLC accounts for leases according to </w:t>
      </w:r>
      <w:r>
        <w:rPr>
          <w:rFonts w:ascii="Times New Roman" w:hAnsi="Times New Roman"/>
          <w:i/>
          <w:sz w:val="20"/>
        </w:rPr>
        <w:t>Leases (Topic 842).</w:t>
      </w:r>
      <w:r>
        <w:rPr>
          <w:rFonts w:ascii="Times New Roman" w:hAnsi="Times New Roman"/>
          <w:sz w:val="20"/>
        </w:rPr>
        <w:t xml:space="preserve"> The detailed disclosure is included in Note 10, Leases and Other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Fair Value of Financial Instruments  </w:t>
      </w:r>
      <w:r>
        <w:rPr>
          <w:rFonts w:ascii="Times New Roman" w:hAnsi="Times New Roman"/>
          <w:sz w:val="20"/>
        </w:rPr>
        <w:t xml:space="preserve">Financial instruments consist of cash, crude oil and natural gas receivables, joint interest billing (JIB) receivables, accounts payable, debt and derivatives. The carrying amounts of cash, crude oil and natural gas receivables, JIB receivables, and accounts payable approximate fair value due to the highly liquid nature of these short-term instruments. The detailed disclosure is included in Note 11, Fair Value of Financial Instruments). </w:t>
      </w:r>
    </w:p>
    <w:p>
      <w:pPr>
        <w:pStyle w:val="TextBody"/>
        <w:bidi w:val="0"/>
        <w:spacing w:before="240" w:after="0"/>
        <w:jc w:val="left"/>
        <w:rPr>
          <w:rFonts w:ascii="Times New Roman" w:hAnsi="Times New Roman"/>
          <w:sz w:val="20"/>
        </w:rPr>
      </w:pPr>
      <w:r>
        <w:rPr>
          <w:rFonts w:ascii="Times New Roman" w:hAnsi="Times New Roman"/>
          <w:b/>
          <w:sz w:val="20"/>
        </w:rPr>
        <w:t xml:space="preserve">Derivative Instruments  </w:t>
      </w:r>
      <w:r>
        <w:rPr>
          <w:rFonts w:ascii="Times New Roman" w:hAnsi="Times New Roman"/>
          <w:sz w:val="20"/>
        </w:rPr>
        <w:t xml:space="preserve">Aera LLC utilizes derivative instruments, primarily swaps, to manage its exposure to fluctuations in the underlying commodity prices of crude oil sold and natural gas purchased by Aera LLC. Aera LLC nets derivative assets and liabilities for counter parties where it has a legal right to offset. The derivative transactions are not designated as cash flow hedges. Accordingly, these derivative contracts are marked-to-market and any changes in the estimated value of derivative contracts held at the balance sheet date are recognized in the Consolidated and Combined Statements of Operations and Other Comprehensive Income as net gains or losses on commodity derivatives. Unless otherwise indicated, we use the term hedge to describe derivatives instruments that are designed to achieve our hedging program goals, even though they are not accounted for as cash-flow or fair-value hedges. The detailed disclosure is included in Note 12, Derivatives. </w:t>
      </w:r>
    </w:p>
    <w:p>
      <w:pPr>
        <w:pStyle w:val="TextBody"/>
        <w:bidi w:val="0"/>
        <w:spacing w:before="240" w:after="0"/>
        <w:jc w:val="left"/>
        <w:rPr>
          <w:rFonts w:ascii="Times New Roman" w:hAnsi="Times New Roman"/>
          <w:sz w:val="20"/>
        </w:rPr>
      </w:pPr>
      <w:r>
        <w:rPr>
          <w:rFonts w:ascii="Times New Roman" w:hAnsi="Times New Roman"/>
          <w:b/>
          <w:sz w:val="20"/>
        </w:rPr>
        <w:t xml:space="preserve">Cash Distributions  </w:t>
      </w:r>
      <w:r>
        <w:rPr>
          <w:rFonts w:ascii="Times New Roman" w:hAnsi="Times New Roman"/>
          <w:sz w:val="20"/>
        </w:rPr>
        <w:t xml:space="preserve">Aera LLC periodically make cash distributions of excess earnings to the Member Companies as requested by the Member Companies. </w:t>
      </w:r>
    </w:p>
    <w:p>
      <w:pPr>
        <w:pStyle w:val="TextBody"/>
        <w:bidi w:val="0"/>
        <w:spacing w:before="240" w:after="0"/>
        <w:jc w:val="left"/>
        <w:rPr>
          <w:rFonts w:ascii="Times New Roman" w:hAnsi="Times New Roman"/>
          <w:sz w:val="20"/>
        </w:rPr>
      </w:pPr>
      <w:r>
        <w:rPr>
          <w:rFonts w:ascii="Times New Roman" w:hAnsi="Times New Roman"/>
          <w:b/>
          <w:sz w:val="20"/>
        </w:rPr>
        <w:t xml:space="preserve">Recently Adopted Accounting Standards  </w:t>
      </w:r>
      <w:r>
        <w:rPr>
          <w:rFonts w:ascii="Times New Roman" w:hAnsi="Times New Roman"/>
          <w:sz w:val="20"/>
        </w:rPr>
        <w:t xml:space="preserve">Effective January 1, 2023, the GGRP Companies adopted </w:t>
      </w:r>
      <w:r>
        <w:rPr>
          <w:rFonts w:ascii="Times New Roman" w:hAnsi="Times New Roman"/>
          <w:i/>
          <w:sz w:val="20"/>
        </w:rPr>
        <w:t>Accounting Standards Update (ASU) 2021-08,</w:t>
      </w:r>
      <w:r>
        <w:rPr>
          <w:rFonts w:ascii="Times New Roman" w:hAnsi="Times New Roman"/>
          <w:sz w:val="20"/>
        </w:rPr>
        <w:t xml:space="preserve">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on a prospective basis. Under this </w:t>
      </w:r>
      <w:r>
        <w:rPr>
          <w:rFonts w:ascii="Times New Roman" w:hAnsi="Times New Roman"/>
          <w:i/>
          <w:sz w:val="20"/>
        </w:rPr>
        <w:t>ASU</w:t>
      </w:r>
      <w:r>
        <w:rPr>
          <w:rFonts w:ascii="Times New Roman" w:hAnsi="Times New Roman"/>
          <w:sz w:val="20"/>
        </w:rPr>
        <w:t xml:space="preserve">, contract assets and contract liabilities acquired in a business combination are measured in accordance with </w:t>
      </w:r>
      <w:r>
        <w:rPr>
          <w:rFonts w:ascii="Times New Roman" w:hAnsi="Times New Roman"/>
          <w:i/>
          <w:sz w:val="20"/>
        </w:rPr>
        <w:t>ASC 606,</w:t>
      </w:r>
      <w:r>
        <w:rPr>
          <w:rFonts w:ascii="Times New Roman" w:hAnsi="Times New Roman"/>
          <w:sz w:val="20"/>
        </w:rPr>
        <w:t xml:space="preserve"> </w:t>
      </w:r>
      <w:r>
        <w:rPr>
          <w:rFonts w:ascii="Times New Roman" w:hAnsi="Times New Roman"/>
          <w:i/>
          <w:sz w:val="20"/>
        </w:rPr>
        <w:t>Revenue from Contracts with Customers</w:t>
      </w:r>
      <w:r>
        <w:rPr>
          <w:rFonts w:ascii="Times New Roman" w:hAnsi="Times New Roman"/>
          <w:sz w:val="20"/>
        </w:rPr>
        <w:t xml:space="preserve"> instead of at fair value. The GGRP Companies application of this </w:t>
      </w:r>
      <w:r>
        <w:rPr>
          <w:rFonts w:ascii="Times New Roman" w:hAnsi="Times New Roman"/>
          <w:i/>
          <w:sz w:val="20"/>
        </w:rPr>
        <w:t>ASU</w:t>
      </w:r>
      <w:r>
        <w:rPr>
          <w:rFonts w:ascii="Times New Roman" w:hAnsi="Times New Roman"/>
          <w:sz w:val="20"/>
        </w:rPr>
        <w:t xml:space="preserve"> for the measurement of contract assets and contract liabilities did not have a material impact on the GGRP Companies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GGRP Companies adopted </w:t>
      </w:r>
      <w:r>
        <w:rPr>
          <w:rFonts w:ascii="Times New Roman" w:hAnsi="Times New Roman"/>
          <w:i/>
          <w:sz w:val="20"/>
        </w:rPr>
        <w:t>ASU 2016-13, Financial Instruments  Credit Losses (Topic 326): Measurement of Credit Losses on Financial Instruments (ASC 326)</w:t>
      </w:r>
      <w:r>
        <w:rPr>
          <w:rFonts w:ascii="Times New Roman" w:hAnsi="Times New Roman"/>
          <w:sz w:val="20"/>
        </w:rPr>
        <w:t xml:space="preserve"> on current expected credit losses on January 1, 2023.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Recently Issued but not Adopted Accounting Standards  </w:t>
      </w:r>
      <w:r>
        <w:rPr>
          <w:rFonts w:ascii="Times New Roman" w:hAnsi="Times New Roman"/>
          <w:sz w:val="20"/>
        </w:rPr>
        <w:t xml:space="preserve">In December 2023, the Financial Accounting Standard Board (FASB) issued new disclosure requirements for </w:t>
      </w:r>
      <w:r>
        <w:rPr>
          <w:rFonts w:ascii="Times New Roman" w:hAnsi="Times New Roman"/>
          <w:i/>
          <w:sz w:val="20"/>
        </w:rPr>
        <w:t>Income Taxes (ASC 740)</w:t>
      </w:r>
      <w:r>
        <w:rPr>
          <w:rFonts w:ascii="Times New Roman" w:hAnsi="Times New Roman"/>
          <w:sz w:val="20"/>
        </w:rPr>
        <w:t xml:space="preserve">. The rule is effective for annual periods beginning after December 15, 2024, but early adoption is permitted. We do not expect the adoption of these rules to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Reclassifications  </w:t>
      </w:r>
      <w:r>
        <w:rPr>
          <w:rFonts w:ascii="Times New Roman" w:hAnsi="Times New Roman"/>
          <w:sz w:val="20"/>
        </w:rPr>
        <w:t xml:space="preserve">Certain items in the 2022 and 2021 financial statements have been reclassified for comparability purposes with the 2023 financial statements. These reclassifications had no effect on previously reported net income or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37" w:name="fin785486_9"/>
            <w:bookmarkEnd w:id="37"/>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of Aera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consideration paid for the Aera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5"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Consideration</w:t>
            </w:r>
          </w:p>
        </w:tc>
        <w:tc>
          <w:tcPr>
            <w:tcW w:w="64" w:type="dxa"/>
            <w:tcBorders/>
            <w:shd w:fill="CCEEFF" w:val="clear"/>
          </w:tcPr>
          <w:p>
            <w:pPr>
              <w:pStyle w:val="TableContents"/>
              <w:bidi w:val="0"/>
              <w:spacing w:before="0" w:after="0"/>
              <w:jc w:val="left"/>
              <w:rPr/>
            </w:pPr>
            <w:r>
              <w:rPr/>
              <w:t> </w:t>
            </w:r>
          </w:p>
        </w:tc>
      </w:tr>
      <w:tr>
        <w:trPr/>
        <w:tc>
          <w:tcPr>
            <w:tcW w:w="5173"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1,280,000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45,187</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Payments and Price Adjustments not paid at close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1,009,943</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of total consideration transferred</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2,335,130</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ended December 31, 2023, GGRH paid $17.6 million to settle contingent consideration as it came due under the terms of the membership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ended December 31, 2023, the loss recognized for changes in the fair value of contingent consideration arrangement in the amount of $1.5 million is included in Other Non-Operating Expense in the Consolidated and Combined Statement of Operations and Other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range of outcomes that GGRH could be required to make under the contingent consideration arrangement is between $24.6 million and $30.6 million. The assumptions used to develop the estimates have not changed. Contingent consideration is split between Accrued Liabilities and Other Long-term Liabilities in the Balance Sheet. See note 11 for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total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Acquisition-related costs of $43.9 million were included in Other Operating Expenses in the Consolidated and Combined Statement of Operations and Other Comprehensive Income for the Successor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6"/>
        <w:gridCol w:w="444"/>
        <w:gridCol w:w="145"/>
        <w:gridCol w:w="1226"/>
        <w:gridCol w:w="158"/>
      </w:tblGrid>
      <w:tr>
        <w:trPr/>
        <w:tc>
          <w:tcPr>
            <w:tcW w:w="4966"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Recognized amounts of identifiable assets acquired and liabilities assumed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66" w:type="dxa"/>
            <w:tcBorders/>
            <w:vAlign w:val="center"/>
          </w:tcPr>
          <w:p>
            <w:pPr>
              <w:pStyle w:val="TableContents"/>
              <w:bidi w:val="0"/>
              <w:spacing w:before="0" w:after="283"/>
              <w:jc w:val="left"/>
              <w:rPr>
                <w:sz w:val="4"/>
                <w:szCs w:val="4"/>
              </w:rPr>
            </w:pPr>
            <w:r>
              <w:rPr>
                <w:sz w:val="4"/>
                <w:szCs w:val="4"/>
              </w:rPr>
            </w:r>
          </w:p>
        </w:tc>
        <w:tc>
          <w:tcPr>
            <w:tcW w:w="1973" w:type="dxa"/>
            <w:gridSpan w:val="4"/>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 Allocation:</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491,035</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34,023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3,049,853</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23,943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141,162</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(186,972</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(1,083,279</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(128,287</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(6,348</w:t>
            </w:r>
          </w:p>
        </w:tc>
        <w:tc>
          <w:tcPr>
            <w:tcW w:w="158" w:type="dxa"/>
            <w:tcBorders/>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2,335,130</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bookmarkStart w:id="38" w:name="fin785486_10"/>
            <w:bookmarkEnd w:id="38"/>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LLC and its subsidiaries sell crude oil, natural gas, natural gas liquids and other products under long-term agreements, with periodic price adjustments to reflect market conditions. Revenue is recognized upon transfer of control, based on the terms of delivery and collectability of the consideration is considered probable. Production is priced on the average monthly prevailing index prices less certain deductions related to quality and physical location. Payment for revenue transactions is typically due within 20 days.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at the point in time when Aera LLCs performance obligation under these contracts is satisfied, which generally occurs when control of crude oil and natural gas transfers to the customer and collection of the consideration is considered probable. In accordance with </w:t>
      </w:r>
      <w:r>
        <w:rPr>
          <w:rFonts w:ascii="Times New Roman" w:hAnsi="Times New Roman"/>
          <w:i/>
          <w:sz w:val="20"/>
        </w:rPr>
        <w:t>Revenue from Contracts with Customers (Topic 606)</w:t>
      </w:r>
      <w:r>
        <w:rPr>
          <w:rFonts w:ascii="Times New Roman" w:hAnsi="Times New Roman"/>
          <w:sz w:val="20"/>
        </w:rPr>
        <w:t xml:space="preserve">, Aera LLC considers the indicators of the transfer of control to determine the point in time. Aera LLC does not believe that significant judgements are required with respect to the determination of transfer of control or transaction price. Aera LLCs performance obligations arise upon the production of produced crude oil, natural gas, and natural gas liquids from wells in which the Company has an ownership interest. Disaggregated revenue sales of crude oil, natural gas and natural gas liquids (NGLs) to customers includes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0"/>
        <w:gridCol w:w="259"/>
        <w:gridCol w:w="169"/>
        <w:gridCol w:w="1192"/>
        <w:gridCol w:w="155"/>
        <w:gridCol w:w="129"/>
        <w:gridCol w:w="686"/>
        <w:gridCol w:w="687"/>
        <w:gridCol w:w="129"/>
        <w:gridCol w:w="339"/>
        <w:gridCol w:w="217"/>
        <w:gridCol w:w="965"/>
        <w:gridCol w:w="155"/>
        <w:gridCol w:w="209"/>
        <w:gridCol w:w="140"/>
        <w:gridCol w:w="688"/>
        <w:gridCol w:w="155"/>
        <w:gridCol w:w="209"/>
        <w:gridCol w:w="140"/>
        <w:gridCol w:w="688"/>
        <w:gridCol w:w="164"/>
      </w:tblGrid>
      <w:tr>
        <w:trPr/>
        <w:tc>
          <w:tcPr>
            <w:tcW w:w="273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2849" w:type="dxa"/>
            <w:gridSpan w:val="5"/>
            <w:tcBorders/>
            <w:vAlign w:val="bottom"/>
          </w:tcPr>
          <w:p>
            <w:pPr>
              <w:pStyle w:val="TableContents"/>
              <w:bidi w:val="0"/>
              <w:spacing w:before="0" w:after="283"/>
              <w:jc w:val="left"/>
              <w:rPr>
                <w:sz w:val="4"/>
                <w:szCs w:val="4"/>
              </w:rPr>
            </w:pPr>
            <w:r>
              <w:rPr>
                <w:sz w:val="4"/>
                <w:szCs w:val="4"/>
              </w:rPr>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3349" w:type="dxa"/>
            <w:gridSpan w:val="9"/>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30" w:type="dxa"/>
            <w:vMerge w:val="restart"/>
            <w:tcBorders/>
          </w:tcPr>
          <w:p>
            <w:pPr>
              <w:pStyle w:val="TableContents"/>
              <w:bidi w:val="0"/>
              <w:spacing w:before="0" w:after="283"/>
              <w:jc w:val="left"/>
              <w:rPr>
                <w:i/>
              </w:rPr>
            </w:pPr>
            <w:r>
              <w:rPr>
                <w:i/>
              </w:rPr>
              <w:t>(in thousands of dollars)</w:t>
            </w:r>
          </w:p>
        </w:tc>
        <w:tc>
          <w:tcPr>
            <w:tcW w:w="259" w:type="dxa"/>
            <w:tcBorders/>
            <w:vAlign w:val="bottom"/>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56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192" w:type="dxa"/>
            <w:tcBorders/>
            <w:shd w:fill="CCEEFF" w:val="clear"/>
            <w:vAlign w:val="bottom"/>
          </w:tcPr>
          <w:p>
            <w:pPr>
              <w:pStyle w:val="TableContents"/>
              <w:bidi w:val="0"/>
              <w:spacing w:before="0" w:after="283"/>
              <w:jc w:val="right"/>
              <w:rPr>
                <w:b/>
              </w:rPr>
            </w:pPr>
            <w:r>
              <w:rPr>
                <w:b/>
              </w:rPr>
              <w:t>1,759,631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5,168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40,708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30,484</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b/>
              </w:rPr>
            </w:pPr>
            <w:r>
              <w:rPr>
                <w:b/>
              </w:rPr>
              <w:t>(1,195</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(1,452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(3,128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(2,192</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b/>
              </w:rPr>
            </w:pPr>
            <w:r>
              <w:rPr>
                <w:b/>
              </w:rPr>
              <w:t>4,284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10,202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9,419</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2"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37,711</w:t>
            </w:r>
          </w:p>
        </w:tc>
        <w:tc>
          <w:tcPr>
            <w:tcW w:w="164" w:type="dxa"/>
            <w:tcBorders/>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2"/>
        <w:gridCol w:w="237"/>
        <w:gridCol w:w="687"/>
        <w:gridCol w:w="688"/>
        <w:gridCol w:w="81"/>
        <w:gridCol w:w="208"/>
        <w:gridCol w:w="684"/>
        <w:gridCol w:w="691"/>
        <w:gridCol w:w="118"/>
        <w:gridCol w:w="304"/>
        <w:gridCol w:w="175"/>
        <w:gridCol w:w="1001"/>
        <w:gridCol w:w="59"/>
        <w:gridCol w:w="237"/>
        <w:gridCol w:w="140"/>
        <w:gridCol w:w="983"/>
        <w:gridCol w:w="60"/>
        <w:gridCol w:w="237"/>
        <w:gridCol w:w="140"/>
        <w:gridCol w:w="983"/>
        <w:gridCol w:w="70"/>
      </w:tblGrid>
      <w:tr>
        <w:trPr/>
        <w:tc>
          <w:tcPr>
            <w:tcW w:w="2422"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22" w:type="dxa"/>
            <w:tcBorders/>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br/>
              <w:t>to related parties</w:t>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sz w:val="4"/>
                <w:szCs w:val="4"/>
              </w:rPr>
            </w:pPr>
            <w:r>
              <w:rPr>
                <w:sz w:val="4"/>
                <w:szCs w:val="4"/>
              </w:rPr>
            </w:r>
          </w:p>
        </w:tc>
        <w:tc>
          <w:tcPr>
            <w:tcW w:w="2352" w:type="dxa"/>
            <w:gridSpan w:val="5"/>
            <w:tcBorders/>
            <w:vAlign w:val="bottom"/>
          </w:tcPr>
          <w:p>
            <w:pPr>
              <w:pStyle w:val="TableContents"/>
              <w:bidi w:val="0"/>
              <w:spacing w:before="0" w:after="283"/>
              <w:jc w:val="left"/>
              <w:rPr>
                <w:sz w:val="4"/>
                <w:szCs w:val="4"/>
              </w:rPr>
            </w:pPr>
            <w:r>
              <w:rPr>
                <w:sz w:val="4"/>
                <w:szCs w:val="4"/>
              </w:rPr>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840" w:type="dxa"/>
            <w:gridSpan w:val="9"/>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422" w:type="dxa"/>
            <w:vMerge w:val="restart"/>
            <w:tcBorders/>
          </w:tcPr>
          <w:p>
            <w:pPr>
              <w:pStyle w:val="TableContents"/>
              <w:bidi w:val="0"/>
              <w:spacing w:before="0" w:after="283"/>
              <w:jc w:val="left"/>
              <w:rPr>
                <w:i/>
              </w:rPr>
            </w:pPr>
            <w:r>
              <w:rPr>
                <w:i/>
              </w:rPr>
              <w:t>(in thousands of dollars)</w:t>
            </w:r>
          </w:p>
        </w:tc>
        <w:tc>
          <w:tcPr>
            <w:tcW w:w="237" w:type="dxa"/>
            <w:tcBorders/>
            <w:vAlign w:val="bottom"/>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r>
            <w:r>
              <w:rPr/>
              <w:br/>
            </w:r>
            <w:r>
              <w:rPr>
                <w:b/>
              </w:rPr>
              <w:t>December 31,</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54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2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3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b/>
              </w:rPr>
            </w:pPr>
            <w:r>
              <w:rPr>
                <w:b/>
              </w:rPr>
              <w:t>$</w:t>
            </w:r>
          </w:p>
        </w:tc>
        <w:tc>
          <w:tcPr>
            <w:tcW w:w="691" w:type="dxa"/>
            <w:tcBorders/>
            <w:shd w:fill="CCEEFF" w:val="clear"/>
            <w:vAlign w:val="bottom"/>
          </w:tcPr>
          <w:p>
            <w:pPr>
              <w:pStyle w:val="TableContents"/>
              <w:bidi w:val="0"/>
              <w:spacing w:before="0" w:after="283"/>
              <w:jc w:val="right"/>
              <w:rPr>
                <w:b/>
              </w:rPr>
            </w:pPr>
            <w:r>
              <w:rPr>
                <w:b/>
              </w:rPr>
              <w:t> </w:t>
            </w:r>
          </w:p>
        </w:tc>
        <w:tc>
          <w:tcPr>
            <w:tcW w:w="11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341,218</w:t>
            </w:r>
          </w:p>
        </w:tc>
        <w:tc>
          <w:tcPr>
            <w:tcW w:w="5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2,084,423</w:t>
            </w:r>
          </w:p>
        </w:tc>
        <w:tc>
          <w:tcPr>
            <w:tcW w:w="70" w:type="dxa"/>
            <w:tcBorders/>
            <w:shd w:fill="CCEEFF" w:val="clear"/>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22"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 </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b/>
              </w:rPr>
            </w:pPr>
            <w:r>
              <w:rPr>
                <w:b/>
              </w:rPr>
              <w:t>$</w:t>
            </w:r>
          </w:p>
        </w:tc>
        <w:tc>
          <w:tcPr>
            <w:tcW w:w="691" w:type="dxa"/>
            <w:tcBorders/>
            <w:vAlign w:val="bottom"/>
          </w:tcPr>
          <w:p>
            <w:pPr>
              <w:pStyle w:val="TableContents"/>
              <w:bidi w:val="0"/>
              <w:spacing w:before="0" w:after="283"/>
              <w:jc w:val="right"/>
              <w:rPr>
                <w:b/>
              </w:rPr>
            </w:pPr>
            <w:r>
              <w:rPr>
                <w:b/>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341,218</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2,755,581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2,084,423</w:t>
            </w:r>
          </w:p>
        </w:tc>
        <w:tc>
          <w:tcPr>
            <w:tcW w:w="70" w:type="dxa"/>
            <w:tcBorders/>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the Predecessor combined 58-day period ended February 27, 2023, year ended December 31, 2022 and year ended December 31, 2021, Crude oil, natural gas and NGL sales primarily arise from contracts with customers. For the Successor year ended December 31, 2023, Accounts receivable  Trade and Accounts receivable  Other are primarily from customers.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combined 58-day period ended February 27, 2023, year ended December 31, 2022 and year ended December 31, 2021, Crude oil, natural gas and NGL sales to related parties primarily arise from contracts with related parties. For the Predecessor combined year ended December 31, 2022, Accounts receivable  Due from related parties are primarily from related parties (see further discussion in Note 7, Transactions with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39" w:name="fin785486_11"/>
            <w:bookmarkEnd w:id="39"/>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Crude oil and condensate inventories are carried on a LIFO basis. Replacement cost exceeded LIFO by $1.5 million and $3.2 million at the Successor year ended December 31, 2023 and the Predecessor combined year ended December 31,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40" w:name="fin785486_12"/>
            <w:bookmarkEnd w:id="40"/>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and Asset Retirement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 of the following: </w:t>
      </w:r>
    </w:p>
    <w:p>
      <w:pPr>
        <w:pStyle w:val="TextBody"/>
        <w:bidi w:val="0"/>
        <w:spacing w:before="240" w:after="0"/>
        <w:jc w:val="left"/>
        <w:rPr>
          <w:rFonts w:ascii="Times New Roman" w:hAnsi="Times New Roman"/>
          <w:i/>
          <w:sz w:val="20"/>
        </w:rPr>
      </w:pPr>
      <w:r>
        <w:rPr>
          <w:rFonts w:ascii="Times New Roman" w:hAnsi="Times New Roman"/>
          <w:i/>
          <w:sz w:val="20"/>
        </w:rPr>
        <w:t xml:space="preserve">(in thousands of dollars) </w:t>
      </w:r>
    </w:p>
    <w:tbl>
      <w:tblPr>
        <w:tblW w:w="5000" w:type="pct"/>
        <w:jc w:val="center"/>
        <w:tblInd w:w="0" w:type="dxa"/>
        <w:tblLayout w:type="fixed"/>
        <w:tblCellMar>
          <w:top w:w="0" w:type="dxa"/>
          <w:left w:w="0" w:type="dxa"/>
          <w:bottom w:w="0" w:type="dxa"/>
          <w:right w:w="0" w:type="dxa"/>
        </w:tblCellMar>
      </w:tblPr>
      <w:tblGrid>
        <w:gridCol w:w="1858"/>
        <w:gridCol w:w="159"/>
        <w:gridCol w:w="140"/>
        <w:gridCol w:w="1105"/>
        <w:gridCol w:w="60"/>
        <w:gridCol w:w="159"/>
        <w:gridCol w:w="140"/>
        <w:gridCol w:w="980"/>
        <w:gridCol w:w="60"/>
        <w:gridCol w:w="124"/>
        <w:gridCol w:w="140"/>
        <w:gridCol w:w="980"/>
        <w:gridCol w:w="79"/>
        <w:gridCol w:w="229"/>
        <w:gridCol w:w="140"/>
        <w:gridCol w:w="1105"/>
        <w:gridCol w:w="60"/>
        <w:gridCol w:w="159"/>
        <w:gridCol w:w="140"/>
        <w:gridCol w:w="980"/>
        <w:gridCol w:w="60"/>
        <w:gridCol w:w="159"/>
        <w:gridCol w:w="140"/>
        <w:gridCol w:w="980"/>
        <w:gridCol w:w="69"/>
      </w:tblGrid>
      <w:tr>
        <w:trPr/>
        <w:tc>
          <w:tcPr>
            <w:tcW w:w="1858"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858" w:type="dxa"/>
            <w:vMerge w:val="restart"/>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2022</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Reserve*</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pPr>
            <w:r>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Reserve*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and production</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12,549,918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9,648,112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2,901,806</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13,926,839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9,439,064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4,487,775</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tcPr>
          <w:p>
            <w:pPr>
              <w:pStyle w:val="TableContents"/>
              <w:bidi w:val="0"/>
              <w:spacing w:before="0" w:after="0"/>
              <w:jc w:val="left"/>
              <w:rPr>
                <w:rFonts w:ascii="Times New Roman" w:hAnsi="Times New Roman"/>
                <w:sz w:val="20"/>
              </w:rPr>
            </w:pPr>
            <w:r>
              <w:rPr>
                <w:rFonts w:ascii="Times New Roman" w:hAnsi="Times New Roman"/>
                <w:sz w:val="20"/>
              </w:rPr>
              <w:t>Land held for development</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21,552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21,552</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20,329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20,329</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1,634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1,422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211</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1,633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211</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858"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12,573,104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9,649,534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2,923,569</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13,948,801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9,440,486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4,508,315</w:t>
            </w:r>
          </w:p>
        </w:tc>
        <w:tc>
          <w:tcPr>
            <w:tcW w:w="69" w:type="dxa"/>
            <w:tcBorders/>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Accumulated depreciation, depletion, amortization, retirements and impairments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Exploration and production costs of $417.3 million, $380.3 million, and $355.0 million consisting primarily of assets under construction and land were not subject to depletion for the Successor year ended December 31, 2023 and the Predecessor combined 58-day period ended February 27, 2023 and year ended December 31,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capitalized related to information systems are amortized on a straight-line basis over a period of three to fourteen years. Aera LLC amortized $10.8 million, $2.3 million, $10.9 million and $9.1 million in software costs for the Successor year ended December 31, 2023 and the Predecessor combined 58-day period ended February 27, 2023 and years ended December 31, 2022 and 2021, respectively. These amounts are recorded in the table above in Exploration and Production. </w:t>
      </w:r>
    </w:p>
    <w:p>
      <w:pPr>
        <w:pStyle w:val="TextBody"/>
        <w:bidi w:val="0"/>
        <w:spacing w:before="240" w:after="0"/>
        <w:jc w:val="left"/>
        <w:rPr>
          <w:rFonts w:ascii="Times New Roman" w:hAnsi="Times New Roman"/>
          <w:sz w:val="20"/>
        </w:rPr>
      </w:pPr>
      <w:r>
        <w:rPr>
          <w:rFonts w:ascii="Times New Roman" w:hAnsi="Times New Roman"/>
          <w:sz w:val="20"/>
        </w:rPr>
        <w:t xml:space="preserve">The analysis for impairments of long-lived assets is conducted under the authoritative guidance on accounting for the impairment or disposal of long-lived assets. For the Successor consolidated year ended December 31, 2023 and the Predecessor combined year ended December 31, 2021, Aera LLC did not incur an impairment loss. For the Predecessor combined year ended December 31, 2022, $0.1 million of impairment losses were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authoritative guidance for asset retirement obligations (AROs), the fair values of AROs are recorded as liabilities on a discounted basis when they are incurred, which is typically at the time the assets are installed. Amounts recorded for the related assets will be increased by the amount of these obligations. In the estimation of fair value, Aera LLC uses assumptions and judgments regarding such factors as the existence of a legal obligation for an asset retirement obligation, technical assessments of the assets, estimated amounts and timing of settlements, discount rates, and inflation rates. AROs incurred in the current period were Level 3 (unobservable inputs) fair value measurements. Over time, the liabilities are accreted for the change in their present value and the initial capitalized costs are depreciated as the reserves are produced.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summarizes the ARO activity for the Successor year ended December 31, 2023, and the Predecessor combined 58-day period ended February 27, 2023 and year ended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5"/>
        <w:gridCol w:w="422"/>
        <w:gridCol w:w="178"/>
        <w:gridCol w:w="1398"/>
        <w:gridCol w:w="166"/>
      </w:tblGrid>
      <w:tr>
        <w:trPr/>
        <w:tc>
          <w:tcPr>
            <w:tcW w:w="477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i/>
              </w:rPr>
            </w:pPr>
            <w:r>
              <w:rPr>
                <w:i/>
              </w:rPr>
              <w:t>(in thousands of dollars)</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February 28, 2023</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b/>
              </w:rPr>
            </w:pPr>
            <w:r>
              <w:rPr>
                <w:b/>
              </w:rPr>
              <w:t>1,083,285</w:t>
            </w:r>
          </w:p>
        </w:tc>
        <w:tc>
          <w:tcPr>
            <w:tcW w:w="166"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122,321</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(64,431</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238</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(36,828</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1,104,585</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(82,320</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1,022,265</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8"/>
        <w:gridCol w:w="364"/>
        <w:gridCol w:w="158"/>
        <w:gridCol w:w="1157"/>
        <w:gridCol w:w="159"/>
        <w:gridCol w:w="364"/>
        <w:gridCol w:w="169"/>
        <w:gridCol w:w="1234"/>
        <w:gridCol w:w="162"/>
      </w:tblGrid>
      <w:tr>
        <w:trPr/>
        <w:tc>
          <w:tcPr>
            <w:tcW w:w="398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88" w:type="dxa"/>
            <w:tcBorders/>
            <w:vAlign w:val="bottom"/>
          </w:tcPr>
          <w:p>
            <w:pPr>
              <w:pStyle w:val="TableContents"/>
              <w:bidi w:val="0"/>
              <w:spacing w:before="0" w:after="283"/>
              <w:jc w:val="left"/>
              <w:rPr>
                <w:i/>
              </w:rPr>
            </w:pPr>
            <w:r>
              <w:rPr>
                <w:i/>
              </w:rPr>
              <w:t>(in thousands of dollars)</w:t>
            </w:r>
          </w:p>
        </w:tc>
        <w:tc>
          <w:tcPr>
            <w:tcW w:w="364" w:type="dxa"/>
            <w:tcBorders/>
            <w:vAlign w:val="bottom"/>
          </w:tcPr>
          <w:p>
            <w:pPr>
              <w:pStyle w:val="TableContents"/>
              <w:bidi w:val="0"/>
              <w:spacing w:before="0" w:after="283"/>
              <w:jc w:val="left"/>
              <w:rPr/>
            </w:pPr>
            <w:r>
              <w:rPr/>
              <w:t>  </w:t>
            </w:r>
          </w:p>
        </w:tc>
        <w:tc>
          <w:tcPr>
            <w:tcW w:w="324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pPr>
            <w:r>
              <w:rPr/>
              <w:t>February 27,</w:t>
              <w:br/>
              <w:t>2023</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1,228,145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1,332,448</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13,168</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86,609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(13,598</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(112,665</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(78,856</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1,227,715</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1,228,145</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(133,685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(149,374</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1,094,030</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1,078,771</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1" w:name="fin785486_13"/>
            <w:bookmarkEnd w:id="41"/>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Transactions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Aera Companies on February 28, 2023, Shell Treasury Center (West) Inc. (STCW) and Exxon Overseas Corporation (EOC), affiliates of the Prior Member Companies, provided cash management services to Aera LLC and Aera Services. Prior to February 28, 2023, excess cash was held by STCW and EOC, proportionally, based on the respective sharing ratios of the Prior Member Companies. There were no restrictions on access to cash held by STCW and EOC. STCW and EOC paid interest on the cash they held based on a defined market index rate. For the Predecessor combined 58-day period ended February 27, 2023 and year ended December 31, 2022, the Aera Companies earned approximately $2.2 million and $6.8 million in interest income attributable to the cash management agreement. For the Predecessor combined year ended December 31, 2021, no interest income was earned. The cash balance held by STCW and EOC, including interest, was $350.8 million as of the Predecessor combined year ended December 31, 2022. After the sale, the cash on deposit within accounts managed by STCW and EOC including accumulated interest, totaling $231.7 million was transferred to accounts managed by Aera LLC on March 1, 2023 and February 28,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Aera LLC purchases natural gas from Shell Energy North America, an affiliate of the Prior Member Companies. Aera LLC did not pay any natural gas purchases for the Predecessor combined 58-day period ended February 27, 2023 and paid approximately $86.2 million and $81.6 million for the Predecessor combined year ended December 31, 2022 and year ended December 31, 2021. After the sale, Aera LLC continues to purchase natural gas from Shell Energy North America as a non-related party. Aera LLC did not have any related party payable balances with Shell Energy North America for the Successor year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sells natural gas to Mobil Pacific Pipeline Company (MPPCO), which is an affiliate of the Prior Member Companies. Aera LLC earned approximately $ 0.17 million, $0.27 million and $0.22 million for natural gas sales for the Predecessor combined 58-day period ended February 28, 2023, year ended December 31, 2022 and year ended December 31, 2021, respectively. After the sale, Aera LLC no longer sells natural gas to MPPCO. Aera LLC did not have any related party receivable balance from MPPCO for the Successor consolidated period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sold 100% of its operated crude oil and condensate production for the Predecessor combined 58-day period ended February 27, 2023, year ended December 31, 2022 and year ended December 31, 2021,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year ended December 31, 2022 and year ended December 31, 2021, Aera LLC realized approximately $341 million, $2,756 million and $2,084 million respectively, in gross crude and condensate sales to these related parties. Aera LLCs related party receivable balance for crude and condensate sales was $190.1 million for the Predecessor combined year ended December 31, 2022. After the sale, Aera continues to sell a portion of its operated crude oil and condensate to Shell Trading (US) Company as a non-related party and no longer sells its operated crude oil and condensate to ExxonMobil Oil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Prior Member Companies and their affiliates provide various services to the Aera Companies. For the Predecessor combined 58-day period ended February 27, 2023, year ended December 31, 2022 and year ended December 31, 2021, the Aera Companies incurred approximately $1.0 million, $3.7 million and $4.4 million, respectively, for these services. After the sale, Shell performed various services for Aera LLC as a non-related party. Aera LLC did not have any related party payable balances with the Prior Member Companies for the Successor year ended December 31, 2023 and the Predecessor combined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42" w:name="fin785486_14"/>
            <w:bookmarkEnd w:id="42"/>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Services provides defined benefit pension plans and other post-retirement benefit plans for employees. The benefit obligations and plan assets associated with these plans are measured at December 31. </w:t>
      </w:r>
    </w:p>
    <w:p>
      <w:pPr>
        <w:pStyle w:val="TextBody"/>
        <w:bidi w:val="0"/>
        <w:spacing w:before="360" w:after="0"/>
        <w:jc w:val="left"/>
        <w:rPr>
          <w:rFonts w:ascii="Times New Roman" w:hAnsi="Times New Roman"/>
          <w:b/>
          <w:sz w:val="20"/>
        </w:rPr>
      </w:pPr>
      <w:r>
        <w:rPr>
          <w:rFonts w:ascii="Times New Roman" w:hAnsi="Times New Roman"/>
          <w:b/>
          <w:sz w:val="20"/>
        </w:rPr>
        <w:t xml:space="preserve">Obligations and Funded Status </w:t>
      </w:r>
    </w:p>
    <w:p>
      <w:pPr>
        <w:pStyle w:val="TextBody"/>
        <w:bidi w:val="0"/>
        <w:spacing w:before="120" w:after="0"/>
        <w:jc w:val="left"/>
        <w:rPr>
          <w:rFonts w:ascii="Times New Roman" w:hAnsi="Times New Roman"/>
          <w:b/>
          <w:sz w:val="20"/>
        </w:rPr>
      </w:pPr>
      <w:r>
        <w:rPr>
          <w:rFonts w:ascii="Times New Roman" w:hAnsi="Times New Roman"/>
          <w:b/>
          <w:sz w:val="20"/>
        </w:rPr>
        <w:t xml:space="preserve">Weighted-average assumptions used to determine benefit obligations are as follows: </w:t>
      </w:r>
    </w:p>
    <w:p>
      <w:pPr>
        <w:pStyle w:val="TextBody"/>
        <w:bidi w:val="0"/>
        <w:spacing w:before="0" w:after="0"/>
        <w:jc w:val="left"/>
        <w:rPr/>
      </w:pPr>
      <w:r>
        <w:rPr/>
        <w:t> </w:t>
      </w:r>
    </w:p>
    <w:tbl>
      <w:tblPr>
        <w:tblW w:w="15353"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39"/>
        <w:gridCol w:w="561"/>
        <w:gridCol w:w="218"/>
        <w:gridCol w:w="218"/>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6"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4.99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5.21</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5.00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benefit obligation are as follows: </w:t>
      </w:r>
    </w:p>
    <w:p>
      <w:pPr>
        <w:pStyle w:val="TextBody"/>
        <w:bidi w:val="0"/>
        <w:spacing w:before="0" w:after="0"/>
        <w:jc w:val="left"/>
        <w:rPr/>
      </w:pPr>
      <w:r>
        <w:rPr/>
        <w:t> </w:t>
      </w:r>
    </w:p>
    <w:tbl>
      <w:tblPr>
        <w:tblW w:w="15128" w:type="dxa"/>
        <w:jc w:val="center"/>
        <w:tblInd w:w="0" w:type="dxa"/>
        <w:tblLayout w:type="fixed"/>
        <w:tblCellMar>
          <w:top w:w="0" w:type="dxa"/>
          <w:left w:w="0" w:type="dxa"/>
          <w:bottom w:w="0" w:type="dxa"/>
          <w:right w:w="0" w:type="dxa"/>
        </w:tblCellMar>
      </w:tblPr>
      <w:tblGrid>
        <w:gridCol w:w="149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14"/>
        <w:gridCol w:w="1156"/>
        <w:gridCol w:w="155"/>
        <w:gridCol w:w="60"/>
        <w:gridCol w:w="140"/>
        <w:gridCol w:w="800"/>
        <w:gridCol w:w="155"/>
        <w:gridCol w:w="60"/>
        <w:gridCol w:w="214"/>
        <w:gridCol w:w="1156"/>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Benefit obligation-beginning balance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69,007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69,384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11,048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(4,530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9,787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(2,455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 obligation-ending balance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263,416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67,122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264,910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69,007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Accumulated benefit obligation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Benefit payments for funded and unfunded plans.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plan assets are as follows: </w:t>
      </w:r>
    </w:p>
    <w:p>
      <w:pPr>
        <w:pStyle w:val="TextBody"/>
        <w:bidi w:val="0"/>
        <w:spacing w:before="0" w:after="0"/>
        <w:jc w:val="left"/>
        <w:rPr/>
      </w:pPr>
      <w:r>
        <w:rPr/>
        <w:t> </w:t>
      </w:r>
    </w:p>
    <w:tbl>
      <w:tblPr>
        <w:tblW w:w="14618" w:type="dxa"/>
        <w:jc w:val="center"/>
        <w:tblInd w:w="0" w:type="dxa"/>
        <w:tblLayout w:type="fixed"/>
        <w:tblCellMar>
          <w:top w:w="0" w:type="dxa"/>
          <w:left w:w="0" w:type="dxa"/>
          <w:bottom w:w="0" w:type="dxa"/>
          <w:right w:w="0" w:type="dxa"/>
        </w:tblCellMar>
      </w:tblPr>
      <w:tblGrid>
        <w:gridCol w:w="98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33"/>
        <w:gridCol w:w="1137"/>
        <w:gridCol w:w="155"/>
        <w:gridCol w:w="60"/>
        <w:gridCol w:w="140"/>
        <w:gridCol w:w="800"/>
        <w:gridCol w:w="155"/>
        <w:gridCol w:w="60"/>
        <w:gridCol w:w="233"/>
        <w:gridCol w:w="1137"/>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335,162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54,824</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Actual return on plan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(8,548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4,950</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Company contribution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(2,787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(23,935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(2,028</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314,436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 summary of pension plans with an accumulated benefit obligation and projected benefit obligation in excess of plan assets is shown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2"/>
        <w:gridCol w:w="187"/>
        <w:gridCol w:w="210"/>
        <w:gridCol w:w="1218"/>
        <w:gridCol w:w="60"/>
        <w:gridCol w:w="108"/>
        <w:gridCol w:w="678"/>
        <w:gridCol w:w="679"/>
        <w:gridCol w:w="134"/>
        <w:gridCol w:w="187"/>
        <w:gridCol w:w="183"/>
        <w:gridCol w:w="1076"/>
        <w:gridCol w:w="60"/>
        <w:gridCol w:w="187"/>
        <w:gridCol w:w="201"/>
        <w:gridCol w:w="1171"/>
        <w:gridCol w:w="60"/>
        <w:gridCol w:w="187"/>
        <w:gridCol w:w="201"/>
        <w:gridCol w:w="1171"/>
        <w:gridCol w:w="65"/>
      </w:tblGrid>
      <w:tr>
        <w:trPr/>
        <w:tc>
          <w:tcPr>
            <w:tcW w:w="21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82" w:type="dxa"/>
            <w:vMerge w:val="restart"/>
            <w:tcBorders/>
          </w:tcPr>
          <w:p>
            <w:pPr>
              <w:pStyle w:val="TableContents"/>
              <w:bidi w:val="0"/>
              <w:spacing w:before="0" w:after="283"/>
              <w:jc w:val="left"/>
              <w:rPr>
                <w:i/>
              </w:rPr>
            </w:pPr>
            <w:r>
              <w:rPr>
                <w:i/>
              </w:rPr>
              <w:t>(in thousands of dollars)</w:t>
            </w:r>
          </w:p>
        </w:tc>
        <w:tc>
          <w:tcPr>
            <w:tcW w:w="187"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5" w:type="dxa"/>
            <w:tcBorders/>
            <w:vAlign w:val="bottom"/>
          </w:tcPr>
          <w:p>
            <w:pPr>
              <w:pStyle w:val="TableContents"/>
              <w:bidi w:val="0"/>
              <w:spacing w:before="0" w:after="283"/>
              <w:jc w:val="left"/>
              <w:rPr/>
            </w:pPr>
            <w:r>
              <w:rPr/>
              <w:t> </w:t>
            </w:r>
          </w:p>
        </w:tc>
      </w:tr>
      <w:tr>
        <w:trPr/>
        <w:tc>
          <w:tcPr>
            <w:tcW w:w="2182" w:type="dxa"/>
            <w:vMerge w:val="continue"/>
            <w:tcBorders/>
          </w:tcPr>
          <w:p>
            <w:pPr>
              <w:pStyle w:val="Normal"/>
              <w:bidi w:val="0"/>
              <w:jc w:val="left"/>
              <w:rPr/>
            </w:pPr>
            <w:r>
              <w:rPr/>
            </w:r>
          </w:p>
        </w:tc>
        <w:tc>
          <w:tcPr>
            <w:tcW w:w="187"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122-days Ended</w:t>
              <w:br/>
              <w:t>December 31,</w:t>
              <w:br/>
              <w:t>2022</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br/>
              <w:t>2023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2021</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an accumulated benefit obligation in excess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263,416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264,910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265,209</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336,814</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314,436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315,277</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315,445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348,369</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 projected benefit obligation in excess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8" w:type="dxa"/>
            <w:tcBorders/>
            <w:shd w:fill="CCEEFF" w:val="clear"/>
            <w:vAlign w:val="bottom"/>
          </w:tcPr>
          <w:p>
            <w:pPr>
              <w:pStyle w:val="TableContents"/>
              <w:bidi w:val="0"/>
              <w:spacing w:before="0" w:after="283"/>
              <w:jc w:val="right"/>
              <w:rPr>
                <w:b/>
              </w:rPr>
            </w:pPr>
            <w:r>
              <w:rPr>
                <w:b/>
              </w:rPr>
              <w:t>263,416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264,910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265,209</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336,814</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315,277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348,369</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unfunded</w:t>
            </w:r>
            <w:r>
              <w:rPr>
                <w:rFonts w:ascii="Times New Roman" w:hAnsi="Times New Roman"/>
                <w:b/>
                <w:sz w:val="18"/>
              </w:rPr>
              <w:t xml:space="preserve"> pension plans: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67,122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69,007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69,384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89,173</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51,174</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48,511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47,978</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58,172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assumed health care cost trend rates are as follows: </w:t>
      </w:r>
    </w:p>
    <w:p>
      <w:pPr>
        <w:pStyle w:val="TextBody"/>
        <w:bidi w:val="0"/>
        <w:spacing w:before="0" w:after="0"/>
        <w:jc w:val="left"/>
        <w:rPr/>
      </w:pPr>
      <w:r>
        <w:rPr/>
        <w:t> </w:t>
      </w:r>
    </w:p>
    <w:tbl>
      <w:tblPr>
        <w:tblW w:w="11894" w:type="dxa"/>
        <w:jc w:val="center"/>
        <w:tblInd w:w="0" w:type="dxa"/>
        <w:tblLayout w:type="fixed"/>
        <w:tblCellMar>
          <w:top w:w="0" w:type="dxa"/>
          <w:left w:w="0" w:type="dxa"/>
          <w:bottom w:w="0" w:type="dxa"/>
          <w:right w:w="0" w:type="dxa"/>
        </w:tblCellMar>
      </w:tblPr>
      <w:tblGrid>
        <w:gridCol w:w="725"/>
        <w:gridCol w:w="60"/>
        <w:gridCol w:w="81"/>
        <w:gridCol w:w="678"/>
        <w:gridCol w:w="434"/>
        <w:gridCol w:w="81"/>
        <w:gridCol w:w="89"/>
        <w:gridCol w:w="666"/>
        <w:gridCol w:w="320"/>
        <w:gridCol w:w="60"/>
        <w:gridCol w:w="218"/>
        <w:gridCol w:w="510"/>
        <w:gridCol w:w="218"/>
        <w:gridCol w:w="218"/>
        <w:gridCol w:w="218"/>
        <w:gridCol w:w="513"/>
        <w:gridCol w:w="60"/>
        <w:gridCol w:w="60"/>
        <w:gridCol w:w="76"/>
        <w:gridCol w:w="636"/>
        <w:gridCol w:w="349"/>
        <w:gridCol w:w="76"/>
        <w:gridCol w:w="86"/>
        <w:gridCol w:w="639"/>
        <w:gridCol w:w="275"/>
        <w:gridCol w:w="60"/>
        <w:gridCol w:w="81"/>
        <w:gridCol w:w="679"/>
        <w:gridCol w:w="373"/>
        <w:gridCol w:w="81"/>
        <w:gridCol w:w="86"/>
        <w:gridCol w:w="639"/>
        <w:gridCol w:w="275"/>
        <w:gridCol w:w="60"/>
        <w:gridCol w:w="81"/>
        <w:gridCol w:w="679"/>
        <w:gridCol w:w="373"/>
        <w:gridCol w:w="81"/>
        <w:gridCol w:w="86"/>
        <w:gridCol w:w="639"/>
        <w:gridCol w:w="2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1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5"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 65</w:t>
            </w:r>
          </w:p>
        </w:tc>
        <w:tc>
          <w:tcPr>
            <w:tcW w:w="43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rate</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6.00</w:t>
            </w:r>
          </w:p>
        </w:tc>
        <w:tc>
          <w:tcPr>
            <w:tcW w:w="434"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5.00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6.00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6.25</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6.50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r>
      <w:tr>
        <w:trPr/>
        <w:tc>
          <w:tcPr>
            <w:tcW w:w="725" w:type="dxa"/>
            <w:tcBorders/>
          </w:tcPr>
          <w:p>
            <w:pPr>
              <w:pStyle w:val="TableContents"/>
              <w:bidi w:val="0"/>
              <w:spacing w:before="0" w:after="0"/>
              <w:jc w:val="left"/>
              <w:rPr>
                <w:rFonts w:ascii="Times New Roman" w:hAnsi="Times New Roman"/>
                <w:sz w:val="20"/>
              </w:rPr>
            </w:pPr>
            <w:r>
              <w:rPr>
                <w:rFonts w:ascii="Times New Roman" w:hAnsi="Times New Roman"/>
                <w:sz w:val="20"/>
              </w:rPr>
              <w:t>Ultimate rate</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b/>
              </w:rPr>
            </w:pPr>
            <w:r>
              <w:rPr>
                <w:b/>
              </w:rPr>
              <w:t>4.50</w:t>
            </w:r>
          </w:p>
        </w:tc>
        <w:tc>
          <w:tcPr>
            <w:tcW w:w="434"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4.50</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ultimate rate reached</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2030</w:t>
            </w:r>
          </w:p>
        </w:tc>
        <w:tc>
          <w:tcPr>
            <w:tcW w:w="43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2030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 summary comparing the total plan assets to the total benefit obligation is shown in the table below: </w:t>
      </w:r>
    </w:p>
    <w:p>
      <w:pPr>
        <w:pStyle w:val="TextBody"/>
        <w:bidi w:val="0"/>
        <w:spacing w:before="0" w:after="0"/>
        <w:jc w:val="left"/>
        <w:rPr/>
      </w:pPr>
      <w:r>
        <w:rPr/>
        <w:t> </w:t>
      </w:r>
    </w:p>
    <w:tbl>
      <w:tblPr>
        <w:tblW w:w="14223" w:type="dxa"/>
        <w:jc w:val="center"/>
        <w:tblInd w:w="0" w:type="dxa"/>
        <w:tblLayout w:type="fixed"/>
        <w:tblCellMar>
          <w:top w:w="0" w:type="dxa"/>
          <w:left w:w="0" w:type="dxa"/>
          <w:bottom w:w="0" w:type="dxa"/>
          <w:right w:w="0" w:type="dxa"/>
        </w:tblCellMar>
      </w:tblPr>
      <w:tblGrid>
        <w:gridCol w:w="980"/>
        <w:gridCol w:w="60"/>
        <w:gridCol w:w="141"/>
        <w:gridCol w:w="689"/>
        <w:gridCol w:w="155"/>
        <w:gridCol w:w="60"/>
        <w:gridCol w:w="237"/>
        <w:gridCol w:w="1283"/>
        <w:gridCol w:w="155"/>
        <w:gridCol w:w="60"/>
        <w:gridCol w:w="400"/>
        <w:gridCol w:w="400"/>
        <w:gridCol w:w="119"/>
        <w:gridCol w:w="119"/>
        <w:gridCol w:w="678"/>
        <w:gridCol w:w="692"/>
        <w:gridCol w:w="60"/>
        <w:gridCol w:w="60"/>
        <w:gridCol w:w="140"/>
        <w:gridCol w:w="680"/>
        <w:gridCol w:w="155"/>
        <w:gridCol w:w="60"/>
        <w:gridCol w:w="214"/>
        <w:gridCol w:w="1156"/>
        <w:gridCol w:w="155"/>
        <w:gridCol w:w="60"/>
        <w:gridCol w:w="140"/>
        <w:gridCol w:w="680"/>
        <w:gridCol w:w="155"/>
        <w:gridCol w:w="60"/>
        <w:gridCol w:w="214"/>
        <w:gridCol w:w="1156"/>
        <w:gridCol w:w="155"/>
        <w:gridCol w:w="60"/>
        <w:gridCol w:w="140"/>
        <w:gridCol w:w="755"/>
        <w:gridCol w:w="155"/>
        <w:gridCol w:w="60"/>
        <w:gridCol w:w="214"/>
        <w:gridCol w:w="1156"/>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 (assets in excess of (less than) benefit obligation)*</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Balance at end of period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Unfunded status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(24,327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(34,805</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(15,948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50,366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(21,406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(31,000</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Amounts recorded in combined balance sheet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(2,884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 term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(7,077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b/>
              </w:rPr>
            </w:pPr>
            <w:r>
              <w:rPr>
                <w:b/>
              </w:rPr>
              <w:t>(21,443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(31,512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51,020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(15,948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50,366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(21,406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Components of Net Periodic Benefit Cost </w:t>
      </w:r>
    </w:p>
    <w:p>
      <w:pPr>
        <w:pStyle w:val="TextBody"/>
        <w:bidi w:val="0"/>
        <w:spacing w:before="240" w:after="0"/>
        <w:jc w:val="left"/>
        <w:rPr>
          <w:rFonts w:ascii="Times New Roman" w:hAnsi="Times New Roman"/>
          <w:sz w:val="20"/>
        </w:rPr>
      </w:pPr>
      <w:r>
        <w:rPr>
          <w:rFonts w:ascii="Times New Roman" w:hAnsi="Times New Roman"/>
          <w:sz w:val="20"/>
        </w:rPr>
        <w:t xml:space="preserve">Weighted-average assumptions used to determine net periodic benefit cost: </w:t>
      </w:r>
    </w:p>
    <w:p>
      <w:pPr>
        <w:pStyle w:val="TextBody"/>
        <w:bidi w:val="0"/>
        <w:spacing w:before="0" w:after="0"/>
        <w:jc w:val="left"/>
        <w:rPr/>
      </w:pPr>
      <w:r>
        <w:rPr/>
        <w:t> </w:t>
      </w:r>
    </w:p>
    <w:tbl>
      <w:tblPr>
        <w:tblW w:w="15229"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40"/>
        <w:gridCol w:w="560"/>
        <w:gridCol w:w="156"/>
        <w:gridCol w:w="156"/>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2"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5.21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5.20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2.42</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return on funded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6.50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5.00</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Services establishes the long-term expected rate of return on plan assets by reviewing a long-term return assumption for each asset class and consideration of historical returns.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components of net periodic benefit cost are as follows: </w:t>
      </w:r>
    </w:p>
    <w:p>
      <w:pPr>
        <w:pStyle w:val="TextBody"/>
        <w:bidi w:val="0"/>
        <w:spacing w:before="0" w:after="0"/>
        <w:jc w:val="left"/>
        <w:rPr/>
      </w:pPr>
      <w:r>
        <w:rPr/>
        <w:t> </w:t>
      </w:r>
    </w:p>
    <w:tbl>
      <w:tblPr>
        <w:tblW w:w="14343" w:type="dxa"/>
        <w:jc w:val="center"/>
        <w:tblInd w:w="0" w:type="dxa"/>
        <w:tblLayout w:type="fixed"/>
        <w:tblCellMar>
          <w:top w:w="0" w:type="dxa"/>
          <w:left w:w="0" w:type="dxa"/>
          <w:bottom w:w="0" w:type="dxa"/>
          <w:right w:w="0" w:type="dxa"/>
        </w:tblCellMar>
      </w:tblPr>
      <w:tblGrid>
        <w:gridCol w:w="980"/>
        <w:gridCol w:w="60"/>
        <w:gridCol w:w="140"/>
        <w:gridCol w:w="75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5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8,667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4,949</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11,048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2,103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(16,588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(2,534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(3,511</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1,261</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net 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(154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Net periodic benefit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4,653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931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8,306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5,410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authoritative guidance for defined benefit pension and other postretirement benefits requires recognition of a net liability or asset to report the funded status of a defined benefit pension and other postretirement plans on the balance sheet and recognition (as a component of other comprehensive income) of changes in the funded status in the year in which the changes occur. </w:t>
      </w:r>
    </w:p>
    <w:p>
      <w:pPr>
        <w:pStyle w:val="TextBody"/>
        <w:bidi w:val="0"/>
        <w:spacing w:before="240" w:after="0"/>
        <w:jc w:val="left"/>
        <w:rPr>
          <w:rFonts w:ascii="Times New Roman" w:hAnsi="Times New Roman"/>
          <w:sz w:val="20"/>
        </w:rPr>
      </w:pPr>
      <w:r>
        <w:rPr>
          <w:rFonts w:ascii="Times New Roman" w:hAnsi="Times New Roman"/>
          <w:sz w:val="20"/>
        </w:rPr>
        <w:t xml:space="preserve">For Successor year ended December 31, 2023, the Predecessor combined 58-day combined period ended February 27, 2023, and years ended December 31, 2022 and 2021 service cost of $10.8 million, $2.2 million, $19.5 million, and $22.7 million were recorded in Operating Expenses and non-service cost/(income) of $0.7 million, $0.2 million, ($12.1 million), and ($13.7 million) were recorded in Other Non-Operating Expenses/(Income), net. There were no service or non-service costs/(income) for the Successor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Amounts recorded in Other Comprehensive Income (Loss) are as follows: </w:t>
      </w:r>
    </w:p>
    <w:p>
      <w:pPr>
        <w:pStyle w:val="TextBody"/>
        <w:bidi w:val="0"/>
        <w:spacing w:before="0" w:after="0"/>
        <w:jc w:val="left"/>
        <w:rPr/>
      </w:pPr>
      <w:r>
        <w:rPr/>
        <w:t> </w:t>
      </w:r>
    </w:p>
    <w:tbl>
      <w:tblPr>
        <w:tblW w:w="14273" w:type="dxa"/>
        <w:jc w:val="center"/>
        <w:tblInd w:w="0" w:type="dxa"/>
        <w:tblLayout w:type="fixed"/>
        <w:tblCellMar>
          <w:top w:w="0" w:type="dxa"/>
          <w:left w:w="0" w:type="dxa"/>
          <w:bottom w:w="0" w:type="dxa"/>
          <w:right w:w="0" w:type="dxa"/>
        </w:tblCellMar>
      </w:tblPr>
      <w:tblGrid>
        <w:gridCol w:w="1070"/>
        <w:gridCol w:w="60"/>
        <w:gridCol w:w="155"/>
        <w:gridCol w:w="67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4"/>
        <w:gridCol w:w="656"/>
        <w:gridCol w:w="155"/>
        <w:gridCol w:w="60"/>
        <w:gridCol w:w="214"/>
        <w:gridCol w:w="1156"/>
        <w:gridCol w:w="155"/>
        <w:gridCol w:w="60"/>
        <w:gridCol w:w="140"/>
        <w:gridCol w:w="755"/>
        <w:gridCol w:w="155"/>
        <w:gridCol w:w="60"/>
        <w:gridCol w:w="21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actuarial (loss)/gain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(1,527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arising during the period</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(2,125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(4,328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due to settlement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(4,468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(10,240</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recorded in other comprehensive loss/ (gain), before tax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(8,120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(4,173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(24,251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(12,109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Amounts included in accumulated Other Comprehensive Income (Loss) that have not yet been recognized in net periodic benefit cost: </w:t>
      </w:r>
    </w:p>
    <w:p>
      <w:pPr>
        <w:pStyle w:val="TextBody"/>
        <w:bidi w:val="0"/>
        <w:spacing w:before="0" w:after="0"/>
        <w:jc w:val="left"/>
        <w:rPr/>
      </w:pPr>
      <w:r>
        <w:rPr/>
        <w:t> </w:t>
      </w:r>
    </w:p>
    <w:tbl>
      <w:tblPr>
        <w:tblW w:w="14368" w:type="dxa"/>
        <w:jc w:val="center"/>
        <w:tblInd w:w="0" w:type="dxa"/>
        <w:tblLayout w:type="fixed"/>
        <w:tblCellMar>
          <w:top w:w="0" w:type="dxa"/>
          <w:left w:w="0" w:type="dxa"/>
          <w:bottom w:w="0" w:type="dxa"/>
          <w:right w:w="0" w:type="dxa"/>
        </w:tblCellMar>
      </w:tblPr>
      <w:tblGrid>
        <w:gridCol w:w="1070"/>
        <w:gridCol w:w="60"/>
        <w:gridCol w:w="150"/>
        <w:gridCol w:w="680"/>
        <w:gridCol w:w="155"/>
        <w:gridCol w:w="60"/>
        <w:gridCol w:w="274"/>
        <w:gridCol w:w="1246"/>
        <w:gridCol w:w="155"/>
        <w:gridCol w:w="60"/>
        <w:gridCol w:w="400"/>
        <w:gridCol w:w="400"/>
        <w:gridCol w:w="119"/>
        <w:gridCol w:w="119"/>
        <w:gridCol w:w="678"/>
        <w:gridCol w:w="692"/>
        <w:gridCol w:w="60"/>
        <w:gridCol w:w="60"/>
        <w:gridCol w:w="144"/>
        <w:gridCol w:w="656"/>
        <w:gridCol w:w="155"/>
        <w:gridCol w:w="60"/>
        <w:gridCol w:w="247"/>
        <w:gridCol w:w="1123"/>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Prior service cost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Net actuarial loss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35,668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(9,771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7,134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52,979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recorded in accumulated other comprehensive loss, before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35,668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(9,771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7,134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(6,718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4,487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Charge to income tax</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(9,982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(14,704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Total recorded in accumulated other comprehensive loss, after tax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25,687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(7,037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5,137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38,153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3,231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estimated amounts to be amortized from accumulated Other Comprehensive Income (Loss) during 2024 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5"/>
        <w:gridCol w:w="551"/>
        <w:gridCol w:w="223"/>
        <w:gridCol w:w="624"/>
        <w:gridCol w:w="60"/>
        <w:gridCol w:w="551"/>
        <w:gridCol w:w="359"/>
        <w:gridCol w:w="1204"/>
        <w:gridCol w:w="158"/>
      </w:tblGrid>
      <w:tr>
        <w:trPr/>
        <w:tc>
          <w:tcPr>
            <w:tcW w:w="402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bottom"/>
          </w:tcPr>
          <w:p>
            <w:pPr>
              <w:pStyle w:val="TableContents"/>
              <w:bidi w:val="0"/>
              <w:spacing w:before="0" w:after="283"/>
              <w:jc w:val="left"/>
              <w:rPr>
                <w:i/>
              </w:rPr>
            </w:pPr>
            <w:r>
              <w:rPr>
                <w:i/>
              </w:rPr>
              <w:t>(in thousands of dollars)</w:t>
            </w:r>
          </w:p>
        </w:tc>
        <w:tc>
          <w:tcPr>
            <w:tcW w:w="551" w:type="dxa"/>
            <w:tcBorders/>
            <w:vAlign w:val="bottom"/>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Prior service cost</w:t>
            </w:r>
          </w:p>
        </w:tc>
        <w:tc>
          <w:tcPr>
            <w:tcW w:w="55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624" w:type="dxa"/>
            <w:tcBorders/>
            <w:shd w:fill="CCEEFF" w:val="clear"/>
            <w:vAlign w:val="bottom"/>
          </w:tcPr>
          <w:p>
            <w:pPr>
              <w:pStyle w:val="TableContents"/>
              <w:bidi w:val="0"/>
              <w:spacing w:before="0" w:after="283"/>
              <w:jc w:val="right"/>
              <w:rPr>
                <w:b/>
              </w:rPr>
            </w:pPr>
            <w:r>
              <w:rPr>
                <w:b/>
              </w:rPr>
              <w:t>953</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(315</w:t>
            </w:r>
          </w:p>
        </w:tc>
        <w:tc>
          <w:tcPr>
            <w:tcW w:w="158" w:type="dxa"/>
            <w:tcBorders/>
            <w:shd w:fill="CCEEFF" w:val="clear"/>
            <w:vAlign w:val="bottom"/>
          </w:tcPr>
          <w:p>
            <w:pPr>
              <w:pStyle w:val="TableContents"/>
              <w:bidi w:val="0"/>
              <w:spacing w:before="0" w:after="283"/>
              <w:jc w:val="left"/>
              <w:rPr>
                <w:b/>
              </w:rPr>
            </w:pPr>
            <w:r>
              <w:rPr>
                <w:b/>
              </w:rPr>
              <w:t>) </w:t>
            </w:r>
          </w:p>
        </w:tc>
      </w:tr>
      <w:tr>
        <w:trPr/>
        <w:tc>
          <w:tcPr>
            <w:tcW w:w="4025" w:type="dxa"/>
            <w:tcBorders/>
          </w:tcPr>
          <w:p>
            <w:pPr>
              <w:pStyle w:val="TableContents"/>
              <w:bidi w:val="0"/>
              <w:spacing w:before="0" w:after="0"/>
              <w:jc w:val="left"/>
              <w:rPr>
                <w:rFonts w:ascii="Times New Roman" w:hAnsi="Times New Roman"/>
                <w:sz w:val="20"/>
              </w:rPr>
            </w:pPr>
            <w:r>
              <w:rPr>
                <w:rFonts w:ascii="Times New Roman" w:hAnsi="Times New Roman"/>
                <w:sz w:val="20"/>
              </w:rPr>
              <w:t>Net actuarial loss/(gain) Settlement</w:t>
            </w:r>
          </w:p>
        </w:tc>
        <w:tc>
          <w:tcPr>
            <w:tcW w:w="55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b/>
              </w:rPr>
            </w:pPr>
            <w:r>
              <w:rPr>
                <w:b/>
              </w:rPr>
              <w:t>28</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 </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The tables below set forth by level, within the fair value hierarchy, Aera Services benefit plan assets at fair value as follows: </w:t>
      </w:r>
    </w:p>
    <w:p>
      <w:pPr>
        <w:pStyle w:val="TextBody"/>
        <w:bidi w:val="0"/>
        <w:spacing w:before="0" w:after="0"/>
        <w:jc w:val="left"/>
        <w:rPr/>
      </w:pPr>
      <w:r>
        <w:rPr/>
        <w:t> </w:t>
      </w:r>
    </w:p>
    <w:tbl>
      <w:tblPr>
        <w:tblW w:w="11187" w:type="dxa"/>
        <w:jc w:val="center"/>
        <w:tblInd w:w="0" w:type="dxa"/>
        <w:tblLayout w:type="fixed"/>
        <w:tblCellMar>
          <w:top w:w="0" w:type="dxa"/>
          <w:left w:w="0" w:type="dxa"/>
          <w:bottom w:w="0" w:type="dxa"/>
          <w:right w:w="0" w:type="dxa"/>
        </w:tblCellMar>
      </w:tblPr>
      <w:tblGrid>
        <w:gridCol w:w="2255"/>
        <w:gridCol w:w="120"/>
        <w:gridCol w:w="203"/>
        <w:gridCol w:w="552"/>
        <w:gridCol w:w="60"/>
        <w:gridCol w:w="120"/>
        <w:gridCol w:w="140"/>
        <w:gridCol w:w="800"/>
        <w:gridCol w:w="60"/>
        <w:gridCol w:w="120"/>
        <w:gridCol w:w="140"/>
        <w:gridCol w:w="800"/>
        <w:gridCol w:w="60"/>
        <w:gridCol w:w="120"/>
        <w:gridCol w:w="377"/>
        <w:gridCol w:w="378"/>
        <w:gridCol w:w="65"/>
        <w:gridCol w:w="131"/>
        <w:gridCol w:w="377"/>
        <w:gridCol w:w="378"/>
        <w:gridCol w:w="65"/>
        <w:gridCol w:w="131"/>
        <w:gridCol w:w="102"/>
        <w:gridCol w:w="458"/>
        <w:gridCol w:w="60"/>
        <w:gridCol w:w="60"/>
        <w:gridCol w:w="151"/>
        <w:gridCol w:w="604"/>
        <w:gridCol w:w="60"/>
        <w:gridCol w:w="120"/>
        <w:gridCol w:w="140"/>
        <w:gridCol w:w="800"/>
        <w:gridCol w:w="60"/>
        <w:gridCol w:w="120"/>
        <w:gridCol w:w="140"/>
        <w:gridCol w:w="80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63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2"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314,106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7,957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307,488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652" w:type="dxa"/>
        <w:jc w:val="center"/>
        <w:tblInd w:w="0" w:type="dxa"/>
        <w:tblLayout w:type="fixed"/>
        <w:tblCellMar>
          <w:top w:w="0" w:type="dxa"/>
          <w:left w:w="0" w:type="dxa"/>
          <w:bottom w:w="0" w:type="dxa"/>
          <w:right w:w="0" w:type="dxa"/>
        </w:tblCellMar>
      </w:tblPr>
      <w:tblGrid>
        <w:gridCol w:w="2255"/>
        <w:gridCol w:w="120"/>
        <w:gridCol w:w="264"/>
        <w:gridCol w:w="491"/>
        <w:gridCol w:w="60"/>
        <w:gridCol w:w="120"/>
        <w:gridCol w:w="140"/>
        <w:gridCol w:w="680"/>
        <w:gridCol w:w="60"/>
        <w:gridCol w:w="120"/>
        <w:gridCol w:w="140"/>
        <w:gridCol w:w="680"/>
        <w:gridCol w:w="60"/>
        <w:gridCol w:w="120"/>
        <w:gridCol w:w="377"/>
        <w:gridCol w:w="378"/>
        <w:gridCol w:w="65"/>
        <w:gridCol w:w="131"/>
        <w:gridCol w:w="377"/>
        <w:gridCol w:w="378"/>
        <w:gridCol w:w="65"/>
        <w:gridCol w:w="131"/>
        <w:gridCol w:w="102"/>
        <w:gridCol w:w="458"/>
        <w:gridCol w:w="60"/>
        <w:gridCol w:w="60"/>
        <w:gridCol w:w="140"/>
        <w:gridCol w:w="560"/>
        <w:gridCol w:w="60"/>
        <w:gridCol w:w="120"/>
        <w:gridCol w:w="140"/>
        <w:gridCol w:w="680"/>
        <w:gridCol w:w="60"/>
        <w:gridCol w:w="120"/>
        <w:gridCol w:w="140"/>
        <w:gridCol w:w="68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39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5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17"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Other Postretirement</w:t>
              <w:br/>
              <w:t>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1,213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46,765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47,978</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weighted-average asset allocations are as follows: </w:t>
      </w:r>
    </w:p>
    <w:p>
      <w:pPr>
        <w:pStyle w:val="TextBody"/>
        <w:bidi w:val="0"/>
        <w:spacing w:before="0" w:after="0"/>
        <w:jc w:val="left"/>
        <w:rPr/>
      </w:pPr>
      <w:r>
        <w:rPr/>
        <w:t> </w:t>
      </w:r>
    </w:p>
    <w:tbl>
      <w:tblPr>
        <w:tblW w:w="10269" w:type="dxa"/>
        <w:jc w:val="center"/>
        <w:tblInd w:w="0" w:type="dxa"/>
        <w:tblLayout w:type="fixed"/>
        <w:tblCellMar>
          <w:top w:w="0" w:type="dxa"/>
          <w:left w:w="0" w:type="dxa"/>
          <w:bottom w:w="0" w:type="dxa"/>
          <w:right w:w="0" w:type="dxa"/>
        </w:tblCellMar>
      </w:tblPr>
      <w:tblGrid>
        <w:gridCol w:w="1055"/>
        <w:gridCol w:w="120"/>
        <w:gridCol w:w="112"/>
        <w:gridCol w:w="718"/>
        <w:gridCol w:w="359"/>
        <w:gridCol w:w="67"/>
        <w:gridCol w:w="205"/>
        <w:gridCol w:w="1315"/>
        <w:gridCol w:w="320"/>
        <w:gridCol w:w="60"/>
        <w:gridCol w:w="239"/>
        <w:gridCol w:w="561"/>
        <w:gridCol w:w="506"/>
        <w:gridCol w:w="110"/>
        <w:gridCol w:w="406"/>
        <w:gridCol w:w="964"/>
        <w:gridCol w:w="275"/>
        <w:gridCol w:w="60"/>
        <w:gridCol w:w="107"/>
        <w:gridCol w:w="693"/>
        <w:gridCol w:w="306"/>
        <w:gridCol w:w="66"/>
        <w:gridCol w:w="183"/>
        <w:gridCol w:w="1187"/>
        <w:gridCol w:w="27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55" w:type="dxa"/>
            <w:vMerge w:val="restart"/>
            <w:tcBorders/>
            <w:vAlign w:val="bottom"/>
          </w:tcPr>
          <w:p>
            <w:pPr>
              <w:pStyle w:val="TableContents"/>
              <w:bidi w:val="0"/>
              <w:spacing w:before="0" w:after="283"/>
              <w:jc w:val="left"/>
              <w:rPr>
                <w:b/>
              </w:rPr>
            </w:pPr>
            <w:r>
              <w:rPr>
                <w:b/>
              </w:rPr>
              <w:t>Asset Allocation</w:t>
            </w:r>
          </w:p>
        </w:tc>
        <w:tc>
          <w:tcPr>
            <w:tcW w:w="120" w:type="dxa"/>
            <w:tcBorders/>
            <w:vAlign w:val="bottom"/>
          </w:tcPr>
          <w:p>
            <w:pPr>
              <w:pStyle w:val="TableContents"/>
              <w:bidi w:val="0"/>
              <w:spacing w:before="0" w:after="283"/>
              <w:jc w:val="left"/>
              <w:rPr/>
            </w:pPr>
            <w:r>
              <w:rPr/>
              <w:t>  </w:t>
            </w:r>
          </w:p>
        </w:tc>
        <w:tc>
          <w:tcPr>
            <w:tcW w:w="8819" w:type="dxa"/>
            <w:gridSpan w:val="22"/>
            <w:tcBorders>
              <w:bottom w:val="single" w:sz="8" w:space="0" w:color="000000"/>
            </w:tcBorders>
            <w:tcMar>
              <w:bottom w:w="28" w:type="dxa"/>
            </w:tcMar>
            <w:vAlign w:val="bottom"/>
          </w:tcPr>
          <w:p>
            <w:pPr>
              <w:pStyle w:val="TableContents"/>
              <w:bidi w:val="0"/>
              <w:spacing w:before="0" w:after="283"/>
              <w:jc w:val="center"/>
              <w:rPr/>
            </w:pPr>
            <w:r>
              <w:rPr/>
              <w:t>Percentage of Plan Assets</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594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5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37</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securities</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63</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64</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0</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100</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100</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defined benefit pension plan long-term asset allocation is 37 percent equity and 63 percent fixed income with a target range of 50  70 percent for equity and 30  50 percent for fixed income, which includes cash. The Aera Services investment strategy for the defined benefit pension plan assets is designed to result in a diversified portfolio of equities and fixed income securities, to achieve an investment mix that will attain the highest total return consistent with a reasonable degree of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funding policy for the other post-retirement benefit plans is to pay medical costs as they are due. Medical costs paid were $2.7 million, $0.6 million, $2.0 million, and $2.0 million during the Successor year ended December 31, 2023, the Predecessor 58-day combined period ended February 27, 2023, and years ended December 31, 2022 and 2021, respectively. There were no medical costs paid for the Successor year ended 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table presents expected cash flow information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8"/>
        <w:gridCol w:w="470"/>
        <w:gridCol w:w="141"/>
        <w:gridCol w:w="758"/>
        <w:gridCol w:w="60"/>
        <w:gridCol w:w="470"/>
        <w:gridCol w:w="261"/>
        <w:gridCol w:w="1373"/>
        <w:gridCol w:w="64"/>
      </w:tblGrid>
      <w:tr>
        <w:trPr/>
        <w:tc>
          <w:tcPr>
            <w:tcW w:w="415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58" w:type="dxa"/>
            <w:tcBorders/>
            <w:vAlign w:val="bottom"/>
          </w:tcPr>
          <w:p>
            <w:pPr>
              <w:pStyle w:val="TableContents"/>
              <w:bidi w:val="0"/>
              <w:spacing w:before="0" w:after="283"/>
              <w:jc w:val="left"/>
              <w:rPr>
                <w:i/>
              </w:rPr>
            </w:pPr>
            <w:r>
              <w:rPr>
                <w:i/>
              </w:rPr>
              <w:t>(in thousands of dollars)</w:t>
            </w:r>
          </w:p>
        </w:tc>
        <w:tc>
          <w:tcPr>
            <w:tcW w:w="470" w:type="dxa"/>
            <w:tcBorders/>
            <w:vAlign w:val="bottom"/>
          </w:tcPr>
          <w:p>
            <w:pPr>
              <w:pStyle w:val="TableContents"/>
              <w:bidi w:val="0"/>
              <w:spacing w:before="0" w:after="283"/>
              <w:jc w:val="left"/>
              <w:rPr/>
            </w:pPr>
            <w:r>
              <w:rPr/>
              <w:t>  </w:t>
            </w:r>
          </w:p>
        </w:tc>
        <w:tc>
          <w:tcPr>
            <w:tcW w:w="30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4" w:type="dxa"/>
            <w:tcBorders/>
            <w:vAlign w:val="bottom"/>
          </w:tcPr>
          <w:p>
            <w:pPr>
              <w:pStyle w:val="TableContents"/>
              <w:bidi w:val="0"/>
              <w:spacing w:before="0" w:after="283"/>
              <w:jc w:val="left"/>
              <w:rPr/>
            </w:pPr>
            <w:r>
              <w:rPr/>
              <w:t> </w:t>
            </w:r>
          </w:p>
        </w:tc>
      </w:tr>
      <w:tr>
        <w:trPr/>
        <w:tc>
          <w:tcPr>
            <w:tcW w:w="4158"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 expected in 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813</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2,956</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Benefit payments expected in:</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16,402</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5,345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18,417</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5,187</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19,060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5,169</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17,389</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5,276</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20,650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5,325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2029-2033</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94,362</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27,655</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Aera Energy Services Company Savings Plan (the Savings Plan) is a defined contribution plan covering substantially all employees of Aera Services and provides for contributions by Aera Services based on a stated percentage of the employees salaries and wages. Employees may also contribute up to a stated percentage. Aera Services contributed approximately $7.6 million, $2.7 million, $10.7 million, and $11.0 million under the provisions of this plan for the Successor year ended December 31, 2023, and the Predecessor combined 58-day period ended February 27, 2023 and years ended December 31, 2022 and 2021, respectively. There were no contributions for the Successor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Services also provides a non-qualified defined contribution plan, the Aera Energy Services Company Savings Restoration Plan, to certain employees. Aera Services contributed approximately $2.0 million and $1.4 million under the provisions of this plan for the Successor year ended December 31, 2023 and year ended December 31, 2022, respectively. Aera Services did not make a contribution for the Successor year ended December 31, 2022, the Predecessor combined 58-day period ended February 27, 2023 or the year ended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43" w:name="fin785486_15"/>
            <w:bookmarkEnd w:id="43"/>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Other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are subject to lawsuits, environmental and other claims and other contingencies in the normal course of business that seek, among other things, compensation for alleged personal injury, breach of contract, property damage or other losses, punitive damages, civil penalties, or injunctive or declaratory relief. We record an accrual for currently outstanding lawsuits, claims and proceedings when it is probable that a liability has been incurred and the liability can be reasonably estimated.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September 2020, the County of Ventura, California formally approved an update to its General Plan. The update includes certain provisions related to oil and gas well setbacks, a prohibition on trucking of produced water and fluids, flaring, and electrification requirements. Aera LLC, along with other plaintiffs, filed a lawsuit against the County of Ventura in response to the General Plan update in Ventura County Superior Court. Additionally, in November 2020, the County of Ventura approved amendments to its Non-Coastal Zoning Ordinance that would make certain oil and gas related ministerial permitting processes discretionary, thus providing the County of Ventura significantly more latitude in the approval determinations. Aera LLC and other plaintiffs amended their original lawsuits (or in some cases filed new lawsuits) against the County of Ventura in response to the amendments. In June 2022, an Aera LLC supported referendum passed in the county election to strike down the Non-Coastal Zoning Ordinance amendments. In June of 2023 all parties reached a settlement requiring the County Board of Supervisors to (1) adopt resolutions which included clarification that Aeras Conditional Use Permits would not be subject to the General Plan update (Clarifying Resolutions) and (2) making certain amendments to the General Plan update to account for the potential that some requirements may be infeasible and (3) requiring dismissal of the litigation. The settlement agreement was approved by the court. The Board adopted the Clarifying Resolutions in September 2023. NCZO amendments were sent back to staff for additional analysis in September 2023.The Commission approved the settlement 4 to 1 in February 2024. The Board of Supervisors hearing on the settlement is scheduled for April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Aera LLC filed a lawsuit on March 30, 2022, challenging denial by the Geologic Energy Management division of the California Department of Conservation (CalGEM) of permits for well stimulation treatments (WST) on CalGEMs asserted basis that denial would protect public health and safety and environmental quality, including the reduction and mitigation of greenhouse gas emissions and challenging CalGems de facto moratorium on WST permits. Aera LLC seeks a writ of mandamus, damages, and declaratory relief and just compensation for the taking of its property. CalGEM lost a demurrer motion on July 6, 2022. Trial is currently set for October 14,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2022, Senate Bill 1137 passed, which was written to prohibit CalGEM from approving any notice of intent requested under Public Resources Code Section 3203 that is within a setback zone as defined by proximity to Sensitive Receptors identified in the law. A referendum was qualified preventing the law taking effect unless approved at the next statewide general or special election after November 8, 2022.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2022, Aera Energy was authorized to negotiate a settlement with a Kern County entity regarding claims for 2022 and beyond. The entity claims contamination from oil field produced water and based on available information. The claim was settled for $33 million. As of the Successor year ended December 31, 2023, GGRP has $13 million remaining in Other Long Term Liabilities. For the Successor year ended December 31, 2023 and the Predecessor combined year ended December 31, 2022, settlement costs of $7.0 million and $26.0 million related to this claim were recorded in Other Operating Expenses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Management cannot presently predict the ultimate resolution of any pending matters, nor can it estimate the amount or range of a potential loss in cases where a loss is probable. In managements opinion, it does not currently appear that the resolution of any pending matters will have a material adverse effect on the consolidated and combined financial position, liquidity, or results of operations of the GGRP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4" w:name="fin785486_16"/>
            <w:bookmarkEnd w:id="44"/>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and Other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Aera Companies generally purchase the property, plant and equipment used in operations, but there are situations where assets are leased, primarily for office buildings, vehicles,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Typically, assets are leased only for a portion of their useful lives and are accounted for as operating leases. The typical lease terms range within 5-10 years. In limited situations assets are leased for nearly all their useful lives and are accounted for as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Variable payments under these lease agreements are not significant. Residual value guarantees, restrictions, or covenants related to leases, and transactions with related parties are also not significant. In general, leases are capitalized using the incremental borrowing rate determined by the Aera Companies and activities as a lessor are not significant. </w:t>
      </w:r>
    </w:p>
    <w:p>
      <w:pPr>
        <w:pStyle w:val="TextBody"/>
        <w:bidi w:val="0"/>
        <w:spacing w:before="240" w:after="0"/>
        <w:jc w:val="left"/>
        <w:rPr>
          <w:rFonts w:ascii="Times New Roman" w:hAnsi="Times New Roman"/>
          <w:b/>
          <w:sz w:val="20"/>
        </w:rPr>
      </w:pPr>
      <w:r>
        <w:rPr>
          <w:rFonts w:ascii="Times New Roman" w:hAnsi="Times New Roman"/>
          <w:b/>
          <w:sz w:val="20"/>
        </w:rPr>
        <w:t xml:space="preserve">Lease costs are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4"/>
        <w:gridCol w:w="267"/>
        <w:gridCol w:w="277"/>
        <w:gridCol w:w="1111"/>
        <w:gridCol w:w="60"/>
        <w:gridCol w:w="186"/>
        <w:gridCol w:w="647"/>
        <w:gridCol w:w="648"/>
        <w:gridCol w:w="133"/>
        <w:gridCol w:w="215"/>
        <w:gridCol w:w="245"/>
        <w:gridCol w:w="985"/>
        <w:gridCol w:w="60"/>
        <w:gridCol w:w="267"/>
        <w:gridCol w:w="140"/>
        <w:gridCol w:w="571"/>
        <w:gridCol w:w="60"/>
        <w:gridCol w:w="267"/>
        <w:gridCol w:w="140"/>
        <w:gridCol w:w="571"/>
        <w:gridCol w:w="71"/>
      </w:tblGrid>
      <w:tr>
        <w:trPr/>
        <w:tc>
          <w:tcPr>
            <w:tcW w:w="328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bottom"/>
          </w:tcPr>
          <w:p>
            <w:pPr>
              <w:pStyle w:val="TableContents"/>
              <w:bidi w:val="0"/>
              <w:spacing w:before="0" w:after="283"/>
              <w:jc w:val="left"/>
              <w:rPr>
                <w:i/>
              </w:rPr>
            </w:pPr>
            <w:r>
              <w:rPr>
                <w:i/>
              </w:rPr>
              <w:t>(in thousands of dollars)</w:t>
            </w:r>
          </w:p>
        </w:tc>
        <w:tc>
          <w:tcPr>
            <w:tcW w:w="267"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30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w:t>
              <w:br/>
              <w:t>Ended</w:t>
              <w:br/>
              <w:t>December 31,</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49" w:type="dxa"/>
            <w:gridSpan w:val="6"/>
            <w:tcBorders>
              <w:bottom w:val="single" w:sz="8" w:space="0" w:color="000000"/>
            </w:tcBorders>
            <w:tcMar>
              <w:bottom w:w="28" w:type="dxa"/>
            </w:tcMar>
            <w:vAlign w:val="bottom"/>
          </w:tcPr>
          <w:p>
            <w:pPr>
              <w:pStyle w:val="TableContents"/>
              <w:bidi w:val="0"/>
              <w:spacing w:before="0" w:after="283"/>
              <w:jc w:val="center"/>
              <w:rPr/>
            </w:pPr>
            <w:r>
              <w:rPr/>
              <w:t>Years</w:t>
              <w:br/>
              <w:t>Ended</w:t>
              <w:br/>
              <w:t>December 31,</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5,412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1,091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6,486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6,241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1,063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493</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6,475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7,821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6,734</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right of use assets</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1,177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1,365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1,099</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56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102</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1,233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1,201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111" w:type="dxa"/>
            <w:tcBorders/>
            <w:vAlign w:val="bottom"/>
          </w:tcPr>
          <w:p>
            <w:pPr>
              <w:pStyle w:val="TableContents"/>
              <w:bidi w:val="0"/>
              <w:spacing w:before="0" w:after="283"/>
              <w:jc w:val="right"/>
              <w:rPr>
                <w:b/>
              </w:rPr>
            </w:pPr>
            <w:r>
              <w:rPr>
                <w:b/>
              </w:rPr>
              <w:t>7,708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1,527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9,257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7,935</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Right of use assets and lease liabilities on the Consolidated and Combined Balance Sheets at the Successor year ended December 31, 2023 and the Predecessor combined year ended December 31,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45"/>
        <w:gridCol w:w="283"/>
        <w:gridCol w:w="281"/>
        <w:gridCol w:w="1162"/>
        <w:gridCol w:w="114"/>
        <w:gridCol w:w="259"/>
        <w:gridCol w:w="268"/>
        <w:gridCol w:w="1089"/>
        <w:gridCol w:w="60"/>
        <w:gridCol w:w="283"/>
        <w:gridCol w:w="290"/>
        <w:gridCol w:w="1160"/>
        <w:gridCol w:w="113"/>
        <w:gridCol w:w="257"/>
        <w:gridCol w:w="271"/>
        <w:gridCol w:w="1087"/>
        <w:gridCol w:w="66"/>
      </w:tblGrid>
      <w:tr>
        <w:trPr/>
        <w:tc>
          <w:tcPr>
            <w:tcW w:w="234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3" w:type="dxa"/>
            <w:gridSpan w:val="6"/>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i/>
              </w:rPr>
            </w:pPr>
            <w:r>
              <w:rPr>
                <w:i/>
              </w:rPr>
              <w:t>(in thousands of dollars)</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included in Property, plant and equipment</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3,498</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2,218</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due within one year included in accrued liabilities</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2,815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6,680</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b/>
              </w:rPr>
            </w:pPr>
            <w:r>
              <w:rPr>
                <w:b/>
              </w:rPr>
              <w:t>1,019</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1,314</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 included in other long term 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790</w:t>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2,678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b/>
              </w:rPr>
            </w:pPr>
            <w:r>
              <w:rPr>
                <w:b/>
              </w:rPr>
              <w:t>1,235</w:t>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1,423</w:t>
            </w:r>
          </w:p>
        </w:tc>
        <w:tc>
          <w:tcPr>
            <w:tcW w:w="66"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3,605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2,254</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Future minimum lease payments as of the Successor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19"/>
        <w:gridCol w:w="457"/>
        <w:gridCol w:w="214"/>
        <w:gridCol w:w="859"/>
        <w:gridCol w:w="155"/>
        <w:gridCol w:w="457"/>
        <w:gridCol w:w="166"/>
        <w:gridCol w:w="668"/>
        <w:gridCol w:w="160"/>
      </w:tblGrid>
      <w:tr>
        <w:trPr/>
        <w:tc>
          <w:tcPr>
            <w:tcW w:w="4619"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9" w:type="dxa"/>
            <w:vMerge w:val="restart"/>
            <w:tcBorders/>
            <w:vAlign w:val="bottom"/>
          </w:tcPr>
          <w:p>
            <w:pPr>
              <w:pStyle w:val="TableContents"/>
              <w:bidi w:val="0"/>
              <w:spacing w:before="0" w:after="283"/>
              <w:jc w:val="left"/>
              <w:rPr>
                <w:i/>
              </w:rPr>
            </w:pPr>
            <w:r>
              <w:rPr>
                <w:i/>
              </w:rPr>
              <w:t>(in thousands of dollars)</w:t>
            </w:r>
          </w:p>
        </w:tc>
        <w:tc>
          <w:tcPr>
            <w:tcW w:w="457" w:type="dxa"/>
            <w:tcBorders/>
            <w:vAlign w:val="bottom"/>
          </w:tcPr>
          <w:p>
            <w:pPr>
              <w:pStyle w:val="TableContents"/>
              <w:bidi w:val="0"/>
              <w:spacing w:before="0" w:after="283"/>
              <w:jc w:val="left"/>
              <w:rPr/>
            </w:pPr>
            <w:r>
              <w:rPr/>
              <w:t>  </w:t>
            </w:r>
          </w:p>
        </w:tc>
        <w:tc>
          <w:tcPr>
            <w:tcW w:w="25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619" w:type="dxa"/>
            <w:vMerge w:val="continue"/>
            <w:tcBorders/>
            <w:vAlign w:val="bottom"/>
          </w:tcPr>
          <w:p>
            <w:pPr>
              <w:pStyle w:val="Normal"/>
              <w:bidi w:val="0"/>
              <w:jc w:val="left"/>
              <w:rPr/>
            </w:pPr>
            <w:r>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230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2,853</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1,059</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680</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792</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418</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26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87</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14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2029 and beyond</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119</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3,731</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2,370</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Discount to present value</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(126</w:t>
            </w:r>
          </w:p>
        </w:tc>
        <w:tc>
          <w:tcPr>
            <w:tcW w:w="155" w:type="dxa"/>
            <w:tcBorders/>
            <w:vAlign w:val="bottom"/>
          </w:tcPr>
          <w:p>
            <w:pPr>
              <w:pStyle w:val="TableContents"/>
              <w:bidi w:val="0"/>
              <w:spacing w:before="0" w:after="283"/>
              <w:jc w:val="left"/>
              <w:rPr>
                <w:b/>
              </w:rPr>
            </w:pPr>
            <w:r>
              <w:rPr>
                <w:b/>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(116</w:t>
            </w:r>
          </w:p>
        </w:tc>
        <w:tc>
          <w:tcPr>
            <w:tcW w:w="160" w:type="dxa"/>
            <w:tcBorders/>
            <w:vAlign w:val="bottom"/>
          </w:tcPr>
          <w:p>
            <w:pPr>
              <w:pStyle w:val="TableContents"/>
              <w:bidi w:val="0"/>
              <w:spacing w:before="0" w:after="283"/>
              <w:jc w:val="left"/>
              <w:rPr>
                <w:b/>
              </w:rPr>
            </w:pPr>
            <w:r>
              <w:rPr>
                <w:b/>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2,254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1"/>
        <w:gridCol w:w="363"/>
        <w:gridCol w:w="125"/>
        <w:gridCol w:w="958"/>
        <w:gridCol w:w="348"/>
        <w:gridCol w:w="200"/>
        <w:gridCol w:w="98"/>
        <w:gridCol w:w="734"/>
        <w:gridCol w:w="376"/>
        <w:gridCol w:w="270"/>
        <w:gridCol w:w="125"/>
        <w:gridCol w:w="958"/>
        <w:gridCol w:w="278"/>
        <w:gridCol w:w="270"/>
        <w:gridCol w:w="97"/>
        <w:gridCol w:w="735"/>
        <w:gridCol w:w="282"/>
      </w:tblGrid>
      <w:tr>
        <w:trPr/>
        <w:tc>
          <w:tcPr>
            <w:tcW w:w="317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71" w:type="dxa"/>
            <w:vMerge w:val="restart"/>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December 31, 2022</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34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282" w:type="dxa"/>
            <w:tcBorders/>
            <w:vAlign w:val="bottom"/>
          </w:tcPr>
          <w:p>
            <w:pPr>
              <w:pStyle w:val="TableContents"/>
              <w:bidi w:val="0"/>
              <w:spacing w:before="0" w:after="283"/>
              <w:jc w:val="left"/>
              <w:rPr/>
            </w:pPr>
            <w:r>
              <w:rPr/>
              <w:t> </w:t>
            </w:r>
          </w:p>
        </w:tc>
      </w:tr>
      <w:tr>
        <w:trPr/>
        <w:tc>
          <w:tcPr>
            <w:tcW w:w="3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terms-years</w:t>
            </w:r>
          </w:p>
        </w:tc>
        <w:tc>
          <w:tcPr>
            <w:tcW w:w="36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1.20</w:t>
            </w:r>
          </w:p>
        </w:tc>
        <w:tc>
          <w:tcPr>
            <w:tcW w:w="34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b/>
              </w:rPr>
            </w:pPr>
            <w:r>
              <w:rPr>
                <w:b/>
              </w:rPr>
              <w:t>2.64</w:t>
            </w:r>
          </w:p>
        </w:tc>
        <w:tc>
          <w:tcPr>
            <w:tcW w:w="3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6.78</w:t>
            </w:r>
          </w:p>
        </w:tc>
        <w:tc>
          <w:tcPr>
            <w:tcW w:w="27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5.55</w:t>
            </w:r>
          </w:p>
        </w:tc>
        <w:tc>
          <w:tcPr>
            <w:tcW w:w="282" w:type="dxa"/>
            <w:tcBorders/>
            <w:shd w:fill="CCEEFF" w:val="clear"/>
            <w:vAlign w:val="bottom"/>
          </w:tcPr>
          <w:p>
            <w:pPr>
              <w:pStyle w:val="TableContents"/>
              <w:bidi w:val="0"/>
              <w:spacing w:before="0" w:after="283"/>
              <w:jc w:val="left"/>
              <w:rPr/>
            </w:pPr>
            <w:r>
              <w:rPr/>
              <w:t> </w:t>
            </w:r>
          </w:p>
        </w:tc>
      </w:tr>
      <w:tr>
        <w:trPr/>
        <w:tc>
          <w:tcPr>
            <w:tcW w:w="3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rate-percent</w:t>
            </w:r>
          </w:p>
        </w:tc>
        <w:tc>
          <w:tcPr>
            <w:tcW w:w="36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3.59</w:t>
            </w:r>
          </w:p>
        </w:tc>
        <w:tc>
          <w:tcPr>
            <w:tcW w:w="348"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b/>
              </w:rPr>
            </w:pPr>
            <w:r>
              <w:rPr>
                <w:b/>
              </w:rPr>
              <w:t>2.48</w:t>
            </w:r>
          </w:p>
        </w:tc>
        <w:tc>
          <w:tcPr>
            <w:tcW w:w="37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7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3.61</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2.25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table below presents supplemental cash flow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3"/>
        <w:gridCol w:w="220"/>
        <w:gridCol w:w="259"/>
        <w:gridCol w:w="1135"/>
        <w:gridCol w:w="60"/>
        <w:gridCol w:w="94"/>
        <w:gridCol w:w="649"/>
        <w:gridCol w:w="650"/>
        <w:gridCol w:w="178"/>
        <w:gridCol w:w="220"/>
        <w:gridCol w:w="230"/>
        <w:gridCol w:w="1006"/>
        <w:gridCol w:w="60"/>
        <w:gridCol w:w="219"/>
        <w:gridCol w:w="140"/>
        <w:gridCol w:w="626"/>
        <w:gridCol w:w="60"/>
        <w:gridCol w:w="220"/>
        <w:gridCol w:w="140"/>
        <w:gridCol w:w="626"/>
        <w:gridCol w:w="70"/>
      </w:tblGrid>
      <w:tr>
        <w:trPr/>
        <w:tc>
          <w:tcPr>
            <w:tcW w:w="334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i/>
              </w:rPr>
            </w:pPr>
            <w:r>
              <w:rPr>
                <w:i/>
              </w:rPr>
              <w:t>(in thousands of dollars)</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pPr>
            <w:r>
              <w:rPr/>
              <w:t> </w:t>
            </w:r>
            <w:r>
              <w:rPr>
                <w:b/>
              </w:rPr>
              <w:t>7,747</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r>
              <w:rPr/>
              <w:t>1,272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7,821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r>
              <w:rPr/>
              <w:t>6,734</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7,747</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r>
              <w:rPr/>
              <w:t>7,821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6,734</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3343" w:type="dxa"/>
            <w:tcBorders/>
            <w:vAlign w:val="center"/>
          </w:tcPr>
          <w:p>
            <w:pPr>
              <w:pStyle w:val="TableContents"/>
              <w:bidi w:val="0"/>
              <w:spacing w:before="0" w:after="283"/>
              <w:jc w:val="left"/>
              <w:rPr>
                <w:sz w:val="4"/>
                <w:szCs w:val="4"/>
              </w:rPr>
            </w:pPr>
            <w:r>
              <w:rPr>
                <w:sz w:val="4"/>
                <w:szCs w:val="4"/>
              </w:rPr>
            </w:r>
          </w:p>
        </w:tc>
        <w:tc>
          <w:tcPr>
            <w:tcW w:w="6862" w:type="dxa"/>
            <w:gridSpan w:val="20"/>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102</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1,422</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1,365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1,099</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1,488</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1,201</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Total rental costs were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2"/>
        <w:gridCol w:w="314"/>
        <w:gridCol w:w="278"/>
        <w:gridCol w:w="1116"/>
        <w:gridCol w:w="60"/>
        <w:gridCol w:w="230"/>
        <w:gridCol w:w="649"/>
        <w:gridCol w:w="650"/>
        <w:gridCol w:w="136"/>
        <w:gridCol w:w="261"/>
        <w:gridCol w:w="247"/>
        <w:gridCol w:w="990"/>
        <w:gridCol w:w="60"/>
        <w:gridCol w:w="314"/>
        <w:gridCol w:w="140"/>
        <w:gridCol w:w="573"/>
        <w:gridCol w:w="59"/>
        <w:gridCol w:w="314"/>
        <w:gridCol w:w="140"/>
        <w:gridCol w:w="573"/>
        <w:gridCol w:w="69"/>
      </w:tblGrid>
      <w:tr>
        <w:trPr/>
        <w:tc>
          <w:tcPr>
            <w:tcW w:w="303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i/>
              </w:rPr>
            </w:pPr>
            <w:r>
              <w:rPr>
                <w:i/>
              </w:rPr>
              <w:t>(in thousands of dollars)</w:t>
            </w:r>
          </w:p>
        </w:tc>
        <w:tc>
          <w:tcPr>
            <w:tcW w:w="314" w:type="dxa"/>
            <w:tcBorders/>
            <w:vAlign w:val="bottom"/>
          </w:tcPr>
          <w:p>
            <w:pPr>
              <w:pStyle w:val="TableContents"/>
              <w:bidi w:val="0"/>
              <w:spacing w:before="0" w:after="283"/>
              <w:jc w:val="left"/>
              <w:rPr/>
            </w:pPr>
            <w:r>
              <w:rPr/>
              <w:t>  </w:t>
            </w:r>
          </w:p>
        </w:tc>
        <w:tc>
          <w:tcPr>
            <w:tcW w:w="2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79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30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rental costs</w:t>
            </w:r>
          </w:p>
        </w:tc>
        <w:tc>
          <w:tcPr>
            <w:tcW w:w="314"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7,708</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3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9,257</w:t>
            </w:r>
          </w:p>
        </w:tc>
        <w:tc>
          <w:tcPr>
            <w:tcW w:w="59"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7,935</w:t>
            </w:r>
          </w:p>
        </w:tc>
        <w:tc>
          <w:tcPr>
            <w:tcW w:w="69"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Under long-term purchase and transportation agreements with pipeline and energy companies, Aera LLC is required to purchase specified quantities of natural gas pipeline capacity. At the Successor year ended December 31, 2023, Aera LLCs maximum exposure related to the agreements was estimated to be approximately $27 million. For the Successor year ended December 31, 2023 and the Predecessor combined 58-day period ended February 27, 2023, year ended December 31, 2022 and year ended December 31, 2021, $3.5 million, $0.6 million, $3.6 million and $3.5 million, respectively were incurred for costs related to these long-term purchase and transportation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Aera LLC had commitments related to agreements for the future purchase of materials and services, all made in the normal course of business. All such commitments and guarantees are expected to be fulfilled with no material adverse consequences to Aera LLCs operations or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5" w:name="fin785486_17"/>
            <w:bookmarkEnd w:id="45"/>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 </w:t>
      </w:r>
    </w:p>
    <w:p>
      <w:pPr>
        <w:pStyle w:val="TextBody"/>
        <w:bidi w:val="0"/>
        <w:spacing w:before="120" w:after="0"/>
        <w:jc w:val="left"/>
        <w:rPr>
          <w:rFonts w:ascii="Times New Roman" w:hAnsi="Times New Roman"/>
          <w:sz w:val="20"/>
        </w:rPr>
      </w:pPr>
      <w:r>
        <w:rPr>
          <w:rFonts w:ascii="Times New Roman" w:hAnsi="Times New Roman"/>
          <w:sz w:val="20"/>
        </w:rPr>
        <w:t xml:space="preserve">Level 1  Unadjusted quoted market prices for identical assets or liabilities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for the asset or liability only used when there is little, if any, market activity for the asset or liability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 forth, by level within the fair value hierarchy, Aera LLCs financial assets and liabilities that were accounted for at a fair value on recurring basis as of the Successor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8"/>
        <w:gridCol w:w="216"/>
        <w:gridCol w:w="762"/>
        <w:gridCol w:w="762"/>
        <w:gridCol w:w="60"/>
        <w:gridCol w:w="216"/>
        <w:gridCol w:w="162"/>
        <w:gridCol w:w="1034"/>
        <w:gridCol w:w="155"/>
        <w:gridCol w:w="216"/>
        <w:gridCol w:w="735"/>
        <w:gridCol w:w="735"/>
        <w:gridCol w:w="60"/>
        <w:gridCol w:w="216"/>
        <w:gridCol w:w="140"/>
        <w:gridCol w:w="878"/>
        <w:gridCol w:w="163"/>
      </w:tblGrid>
      <w:tr>
        <w:trPr/>
        <w:tc>
          <w:tcPr>
            <w:tcW w:w="2878"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8" w:type="dxa"/>
            <w:tcBorders/>
            <w:vAlign w:val="bottom"/>
          </w:tcPr>
          <w:p>
            <w:pPr>
              <w:pStyle w:val="TableContents"/>
              <w:bidi w:val="0"/>
              <w:spacing w:before="0" w:after="283"/>
              <w:jc w:val="left"/>
              <w:rPr>
                <w:i/>
              </w:rPr>
            </w:pPr>
            <w:r>
              <w:rPr>
                <w:i/>
              </w:rPr>
              <w:t>(in thousands of dollars)</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3" w:type="dxa"/>
            <w:tcBorders/>
            <w:vAlign w:val="bottom"/>
          </w:tcPr>
          <w:p>
            <w:pPr>
              <w:pStyle w:val="TableContents"/>
              <w:bidi w:val="0"/>
              <w:spacing w:before="0" w:after="283"/>
              <w:jc w:val="left"/>
              <w:rPr/>
            </w:pPr>
            <w:r>
              <w:rPr/>
              <w:t> </w:t>
            </w:r>
          </w:p>
        </w:tc>
      </w:tr>
      <w:tr>
        <w:trPr/>
        <w:tc>
          <w:tcPr>
            <w:tcW w:w="2878" w:type="dxa"/>
            <w:vMerge w:val="restart"/>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3" w:type="dxa"/>
            <w:tcBorders/>
            <w:vAlign w:val="bottom"/>
          </w:tcPr>
          <w:p>
            <w:pPr>
              <w:pStyle w:val="TableContents"/>
              <w:bidi w:val="0"/>
              <w:spacing w:before="0" w:after="283"/>
              <w:jc w:val="left"/>
              <w:rPr/>
            </w:pPr>
            <w:r>
              <w:rPr/>
              <w:t> </w:t>
            </w:r>
          </w:p>
        </w:tc>
      </w:tr>
      <w:tr>
        <w:trPr/>
        <w:tc>
          <w:tcPr>
            <w:tcW w:w="2878" w:type="dxa"/>
            <w:vMerge w:val="continue"/>
            <w:tcBorders/>
            <w:vAlign w:val="bottom"/>
          </w:tcPr>
          <w:p>
            <w:pPr>
              <w:pStyle w:val="Normal"/>
              <w:bidi w:val="0"/>
              <w:jc w:val="left"/>
              <w:rPr/>
            </w:pPr>
            <w:r>
              <w:rPr/>
            </w:r>
          </w:p>
        </w:tc>
        <w:tc>
          <w:tcPr>
            <w:tcW w:w="216"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Active Market</w:t>
              <w:br/>
              <w:t>for Identical</w:t>
              <w:br/>
              <w:t>Assets</w:t>
              <w:br/>
              <w:t>(Level 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w:t>
              <w:br/>
              <w:t>Inputs</w:t>
              <w:br/>
              <w:t>(Level 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w:t>
              <w:br/>
              <w:t>(Level 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Carrying</w:t>
            </w:r>
            <w:r>
              <w:rPr/>
              <w:br/>
            </w:r>
            <w:r>
              <w:rPr>
                <w:b/>
              </w:rPr>
              <w:t>Value</w:t>
            </w:r>
          </w:p>
        </w:tc>
        <w:tc>
          <w:tcPr>
            <w:tcW w:w="163"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1,143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1,143</w:t>
            </w:r>
          </w:p>
        </w:tc>
        <w:tc>
          <w:tcPr>
            <w:tcW w:w="163" w:type="dxa"/>
            <w:tcBorders/>
            <w:shd w:fill="CCEEFF" w:val="clear"/>
            <w:vAlign w:val="bottom"/>
          </w:tcPr>
          <w:p>
            <w:pPr>
              <w:pStyle w:val="TableContents"/>
              <w:bidi w:val="0"/>
              <w:spacing w:before="0" w:after="283"/>
              <w:jc w:val="left"/>
              <w:rPr/>
            </w:pPr>
            <w:r>
              <w:rPr/>
              <w:t> </w:t>
            </w:r>
          </w:p>
        </w:tc>
      </w:tr>
      <w:tr>
        <w:trP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Contingent Consideration in Current - Accrued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(23,176</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(23,176</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(31,032</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(31,032</w:t>
            </w:r>
          </w:p>
        </w:tc>
        <w:tc>
          <w:tcPr>
            <w:tcW w:w="163" w:type="dxa"/>
            <w:tcBorders/>
            <w:vAlign w:val="bottom"/>
          </w:tcPr>
          <w:p>
            <w:pPr>
              <w:pStyle w:val="TableContents"/>
              <w:bidi w:val="0"/>
              <w:spacing w:before="0" w:after="283"/>
              <w:jc w:val="left"/>
              <w:rPr>
                <w:b/>
              </w:rPr>
            </w:pPr>
            <w:r>
              <w:rPr>
                <w:b/>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Consideration in Other long term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(5,930</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(5,930</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(79,366</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(79,366</w:t>
            </w:r>
          </w:p>
        </w:tc>
        <w:tc>
          <w:tcPr>
            <w:tcW w:w="163" w:type="dxa"/>
            <w:tcBorders/>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(138,362</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(138,362</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liabilities related to the Acquisition are classified as Level 2 in the requirement fair value hierarchy and are reported at fair value based on hedged and unhedged oil volumes as defined in the Acquisition purchase agreements at the ICE brent price futures price on the date of Acquisition. There were no contingent consideration liabilities for the Successor year ended December 31, 2022 or the Predecessor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LLCs derivative instruments, which consist of derivative swaps, are classified as Level 2 as of the Successor year ended December 31, 2023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There were no derivative instruments for the Successor year ended December 31, 2022 or the Predecessor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Nonfinancial assets and liabilities measured at fair value on a non-recurring basis include certain nonfinancial assets acquired and liabilities assumed in the benefit plans, for which fair value is used. These assets and liabilities are recorded at fair value when acquired/incurred but not re-measured at fair value in subsequent periods (see further discussion in Note 8, Benefit Plans). </w:t>
      </w:r>
    </w:p>
    <w:p>
      <w:pPr>
        <w:pStyle w:val="TextBody"/>
        <w:bidi w:val="0"/>
        <w:spacing w:before="240" w:after="0"/>
        <w:jc w:val="left"/>
        <w:rPr>
          <w:rFonts w:ascii="Times New Roman" w:hAnsi="Times New Roman"/>
          <w:sz w:val="20"/>
        </w:rPr>
      </w:pPr>
      <w:r>
        <w:rPr>
          <w:rFonts w:ascii="Times New Roman" w:hAnsi="Times New Roman"/>
          <w:sz w:val="20"/>
        </w:rPr>
        <w:t xml:space="preserve">Asset retirement obligation estimates are derived from historical data as well as managements expectation of future cost environments and other unobservable inputs (see further discussion in Note 6, Property, Plant and Equipment and Asset Retirement Obligations). As there is no corroborating market activity to support the assumptions used, Aera LLC has designated these measurements as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Other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value of the Aera LLCs long-term debt approximates its fair value because the interest rate is variable and reflective of market rates, which are level 2 inputs within the fair value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6" w:name="fin785486_18"/>
            <w:bookmarkEnd w:id="46"/>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and during the Successor year ended December 31, 2023 and the Predecessor combined year ended December 31, 2022.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14, Debt. </w:t>
      </w:r>
    </w:p>
    <w:p>
      <w:pPr>
        <w:pStyle w:val="TextBody"/>
        <w:bidi w:val="0"/>
        <w:spacing w:before="240" w:after="0"/>
        <w:jc w:val="left"/>
        <w:rPr>
          <w:rFonts w:ascii="Times New Roman" w:hAnsi="Times New Roman"/>
          <w:sz w:val="20"/>
        </w:rPr>
      </w:pPr>
      <w:r>
        <w:rPr>
          <w:rFonts w:ascii="Times New Roman" w:hAnsi="Times New Roman"/>
          <w:sz w:val="20"/>
        </w:rPr>
        <w:t xml:space="preserve">Aera LLC reported gains and losses on derivative contracts related to crude oil sold and natural gas purchased in Revenue and Other Income on our Consolidated and Combined Statements of Operations and Other Comprehensive Income for the Successor year ended December 31, 2023 as shown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0"/>
        <w:gridCol w:w="337"/>
        <w:gridCol w:w="154"/>
        <w:gridCol w:w="814"/>
        <w:gridCol w:w="165"/>
        <w:gridCol w:w="337"/>
        <w:gridCol w:w="197"/>
        <w:gridCol w:w="1148"/>
        <w:gridCol w:w="165"/>
        <w:gridCol w:w="337"/>
        <w:gridCol w:w="140"/>
        <w:gridCol w:w="905"/>
        <w:gridCol w:w="173"/>
      </w:tblGrid>
      <w:tr>
        <w:trPr/>
        <w:tc>
          <w:tcPr>
            <w:tcW w:w="370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i/>
              </w:rPr>
            </w:pPr>
            <w:r>
              <w:rPr>
                <w:i/>
              </w:rPr>
              <w:t>(in thousands of dollars)</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Crude Oil</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Natural Gas</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73"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Settlement payments from commodity derivatives</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(9,116</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(9,549</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(18,666</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Non-cash commodity derivative loss</w:t>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(76,507</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b/>
              </w:rPr>
            </w:pPr>
            <w:r>
              <w:rPr>
                <w:b/>
              </w:rPr>
              <w:t>(32,748</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(109,255</w:t>
            </w:r>
          </w:p>
        </w:tc>
        <w:tc>
          <w:tcPr>
            <w:tcW w:w="173" w:type="dxa"/>
            <w:tcBorders/>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(85,624</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(42,297</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(127,921</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the Successor year ended December 31, 2023, Aera LLCs counterparties to its derivative contract are Citigroup Global Markets, BP Energy Company, Key Bank, Deutsche Bank AG, Macquarie Bank Limited, Wells Fargo Bank, N.A., and RBC Bank.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Aera LLCs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fair values of Aera LLCs outstanding commodity derivatives as of the Successor year ended December 31: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33"/>
        <w:gridCol w:w="523"/>
        <w:gridCol w:w="197"/>
        <w:gridCol w:w="1317"/>
        <w:gridCol w:w="169"/>
      </w:tblGrid>
      <w:tr>
        <w:trPr/>
        <w:tc>
          <w:tcPr>
            <w:tcW w:w="4733"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Classification </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4733" w:type="dxa"/>
            <w:tcBorders/>
            <w:vAlign w:val="bottom"/>
          </w:tcPr>
          <w:p>
            <w:pPr>
              <w:pStyle w:val="TableContents"/>
              <w:bidi w:val="0"/>
              <w:spacing w:before="0" w:after="283"/>
              <w:jc w:val="left"/>
              <w:rPr>
                <w:i/>
              </w:rPr>
            </w:pPr>
            <w:r>
              <w:rPr>
                <w:i/>
              </w:rPr>
              <w:t>(in thousands of dollars)</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69" w:type="dxa"/>
            <w:tcBorders/>
            <w:vAlign w:val="bottom"/>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1,143</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(31,032</w:t>
            </w:r>
          </w:p>
        </w:tc>
        <w:tc>
          <w:tcPr>
            <w:tcW w:w="169" w:type="dxa"/>
            <w:tcBorders/>
            <w:vAlign w:val="bottom"/>
          </w:tcPr>
          <w:p>
            <w:pPr>
              <w:pStyle w:val="TableContents"/>
              <w:bidi w:val="0"/>
              <w:spacing w:before="0" w:after="283"/>
              <w:jc w:val="left"/>
              <w:rPr>
                <w:b/>
              </w:rPr>
            </w:pPr>
            <w:r>
              <w:rPr>
                <w:b/>
              </w:rPr>
              <w:t>) </w:t>
            </w:r>
          </w:p>
        </w:tc>
      </w:tr>
      <w:tr>
        <w:trPr/>
        <w:tc>
          <w:tcPr>
            <w:tcW w:w="4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b/>
              </w:rPr>
            </w:pPr>
            <w:r>
              <w:rPr>
                <w:b/>
              </w:rPr>
              <w:t>(79,366</w:t>
            </w:r>
          </w:p>
        </w:tc>
        <w:tc>
          <w:tcPr>
            <w:tcW w:w="169" w:type="dxa"/>
            <w:tcBorders/>
            <w:shd w:fill="CCEEFF" w:val="clear"/>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(110,398</w:t>
            </w:r>
          </w:p>
        </w:tc>
        <w:tc>
          <w:tcPr>
            <w:tcW w:w="169" w:type="dxa"/>
            <w:tcBorders/>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held the following swap contracts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0"/>
        <w:gridCol w:w="427"/>
        <w:gridCol w:w="73"/>
        <w:gridCol w:w="909"/>
        <w:gridCol w:w="60"/>
        <w:gridCol w:w="427"/>
        <w:gridCol w:w="217"/>
        <w:gridCol w:w="927"/>
        <w:gridCol w:w="65"/>
      </w:tblGrid>
      <w:tr>
        <w:trPr/>
        <w:tc>
          <w:tcPr>
            <w:tcW w:w="465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50" w:type="dxa"/>
            <w:tcBorders/>
            <w:vAlign w:val="bottom"/>
          </w:tcPr>
          <w:p>
            <w:pPr>
              <w:pStyle w:val="TableContents"/>
              <w:bidi w:val="0"/>
              <w:spacing w:before="0" w:after="283"/>
              <w:jc w:val="left"/>
              <w:rPr/>
            </w:pPr>
            <w:r>
              <w:rPr/>
              <w:t>Brent Swaps</w:t>
            </w:r>
          </w:p>
        </w:tc>
        <w:tc>
          <w:tcPr>
            <w:tcW w:w="427"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(MBbls)</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br/>
              <w:t>Per Bbl</w:t>
            </w:r>
          </w:p>
        </w:tc>
        <w:tc>
          <w:tcPr>
            <w:tcW w:w="65"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2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51,460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927" w:type="dxa"/>
            <w:tcBorders/>
            <w:shd w:fill="CCEEFF" w:val="clear"/>
            <w:vAlign w:val="bottom"/>
          </w:tcPr>
          <w:p>
            <w:pPr>
              <w:pStyle w:val="TableContents"/>
              <w:bidi w:val="0"/>
              <w:spacing w:before="0" w:after="283"/>
              <w:jc w:val="right"/>
              <w:rPr>
                <w:b/>
              </w:rPr>
            </w:pPr>
            <w:r>
              <w:rPr>
                <w:b/>
              </w:rPr>
              <w:t>71.55</w:t>
            </w:r>
          </w:p>
        </w:tc>
        <w:tc>
          <w:tcPr>
            <w:tcW w:w="65" w:type="dxa"/>
            <w:tcBorders/>
            <w:shd w:fill="CCEEFF" w:val="clear"/>
            <w:vAlign w:val="bottom"/>
          </w:tcPr>
          <w:p>
            <w:pPr>
              <w:pStyle w:val="TableContents"/>
              <w:bidi w:val="0"/>
              <w:spacing w:before="0" w:after="283"/>
              <w:jc w:val="left"/>
              <w:rPr/>
            </w:pPr>
            <w:r>
              <w:rPr/>
              <w:t> </w:t>
            </w:r>
          </w:p>
        </w:tc>
      </w:tr>
      <w:tr>
        <w:trPr/>
        <w:tc>
          <w:tcPr>
            <w:tcW w:w="465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3"/>
        <w:gridCol w:w="480"/>
        <w:gridCol w:w="73"/>
        <w:gridCol w:w="938"/>
        <w:gridCol w:w="60"/>
        <w:gridCol w:w="480"/>
        <w:gridCol w:w="260"/>
        <w:gridCol w:w="867"/>
        <w:gridCol w:w="64"/>
      </w:tblGrid>
      <w:tr>
        <w:trPr/>
        <w:tc>
          <w:tcPr>
            <w:tcW w:w="4533"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33" w:type="dxa"/>
            <w:tcBorders/>
            <w:vAlign w:val="bottom"/>
          </w:tcPr>
          <w:p>
            <w:pPr>
              <w:pStyle w:val="TableContents"/>
              <w:bidi w:val="0"/>
              <w:spacing w:before="0" w:after="283"/>
              <w:jc w:val="left"/>
              <w:rPr/>
            </w:pPr>
            <w:r>
              <w:rPr/>
              <w:t>Gas Swaps</w:t>
            </w:r>
          </w:p>
        </w:tc>
        <w:tc>
          <w:tcPr>
            <w:tcW w:w="48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(MmBtu)</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br/>
              <w:t>Price</w:t>
              <w:br/>
              <w:t>Per Btu</w:t>
            </w:r>
          </w:p>
        </w:tc>
        <w:tc>
          <w:tcPr>
            <w:tcW w:w="64" w:type="dxa"/>
            <w:tcBorders/>
            <w:vAlign w:val="bottom"/>
          </w:tcPr>
          <w:p>
            <w:pPr>
              <w:pStyle w:val="TableContents"/>
              <w:bidi w:val="0"/>
              <w:spacing w:before="0" w:after="283"/>
              <w:jc w:val="left"/>
              <w:rPr/>
            </w:pPr>
            <w:r>
              <w:rPr/>
              <w:t> </w:t>
            </w:r>
          </w:p>
        </w:tc>
      </w:tr>
      <w:tr>
        <w:trPr/>
        <w:tc>
          <w:tcPr>
            <w:tcW w:w="45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27,895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867" w:type="dxa"/>
            <w:tcBorders/>
            <w:shd w:fill="CCEEFF" w:val="clear"/>
            <w:vAlign w:val="bottom"/>
          </w:tcPr>
          <w:p>
            <w:pPr>
              <w:pStyle w:val="TableContents"/>
              <w:bidi w:val="0"/>
              <w:spacing w:before="0" w:after="283"/>
              <w:jc w:val="right"/>
              <w:rPr>
                <w:b/>
              </w:rPr>
            </w:pPr>
            <w:r>
              <w:rPr>
                <w:b/>
              </w:rPr>
              <w:t>4.80</w:t>
            </w:r>
          </w:p>
        </w:tc>
        <w:tc>
          <w:tcPr>
            <w:tcW w:w="64" w:type="dxa"/>
            <w:tcBorders/>
            <w:shd w:fill="CCEEFF" w:val="clear"/>
            <w:vAlign w:val="bottom"/>
          </w:tcPr>
          <w:p>
            <w:pPr>
              <w:pStyle w:val="TableContents"/>
              <w:bidi w:val="0"/>
              <w:spacing w:before="0" w:after="283"/>
              <w:jc w:val="left"/>
              <w:rPr/>
            </w:pPr>
            <w:r>
              <w:rPr/>
              <w:t> </w:t>
            </w:r>
          </w:p>
        </w:tc>
      </w:tr>
      <w:tr>
        <w:trPr/>
        <w:tc>
          <w:tcPr>
            <w:tcW w:w="4533"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7" w:name="fin785486_19"/>
            <w:bookmarkEnd w:id="47"/>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Taxes incurred by the Aera Companies were reported on the Consolidated and Combined Statements of Operations and Other Comprehensive Income as follows for the periods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2"/>
        <w:gridCol w:w="236"/>
        <w:gridCol w:w="231"/>
        <w:gridCol w:w="1137"/>
        <w:gridCol w:w="155"/>
        <w:gridCol w:w="130"/>
        <w:gridCol w:w="647"/>
        <w:gridCol w:w="648"/>
        <w:gridCol w:w="105"/>
        <w:gridCol w:w="180"/>
        <w:gridCol w:w="199"/>
        <w:gridCol w:w="999"/>
        <w:gridCol w:w="155"/>
        <w:gridCol w:w="180"/>
        <w:gridCol w:w="202"/>
        <w:gridCol w:w="1108"/>
        <w:gridCol w:w="155"/>
        <w:gridCol w:w="180"/>
        <w:gridCol w:w="221"/>
        <w:gridCol w:w="1091"/>
        <w:gridCol w:w="164"/>
      </w:tblGrid>
      <w:tr>
        <w:trPr/>
        <w:tc>
          <w:tcPr>
            <w:tcW w:w="208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283"/>
              <w:jc w:val="left"/>
              <w:rPr>
                <w:i/>
              </w:rPr>
            </w:pPr>
            <w:r>
              <w:rPr>
                <w:i/>
              </w:rPr>
              <w:t>(in thousands of dollars)</w:t>
            </w:r>
          </w:p>
        </w:tc>
        <w:tc>
          <w:tcPr>
            <w:tcW w:w="236"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49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and State Income Taxes</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(1,632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(1,440</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354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(616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788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2,182</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364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1,007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1,302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264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(11,337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1,744</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Taxes Other Than Income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Real and personal property</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25,854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5,439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30,115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33,041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and gas production</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58,589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8,996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45,364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21,437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taxes other than on income</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54,478</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Real and personal property tax expense includes refunds of $0.5 million and $0.1 million received for the Successor year ended December 31, 2023 and the combined Predecessor year ended December 31, 2021 to account for well abandonments and miscellaneous revisions in the property tax valuations. Real and personal property tax expense includes refunds of $0.7 million for the combined Predecessor year ended December 31, 2022 for prior-year valuation related property tax appeals. No real and personal property tax refunds were received for the Successor year ended December 31, 2022 or the combined Predecessor 58-day period ended February 27, 2023. </w:t>
      </w:r>
    </w:p>
    <w:p>
      <w:pPr>
        <w:pStyle w:val="TextBody"/>
        <w:bidi w:val="0"/>
        <w:spacing w:before="240" w:after="0"/>
        <w:jc w:val="left"/>
        <w:rPr>
          <w:rFonts w:ascii="Times New Roman" w:hAnsi="Times New Roman"/>
          <w:b/>
          <w:sz w:val="20"/>
        </w:rPr>
      </w:pPr>
      <w:r>
        <w:rPr>
          <w:rFonts w:ascii="Times New Roman" w:hAnsi="Times New Roman"/>
          <w:b/>
          <w:sz w:val="20"/>
        </w:rPr>
        <w:t xml:space="preserve">Deferred tax assets/(liabilities)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8"/>
        <w:gridCol w:w="243"/>
        <w:gridCol w:w="164"/>
        <w:gridCol w:w="921"/>
        <w:gridCol w:w="215"/>
        <w:gridCol w:w="254"/>
        <w:gridCol w:w="179"/>
        <w:gridCol w:w="1054"/>
        <w:gridCol w:w="167"/>
      </w:tblGrid>
      <w:tr>
        <w:trPr/>
        <w:tc>
          <w:tcPr>
            <w:tcW w:w="45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58" w:type="dxa"/>
            <w:vMerge w:val="restart"/>
            <w:tcBorders/>
            <w:vAlign w:val="bottom"/>
          </w:tcPr>
          <w:p>
            <w:pPr>
              <w:pStyle w:val="TableContents"/>
              <w:bidi w:val="0"/>
              <w:spacing w:before="0" w:after="283"/>
              <w:jc w:val="left"/>
              <w:rPr>
                <w:i/>
              </w:rPr>
            </w:pPr>
            <w:r>
              <w:rPr>
                <w:i/>
              </w:rPr>
              <w:t>(in thousands of dollars)</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7" w:type="dxa"/>
            <w:tcBorders/>
            <w:vAlign w:val="bottom"/>
          </w:tcPr>
          <w:p>
            <w:pPr>
              <w:pStyle w:val="TableContents"/>
              <w:bidi w:val="0"/>
              <w:spacing w:before="0" w:after="283"/>
              <w:jc w:val="left"/>
              <w:rPr/>
            </w:pPr>
            <w:r>
              <w:rPr/>
              <w:t> </w:t>
            </w:r>
          </w:p>
        </w:tc>
      </w:tr>
      <w:tr>
        <w:trPr/>
        <w:tc>
          <w:tcPr>
            <w:tcW w:w="4558" w:type="dxa"/>
            <w:vMerge w:val="continue"/>
            <w:tcBorders/>
            <w:vAlign w:val="bottom"/>
          </w:tcPr>
          <w:p>
            <w:pPr>
              <w:pStyle w:val="Normal"/>
              <w:bidi w:val="0"/>
              <w:jc w:val="left"/>
              <w:rPr/>
            </w:pPr>
            <w:r>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 effects of temporary differences for:</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Pension plan</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(12,179</w:t>
            </w:r>
          </w:p>
        </w:tc>
        <w:tc>
          <w:tcPr>
            <w:tcW w:w="21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(11,442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post retirement plans</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20,661</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21,788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employee benefits</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6,205</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7,762</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deferred income tax asset, net</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14,687</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18,108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48" w:name="fin785486_20"/>
            <w:bookmarkEnd w:id="48"/>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Successor year ended December 31, 2023, Aera LLCs long term debt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1"/>
        <w:gridCol w:w="140"/>
        <w:gridCol w:w="197"/>
        <w:gridCol w:w="1375"/>
        <w:gridCol w:w="167"/>
        <w:gridCol w:w="96"/>
        <w:gridCol w:w="60"/>
        <w:gridCol w:w="2242"/>
        <w:gridCol w:w="200"/>
        <w:gridCol w:w="96"/>
        <w:gridCol w:w="60"/>
        <w:gridCol w:w="1996"/>
        <w:gridCol w:w="205"/>
      </w:tblGrid>
      <w:tr>
        <w:trPr/>
        <w:tc>
          <w:tcPr>
            <w:tcW w:w="337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i/>
              </w:rPr>
            </w:pPr>
            <w:r>
              <w:rPr>
                <w:i/>
              </w:rPr>
              <w:t>(in thousands of dollars)</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7" w:type="dxa"/>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30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00" w:type="dxa"/>
            <w:vMerge w:val="restart"/>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05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205" w:type="dxa"/>
            <w:vMerge w:val="restart"/>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7" w:type="dxa"/>
            <w:tcBorders/>
            <w:vAlign w:val="bottom"/>
          </w:tcPr>
          <w:p>
            <w:pPr>
              <w:pStyle w:val="TableContents"/>
              <w:bidi w:val="0"/>
              <w:spacing w:before="0" w:after="283"/>
              <w:jc w:val="left"/>
              <w:rPr/>
            </w:pPr>
            <w:r>
              <w:rPr/>
              <w:t> </w:t>
            </w:r>
          </w:p>
        </w:tc>
        <w:tc>
          <w:tcPr>
            <w:tcW w:w="96" w:type="dxa"/>
            <w:vMerge w:val="continue"/>
            <w:tcBorders/>
            <w:vAlign w:val="bottom"/>
          </w:tcPr>
          <w:p>
            <w:pPr>
              <w:pStyle w:val="Normal"/>
              <w:bidi w:val="0"/>
              <w:jc w:val="left"/>
              <w:rPr/>
            </w:pPr>
            <w:r>
              <w:rPr/>
            </w:r>
          </w:p>
        </w:tc>
        <w:tc>
          <w:tcPr>
            <w:tcW w:w="2302" w:type="dxa"/>
            <w:gridSpan w:val="2"/>
            <w:vMerge w:val="continue"/>
            <w:tcBorders>
              <w:bottom w:val="single" w:sz="8" w:space="0" w:color="000000"/>
            </w:tcBorders>
            <w:tcMar>
              <w:bottom w:w="28" w:type="dxa"/>
            </w:tcMar>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96" w:type="dxa"/>
            <w:vMerge w:val="continue"/>
            <w:tcBorders>
              <w:bottom w:val="single" w:sz="8" w:space="0" w:color="000000"/>
            </w:tcBorders>
            <w:tcMar>
              <w:bottom w:w="28" w:type="dxa"/>
            </w:tcMar>
            <w:vAlign w:val="bottom"/>
          </w:tcPr>
          <w:p>
            <w:pPr>
              <w:pStyle w:val="Normal"/>
              <w:bidi w:val="0"/>
              <w:jc w:val="left"/>
              <w:rPr/>
            </w:pPr>
            <w:r>
              <w:rPr/>
            </w:r>
          </w:p>
        </w:tc>
        <w:tc>
          <w:tcPr>
            <w:tcW w:w="2056" w:type="dxa"/>
            <w:gridSpan w:val="2"/>
            <w:vMerge w:val="continue"/>
            <w:tcBorders/>
            <w:vAlign w:val="bottom"/>
          </w:tcPr>
          <w:p>
            <w:pPr>
              <w:pStyle w:val="Normal"/>
              <w:bidi w:val="0"/>
              <w:jc w:val="left"/>
              <w:rPr/>
            </w:pPr>
            <w:r>
              <w:rPr/>
            </w:r>
          </w:p>
        </w:tc>
        <w:tc>
          <w:tcPr>
            <w:tcW w:w="205" w:type="dxa"/>
            <w:vMerge w:val="continue"/>
            <w:tcBorders/>
            <w:vAlign w:val="bottom"/>
          </w:tcPr>
          <w:p>
            <w:pPr>
              <w:pStyle w:val="Normal"/>
              <w:bidi w:val="0"/>
              <w:jc w:val="left"/>
              <w:rPr/>
            </w:pPr>
            <w:r>
              <w:rPr/>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tcPr>
          <w:p>
            <w:pPr>
              <w:pStyle w:val="TableContents"/>
              <w:bidi w:val="0"/>
              <w:spacing w:before="0" w:after="283"/>
              <w:jc w:val="left"/>
              <w:rPr>
                <w:b/>
              </w:rPr>
            </w:pPr>
            <w:r>
              <w:rPr>
                <w:b/>
              </w:rPr>
              <w:t>$</w:t>
            </w:r>
          </w:p>
        </w:tc>
        <w:tc>
          <w:tcPr>
            <w:tcW w:w="1375" w:type="dxa"/>
            <w:tcBorders/>
            <w:shd w:fill="CCEEFF" w:val="clear"/>
          </w:tcPr>
          <w:p>
            <w:pPr>
              <w:pStyle w:val="TableContents"/>
              <w:bidi w:val="0"/>
              <w:spacing w:before="0" w:after="283"/>
              <w:jc w:val="right"/>
              <w:rPr>
                <w:b/>
              </w:rPr>
            </w:pPr>
            <w:r>
              <w:rPr>
                <w:b/>
              </w:rPr>
              <w:t>400,000</w:t>
            </w:r>
          </w:p>
        </w:tc>
        <w:tc>
          <w:tcPr>
            <w:tcW w:w="167" w:type="dxa"/>
            <w:tcBorders/>
            <w:shd w:fill="CCEEFF" w:val="clea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2" w:type="dxa"/>
            <w:tcBorders/>
            <w:shd w:fill="CCEEFF" w:val="clear"/>
            <w:vAlign w:val="bottom"/>
          </w:tcPr>
          <w:p>
            <w:pPr>
              <w:pStyle w:val="TableContents"/>
              <w:bidi w:val="0"/>
              <w:spacing w:before="0" w:after="283"/>
              <w:jc w:val="right"/>
              <w:rPr/>
            </w:pPr>
            <w:r>
              <w:rPr/>
              <w:t>SOFR plus 3.50%-4.50%</w:t>
              <w:br/>
              <w:t>ABR plus 2.50%-3.50%</w:t>
            </w:r>
          </w:p>
        </w:tc>
        <w:tc>
          <w:tcPr>
            <w:tcW w:w="200" w:type="dxa"/>
            <w:tcBorders/>
            <w:shd w:fill="CCEEFF" w:val="clear"/>
            <w:vAlign w:val="bottom"/>
          </w:tcPr>
          <w:p>
            <w:pPr>
              <w:pStyle w:val="TableContents"/>
              <w:bidi w:val="0"/>
              <w:spacing w:before="0" w:after="283"/>
              <w:jc w:val="left"/>
              <w:rPr/>
            </w:pPr>
            <w:r>
              <w:rPr/>
              <w:t> </w:t>
            </w:r>
            <w:r>
              <w:rPr/>
              <w:br/>
              <w:t>1 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996" w:type="dxa"/>
            <w:tcBorders/>
            <w:shd w:fill="CCEEFF" w:val="clear"/>
          </w:tcPr>
          <w:p>
            <w:pPr>
              <w:pStyle w:val="TableContents"/>
              <w:bidi w:val="0"/>
              <w:spacing w:before="0" w:after="283"/>
              <w:jc w:val="right"/>
              <w:rPr/>
            </w:pPr>
            <w:r>
              <w:rPr/>
              <w:t>August 28, 2026</w:t>
            </w:r>
          </w:p>
        </w:tc>
        <w:tc>
          <w:tcPr>
            <w:tcW w:w="205" w:type="dxa"/>
            <w:tcBorders/>
            <w:shd w:fill="CCEEFF" w:val="clear"/>
          </w:tcPr>
          <w:p>
            <w:pPr>
              <w:pStyle w:val="TableContents"/>
              <w:bidi w:val="0"/>
              <w:spacing w:before="0" w:after="283"/>
              <w:jc w:val="left"/>
              <w:rPr/>
            </w:pPr>
            <w:r>
              <w:rPr/>
              <w:t>2 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b/>
              </w:rPr>
            </w:pPr>
            <w:r>
              <w:rPr>
                <w:b/>
              </w:rPr>
              <w:t>(23,780</w:t>
            </w:r>
          </w:p>
        </w:tc>
        <w:tc>
          <w:tcPr>
            <w:tcW w:w="167"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550,000</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2" w:type="dxa"/>
            <w:tcBorders/>
            <w:vAlign w:val="bottom"/>
          </w:tcPr>
          <w:p>
            <w:pPr>
              <w:pStyle w:val="TableContents"/>
              <w:bidi w:val="0"/>
              <w:spacing w:before="0" w:after="283"/>
              <w:jc w:val="right"/>
              <w:rPr/>
            </w:pPr>
            <w:r>
              <w:rPr/>
              <w:t>14.5%</w:t>
            </w:r>
          </w:p>
        </w:tc>
        <w:tc>
          <w:tcPr>
            <w:tcW w:w="20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tcBorders/>
            <w:vAlign w:val="bottom"/>
          </w:tcPr>
          <w:p>
            <w:pPr>
              <w:pStyle w:val="TableContents"/>
              <w:bidi w:val="0"/>
              <w:spacing w:before="0" w:after="283"/>
              <w:jc w:val="right"/>
              <w:rPr/>
            </w:pPr>
            <w:r>
              <w:rPr/>
              <w:t>February 28, 2029</w:t>
            </w:r>
          </w:p>
        </w:tc>
        <w:tc>
          <w:tcPr>
            <w:tcW w:w="205"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(14,800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911,419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(100,000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 term debt, net of current portion</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811,419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2.50% to 3.5% and (ii) in the case of the SOFR loans, 3.50% to 4.5%.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RBL Facility is subject to a prepayment of principal if there is a reduction in the borrowing base as a result of a scheduled redetermination or a termination or reduction of the original aggregate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Maturities of long term debt at the Successor year ended December 31, excluding debt issuance costs,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5"/>
        <w:gridCol w:w="380"/>
        <w:gridCol w:w="140"/>
        <w:gridCol w:w="817"/>
        <w:gridCol w:w="60"/>
        <w:gridCol w:w="380"/>
        <w:gridCol w:w="140"/>
        <w:gridCol w:w="817"/>
        <w:gridCol w:w="60"/>
        <w:gridCol w:w="380"/>
        <w:gridCol w:w="140"/>
        <w:gridCol w:w="817"/>
        <w:gridCol w:w="66"/>
      </w:tblGrid>
      <w:tr>
        <w:trPr/>
        <w:tc>
          <w:tcPr>
            <w:tcW w:w="43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bottom"/>
          </w:tcPr>
          <w:p>
            <w:pPr>
              <w:pStyle w:val="TableContents"/>
              <w:bidi w:val="0"/>
              <w:spacing w:before="0" w:after="283"/>
              <w:jc w:val="left"/>
              <w:rPr>
                <w:i/>
              </w:rPr>
            </w:pPr>
            <w:r>
              <w:rPr>
                <w:i/>
              </w:rPr>
              <w:t>(in thousands of dollars)</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RBL</w:t>
            </w:r>
            <w:r>
              <w:rPr/>
              <w:br/>
            </w:r>
            <w:r>
              <w:rPr>
                <w:b/>
              </w:rPr>
              <w:t>Facility</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Term</w:t>
            </w:r>
            <w:r>
              <w:rPr/>
              <w:br/>
            </w:r>
            <w:r>
              <w:rPr>
                <w:b/>
              </w:rPr>
              <w:t>Loan</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 term debt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950,000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Deferred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Aera LLC incurred legal and bank fees related to the issuance of debt. As of the Successor year ended December 31, 2023, debt issuance costs for the RBL facility in the amount of $23.8 million and the Term Loan in the amount of $14.7 million were reported in Long term debt on the Consolidated and Combined Balance Sheets, net of amortization. For the Successor year ended December 31, 2023, Aera LLC incurred approximately $31.2 million of legal and bank fees related to the issuance of the RBL Facility and $16.9 million related to the issuance of the Term Loan. </w:t>
      </w:r>
    </w:p>
    <w:p>
      <w:pPr>
        <w:pStyle w:val="TextBody"/>
        <w:bidi w:val="0"/>
        <w:spacing w:before="240" w:after="0"/>
        <w:jc w:val="left"/>
        <w:rPr>
          <w:rFonts w:ascii="Times New Roman" w:hAnsi="Times New Roman"/>
          <w:sz w:val="20"/>
        </w:rPr>
      </w:pPr>
      <w:r>
        <w:rPr>
          <w:rFonts w:ascii="Times New Roman" w:hAnsi="Times New Roman"/>
          <w:sz w:val="20"/>
        </w:rPr>
        <w:t xml:space="preserve">The debt issuance costs for the RBL Facility and Term Loan are amortized using straight-line method which approximates the effective rate method over the term of the loans. The amortization of debt issuance costs for the year ended December 31, 2023, was approximately $9.6 million and is presented in Interest expense on the Consolidated and Combined Statements of Operations and Other Comprehensive Income. </w:t>
      </w:r>
    </w:p>
    <w:p>
      <w:pPr>
        <w:pStyle w:val="TextBody"/>
        <w:bidi w:val="0"/>
        <w:spacing w:before="360" w:after="0"/>
        <w:jc w:val="left"/>
        <w:rPr>
          <w:rFonts w:ascii="Times New Roman" w:hAnsi="Times New Roman"/>
          <w:b/>
          <w:sz w:val="20"/>
        </w:rPr>
      </w:pPr>
      <w:r>
        <w:rPr>
          <w:rFonts w:ascii="Times New Roman" w:hAnsi="Times New Roman"/>
          <w:b/>
          <w:sz w:val="20"/>
        </w:rPr>
        <w:t xml:space="preserve">RBL Facility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the Successor year ended December 31, 2023, Aera LLC had approximately $275 million available for borrowing under the RBL Facility and no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all or a portion of the RBL Facility may be used for Aera LLCs working capital needs and for other purposes subject to meeting certain criteria. </w:t>
      </w:r>
    </w:p>
    <w:p>
      <w:pPr>
        <w:pStyle w:val="TextBody"/>
        <w:bidi w:val="0"/>
        <w:spacing w:before="240" w:after="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lenders have a first-priority lien on a substantial majority of the Aera Companies assets. </w:t>
      </w:r>
    </w:p>
    <w:p>
      <w:pPr>
        <w:pStyle w:val="TextBody"/>
        <w:bidi w:val="0"/>
        <w:spacing w:before="240" w:after="0"/>
        <w:jc w:val="left"/>
        <w:rPr>
          <w:rFonts w:ascii="Times New Roman" w:hAnsi="Times New Roman"/>
          <w:sz w:val="20"/>
        </w:rPr>
      </w:pPr>
      <w:r>
        <w:rPr>
          <w:rFonts w:ascii="Times New Roman" w:hAnsi="Times New Roman"/>
          <w:b/>
          <w:sz w:val="20"/>
        </w:rPr>
        <w:t>Interest Rate -</w:t>
      </w:r>
      <w:r>
        <w:rPr>
          <w:rFonts w:ascii="Times New Roman" w:hAnsi="Times New Roman"/>
          <w:sz w:val="20"/>
        </w:rPr>
        <w:t xml:space="preserve"> Aera LLC can elect to borrow at either an adjusted SOFR rate or an alternate base rate (ABR),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3.5% to 4.5% and (ii) in the case of ABR loans, 2.5% to 3.5%. The unused portion of the facility is subject to a commitment fee of 0.5% per annum based on the borrowing base utilization payable every three months. Interest on the ABR loans is payable quarterly in arrears. Interest on the SOFR loans is payable at the end of each SOFR period, but not less than quarterly. Aera LLC has the right to prepay any borrowings under the RBL Facility with prior notice at any time without a prepayment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 expense on the Consolidated and Combined Statement of Operations and Other Comprehensive Income is comprised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3"/>
        <w:gridCol w:w="458"/>
        <w:gridCol w:w="153"/>
        <w:gridCol w:w="946"/>
        <w:gridCol w:w="159"/>
      </w:tblGrid>
      <w:tr>
        <w:trPr/>
        <w:tc>
          <w:tcPr>
            <w:tcW w:w="5223"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i/>
              </w:rPr>
            </w:pPr>
            <w:r>
              <w:rPr>
                <w:i/>
              </w:rPr>
              <w:t>(in thousands of dollars)</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105,431</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Capitalized interest</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(6,650</w:t>
            </w:r>
          </w:p>
        </w:tc>
        <w:tc>
          <w:tcPr>
            <w:tcW w:w="159" w:type="dxa"/>
            <w:tcBorders/>
            <w:vAlign w:val="bottom"/>
          </w:tcPr>
          <w:p>
            <w:pPr>
              <w:pStyle w:val="TableContents"/>
              <w:bidi w:val="0"/>
              <w:spacing w:before="0" w:after="283"/>
              <w:jc w:val="left"/>
              <w:rPr>
                <w:b/>
              </w:rPr>
            </w:pPr>
            <w:r>
              <w:rPr>
                <w:b/>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b/>
              </w:rPr>
            </w:pPr>
            <w:r>
              <w:rPr>
                <w:b/>
              </w:rPr>
              <w:t>9,529</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Unused commitment fees</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1,383</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109,693</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Amortization Payments -</w:t>
      </w:r>
      <w:r>
        <w:rPr>
          <w:rFonts w:ascii="Times New Roman" w:hAnsi="Times New Roman"/>
          <w:sz w:val="20"/>
        </w:rPr>
        <w:t xml:space="preserve"> The RBL Facility does not include any obligation to make amortizing payments prior to the maturity date of August 28, 2026. The RBL Facility is subject to a prepayment of principal if there is a reduction in the borrowing base as a result of a scheduled redetermination or a termination or reduction of the original aggregate commitment. </w:t>
      </w:r>
    </w:p>
    <w:p>
      <w:pPr>
        <w:pStyle w:val="TextBody"/>
        <w:bidi w:val="0"/>
        <w:spacing w:before="240" w:after="0"/>
        <w:jc w:val="left"/>
        <w:rPr>
          <w:rFonts w:ascii="Times New Roman" w:hAnsi="Times New Roman"/>
          <w:sz w:val="20"/>
        </w:rPr>
      </w:pPr>
      <w:r>
        <w:rPr>
          <w:rFonts w:ascii="Times New Roman" w:hAnsi="Times New Roman"/>
          <w:b/>
          <w:sz w:val="20"/>
        </w:rPr>
        <w:t>Borrowing Base -</w:t>
      </w:r>
      <w:r>
        <w:rPr>
          <w:rFonts w:ascii="Times New Roman" w:hAnsi="Times New Roman"/>
          <w:sz w:val="20"/>
        </w:rPr>
        <w:t xml:space="preserve"> 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w:t>
      </w:r>
    </w:p>
    <w:p>
      <w:pPr>
        <w:pStyle w:val="TextBody"/>
        <w:bidi w:val="0"/>
        <w:spacing w:before="240" w:after="0"/>
        <w:jc w:val="left"/>
        <w:rPr>
          <w:rFonts w:ascii="Times New Roman" w:hAnsi="Times New Roman"/>
          <w:sz w:val="20"/>
        </w:rPr>
      </w:pPr>
      <w:r>
        <w:rPr>
          <w:rFonts w:ascii="Times New Roman" w:hAnsi="Times New Roman"/>
          <w:b/>
          <w:sz w:val="20"/>
        </w:rPr>
        <w:t>Financial Covenants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RBL Facility includes the following financial covenants: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72"/>
        <w:gridCol w:w="170"/>
        <w:gridCol w:w="3088"/>
        <w:gridCol w:w="170"/>
        <w:gridCol w:w="1887"/>
        <w:gridCol w:w="171"/>
        <w:gridCol w:w="1114"/>
      </w:tblGrid>
      <w:tr>
        <w:trPr/>
        <w:tc>
          <w:tcPr>
            <w:tcW w:w="197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Ratio</w:t>
            </w:r>
          </w:p>
        </w:tc>
        <w:tc>
          <w:tcPr>
            <w:tcW w:w="170" w:type="dxa"/>
            <w:tcBorders/>
            <w:vAlign w:val="bottom"/>
          </w:tcPr>
          <w:p>
            <w:pPr>
              <w:pStyle w:val="TableContents"/>
              <w:bidi w:val="0"/>
              <w:spacing w:before="0" w:after="283"/>
              <w:jc w:val="left"/>
              <w:rPr/>
            </w:pPr>
            <w:r>
              <w:rPr/>
              <w:t>  </w:t>
            </w:r>
          </w:p>
        </w:tc>
        <w:tc>
          <w:tcPr>
            <w:tcW w:w="30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Components</w:t>
            </w:r>
          </w:p>
        </w:tc>
        <w:tc>
          <w:tcPr>
            <w:tcW w:w="170" w:type="dxa"/>
            <w:tcBorders/>
            <w:vAlign w:val="bottom"/>
          </w:tcPr>
          <w:p>
            <w:pPr>
              <w:pStyle w:val="TableContents"/>
              <w:bidi w:val="0"/>
              <w:spacing w:before="0" w:after="283"/>
              <w:jc w:val="left"/>
              <w:rPr/>
            </w:pPr>
            <w:r>
              <w:rPr/>
              <w:t>  </w:t>
            </w:r>
          </w:p>
        </w:tc>
        <w:tc>
          <w:tcPr>
            <w:tcW w:w="18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 Levels</w:t>
            </w:r>
          </w:p>
        </w:tc>
        <w:tc>
          <w:tcPr>
            <w:tcW w:w="171" w:type="dxa"/>
            <w:tcBorders/>
            <w:vAlign w:val="bottom"/>
          </w:tcPr>
          <w:p>
            <w:pPr>
              <w:pStyle w:val="TableContents"/>
              <w:bidi w:val="0"/>
              <w:spacing w:before="0" w:after="283"/>
              <w:jc w:val="left"/>
              <w:rPr/>
            </w:pPr>
            <w:r>
              <w:rPr/>
              <w:t>  </w:t>
            </w:r>
          </w:p>
        </w:tc>
        <w:tc>
          <w:tcPr>
            <w:tcW w:w="11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Tested</w:t>
            </w:r>
          </w:p>
        </w:tc>
      </w:tr>
      <w:tr>
        <w:trPr/>
        <w:tc>
          <w:tcPr>
            <w:tcW w:w="1972" w:type="dxa"/>
            <w:tcBorders/>
          </w:tcPr>
          <w:p>
            <w:pPr>
              <w:pStyle w:val="TableContents"/>
              <w:bidi w:val="0"/>
              <w:spacing w:before="0" w:after="283"/>
              <w:jc w:val="left"/>
              <w:rPr/>
            </w:pPr>
            <w:r>
              <w:rPr/>
              <w:t>Net Leverage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Total Debt to EBITDAX1</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greater than 2.00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r>
        <w:trPr/>
        <w:tc>
          <w:tcPr>
            <w:tcW w:w="1972" w:type="dxa"/>
            <w:tcBorders/>
          </w:tcPr>
          <w:p>
            <w:pPr>
              <w:pStyle w:val="TableContents"/>
              <w:bidi w:val="0"/>
              <w:spacing w:before="0" w:after="283"/>
              <w:jc w:val="left"/>
              <w:rPr/>
            </w:pPr>
            <w:r>
              <w:rPr/>
              <w:t>Current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consolidated current assets to consolidated current liabilities2</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less than 1.00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EBITDAX is calculated as defined in the RBL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available credit under the RBL Facility is included in consolidated current assets as part of the calculation of the current ratio. </w:t>
            </w:r>
          </w:p>
        </w:tc>
      </w:tr>
    </w:tbl>
    <w:p>
      <w:pPr>
        <w:pStyle w:val="TextBody"/>
        <w:bidi w:val="0"/>
        <w:spacing w:before="240" w:after="0"/>
        <w:jc w:val="left"/>
        <w:rPr>
          <w:rFonts w:ascii="Times New Roman" w:hAnsi="Times New Roman"/>
          <w:sz w:val="20"/>
        </w:rPr>
      </w:pPr>
      <w:r>
        <w:rPr>
          <w:rFonts w:ascii="Times New Roman" w:hAnsi="Times New Roman"/>
          <w:b/>
          <w:sz w:val="20"/>
        </w:rPr>
        <w:t>Other Covenants -</w:t>
      </w:r>
      <w:r>
        <w:rPr>
          <w:rFonts w:ascii="Times New Roman" w:hAnsi="Times New Roman"/>
          <w:sz w:val="20"/>
        </w:rPr>
        <w:t xml:space="preserve"> Aera LLCs RBL Facility includes covenants that, among other things, restrict our ability to incur additional indebtedness, grant liens, make asset sales and investments, repay existing indebtedness, make subsidiary distributions, and enter into transactions that would result in fundamental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Aera LLCs RBL Facility, among other things, has a maturity date of August 28, 2026; permits us to make certain restricted payments (such as distributions) and certain investments; provides for the release of liens on certain assets securing the loans made under the RBL Facility; permits us to designate entities that hold certain of our assets as unrestricted subsidiaries subject to meeting certain conditions; sets the period for which we can enter into hedges on our production at 60 months and no more than 85% of proved reserves</w:t>
      </w:r>
      <w:r>
        <w:rPr>
          <w:rFonts w:ascii="Times New Roman" w:hAnsi="Times New Roman"/>
          <w:b/>
          <w:sz w:val="20"/>
        </w:rPr>
        <w:t>;</w:t>
      </w:r>
      <w:r>
        <w:rPr>
          <w:rFonts w:ascii="Times New Roman" w:hAnsi="Times New Roman"/>
          <w:sz w:val="20"/>
        </w:rPr>
        <w:t xml:space="preserve"> and provides for our capacity to issue letters of credit of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RBL required Aera LLC to enter into acceptable commodity hedges covering (i) at least 85% of projected production as forecasted on the initial reserve report calculated on a quarterly basis from oil and gas properties constituting proved developed producing reserves for the calendar period including the first through 24th month (ii) at least 75% for the 25th through 36th month (iii) at least 58% for the 37th through 48th month and (iv) at least 25% for the 49th through 60thmonth. Ongoing, Aera LLC is required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50% of our reasonably anticipated oil production from our proved developed producing reserves for each quarter during the period ending the earlier of (1) the maturity date of the RBL Facility and (2) 36 months after the delivery of the compliance certificate for the relevant test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restricted payment and investments covenants permit unlimited investments and/or restricted payments in amounts not to exceed 100% of distributable free cash flow so long as either (a) (i) no default, event of default or borrowing base deficiency shall have occurred and be continuing under the RBL Facility, (ii) the undrawn availability of the RBL Facility at such time is not less than 25% of the total commitment, (iii) the Net Leverage Ratio is less than or equal to 1.5:1.0 and (iv) distributable free cash flow is greater than or equal to zero on such date of determination; or without limit so long as (b) (i) no default, event of default or borrowing base deficiency shall have occurred and be continuing under the RBL Facility at the time of such investment or restricted payment, (ii) the undrawn availability under the RBL Facility at such time is not less than 25% of the total commitment and (iii) the net leverage ratio is less than or equal to 1.0:1.0. </w:t>
      </w:r>
    </w:p>
    <w:p>
      <w:pPr>
        <w:pStyle w:val="TextBody"/>
        <w:bidi w:val="0"/>
        <w:spacing w:before="240" w:after="0"/>
        <w:jc w:val="left"/>
        <w:rPr>
          <w:rFonts w:ascii="Times New Roman" w:hAnsi="Times New Roman"/>
          <w:sz w:val="20"/>
        </w:rPr>
      </w:pPr>
      <w:r>
        <w:rPr>
          <w:rFonts w:ascii="Times New Roman" w:hAnsi="Times New Roman"/>
          <w:sz w:val="20"/>
        </w:rPr>
        <w:t xml:space="preserve">If the outstanding principal balance of the revolving loans and aggregate face amount of all letters of credit under the RBL Facility exceeds the borrowing base at any time as a result of a redetermination of the borrowing base, we have the option within 30 days to take any of the following actions, either individually or in combination: make a lump sum payment curing the deficiency, deliver reserve engineering reports and mortgages covering additional oil and gas properties sufficient in certain lenders opinion to increase the borrowing base and cure the deficiency or making equal monthly principal payments that will cure the deficiency within the next six-month period. Otherwise, the unpaid principal will be due at maturity. </w:t>
      </w:r>
    </w:p>
    <w:p>
      <w:pPr>
        <w:pStyle w:val="TextBody"/>
        <w:bidi w:val="0"/>
        <w:spacing w:before="240" w:after="0"/>
        <w:jc w:val="left"/>
        <w:rPr>
          <w:rFonts w:ascii="Times New Roman" w:hAnsi="Times New Roman"/>
          <w:sz w:val="20"/>
        </w:rPr>
      </w:pPr>
      <w:r>
        <w:rPr>
          <w:rFonts w:ascii="Times New Roman" w:hAnsi="Times New Roman"/>
          <w:sz w:val="20"/>
        </w:rPr>
        <w:t xml:space="preserve">The RBL Facility requires Aera LLC to maintain on a consolidated basis as of each quarter-end (i) a net leverage ratio of not more than 2.0 to 1.0 and (ii) a current ratio of not less than 1.0 to 1.0. In addition, the RBL Facility currently provides that, to the extent we incur unsecured indebtedness, including any amounts raised in the future, the borrowing base will be reduced by an amount equal to 25% of the amount of such unsecured debt. We were in compliance with all financial covenants under the RBL Facility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and change of control  The RBL Facility provides for certain events of default, including upon a change of control, as defined in the RBL Facility, which entitles our lenders to declare the outstanding loans immediately due and payable, subject to certain limitations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borrowed $600 million under a six-year Term Loan agreement (Term Loan) secured by a second-priority lien on a substantial majority of the Aera Companies assets. The Term Loan matures in February 2029 and bears interest at a rate of 14.5%. </w:t>
      </w:r>
    </w:p>
    <w:p>
      <w:pPr>
        <w:pStyle w:val="TextBody"/>
        <w:bidi w:val="0"/>
        <w:spacing w:before="240" w:after="0"/>
        <w:jc w:val="left"/>
        <w:rPr>
          <w:rFonts w:ascii="Times New Roman" w:hAnsi="Times New Roman"/>
          <w:sz w:val="20"/>
        </w:rPr>
      </w:pPr>
      <w:r>
        <w:rPr>
          <w:rFonts w:ascii="Times New Roman" w:hAnsi="Times New Roman"/>
          <w:sz w:val="20"/>
        </w:rPr>
        <w:t xml:space="preserve">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Aera Companies were in compliance with the Term Loan covenants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Principal payments are due quarterly in the amount of $25 million, limited to the calculated free cash flow available for distribution per the financial covenant calculations. Any unpaid principal payments are due with the next quarterly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49" w:name="fin785486_21"/>
            <w:bookmarkEnd w:id="49"/>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Derivatives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2023 Aera LLC entered into the following derivative contracts: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6"/>
        <w:gridCol w:w="426"/>
        <w:gridCol w:w="60"/>
        <w:gridCol w:w="1166"/>
        <w:gridCol w:w="60"/>
        <w:gridCol w:w="426"/>
        <w:gridCol w:w="260"/>
        <w:gridCol w:w="977"/>
        <w:gridCol w:w="64"/>
      </w:tblGrid>
      <w:tr>
        <w:trPr/>
        <w:tc>
          <w:tcPr>
            <w:tcW w:w="4316"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426"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r>
          </w:p>
        </w:tc>
        <w:tc>
          <w:tcPr>
            <w:tcW w:w="64" w:type="dxa"/>
            <w:tcBorders/>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283"/>
              <w:jc w:val="left"/>
              <w:rPr>
                <w:b/>
              </w:rPr>
            </w:pPr>
            <w:r>
              <w:rPr>
                <w:b/>
              </w:rPr>
              <w:t>Gas</w:t>
            </w:r>
          </w:p>
        </w:tc>
        <w:tc>
          <w:tcPr>
            <w:tcW w:w="426"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MmBtu</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Q2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1,729,000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4.47</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Q3 2024</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1,748,000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2.99</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Q4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2,081,426</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5.03</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Q1 2025</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2,201,940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5.83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GGRP Companies will receive 21.2 million shares of CRCs common stock, equivalent to approximately 22.9% of CRCs fully diluted shares. The CRC Merger is expected to close in the second half of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50" w:name="fin785486_22"/>
      <w:bookmarkEnd w:id="50"/>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Results of operations for oil and gas producing activities are shown below. Total revenues and expenses exclude sales and costs for steam and electricity amounts recorded in the Consolidated and Combined Statements of Operations and Other Comprehensive Income. In addition, expenses per the accompanying schedule exclude research, administrative overhead, and interest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209"/>
        <w:gridCol w:w="169"/>
        <w:gridCol w:w="1206"/>
        <w:gridCol w:w="60"/>
        <w:gridCol w:w="136"/>
        <w:gridCol w:w="648"/>
        <w:gridCol w:w="648"/>
        <w:gridCol w:w="123"/>
        <w:gridCol w:w="159"/>
        <w:gridCol w:w="182"/>
        <w:gridCol w:w="1014"/>
        <w:gridCol w:w="155"/>
        <w:gridCol w:w="159"/>
        <w:gridCol w:w="140"/>
        <w:gridCol w:w="998"/>
        <w:gridCol w:w="59"/>
        <w:gridCol w:w="209"/>
        <w:gridCol w:w="140"/>
        <w:gridCol w:w="998"/>
        <w:gridCol w:w="69"/>
      </w:tblGrid>
      <w:tr>
        <w:trPr/>
        <w:tc>
          <w:tcPr>
            <w:tcW w:w="272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283"/>
              <w:jc w:val="left"/>
              <w:rPr>
                <w:i/>
              </w:rPr>
            </w:pPr>
            <w:r>
              <w:rPr>
                <w:i/>
              </w:rPr>
              <w:t>(in thousands of dollars)</w:t>
            </w:r>
          </w:p>
        </w:tc>
        <w:tc>
          <w:tcPr>
            <w:tcW w:w="209"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405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544"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Results of Operations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47,782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37,540</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2,755,581</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2,084,422</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346,839</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2,803,363</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2,121,962</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 costs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798,100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342,230</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1,132,253</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836,711</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expenses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315</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424</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amortization, retirements, impairments and accretion</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457,237</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89,824</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654,337</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841,663</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Results of Operations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507,111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(85,255</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1,016,457</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443,164</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51" w:name="fin785486_23"/>
      <w:bookmarkEnd w:id="51"/>
      <w:r>
        <w:rPr>
          <w:rFonts w:ascii="Times New Roman" w:hAnsi="Times New Roman"/>
          <w:b/>
          <w:sz w:val="20"/>
        </w:rPr>
        <w:t xml:space="preserve">Capitalized Costs </w:t>
      </w:r>
    </w:p>
    <w:p>
      <w:pPr>
        <w:pStyle w:val="TextBody"/>
        <w:bidi w:val="0"/>
        <w:spacing w:before="120" w:after="0"/>
        <w:jc w:val="left"/>
        <w:rPr>
          <w:rFonts w:ascii="Times New Roman" w:hAnsi="Times New Roman"/>
          <w:sz w:val="20"/>
        </w:rPr>
      </w:pPr>
      <w:r>
        <w:rPr>
          <w:rFonts w:ascii="Times New Roman" w:hAnsi="Times New Roman"/>
          <w:sz w:val="20"/>
        </w:rPr>
        <w:t xml:space="preserve">Capitalized costs related to oil and gas producing activities are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59"/>
        <w:gridCol w:w="349"/>
        <w:gridCol w:w="162"/>
        <w:gridCol w:w="1291"/>
        <w:gridCol w:w="60"/>
        <w:gridCol w:w="262"/>
        <w:gridCol w:w="682"/>
        <w:gridCol w:w="683"/>
        <w:gridCol w:w="131"/>
        <w:gridCol w:w="260"/>
        <w:gridCol w:w="157"/>
        <w:gridCol w:w="1208"/>
        <w:gridCol w:w="68"/>
      </w:tblGrid>
      <w:tr>
        <w:trPr/>
        <w:tc>
          <w:tcPr>
            <w:tcW w:w="325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283"/>
              <w:jc w:val="left"/>
              <w:rPr>
                <w:i/>
              </w:rPr>
            </w:pPr>
            <w:r>
              <w:rPr>
                <w:i/>
              </w:rPr>
              <w:t>(in thousands of dollars)</w:t>
            </w:r>
          </w:p>
        </w:tc>
        <w:tc>
          <w:tcPr>
            <w:tcW w:w="349"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283"/>
              <w:jc w:val="left"/>
              <w:rPr>
                <w:b/>
              </w:rPr>
            </w:pPr>
            <w:r>
              <w:rPr>
                <w:b/>
              </w:rPr>
              <w:t>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Proved properties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12,328,690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13,639,456</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Unproved properties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4,628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4,628</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Support equipment and facilities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180,009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204,508</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12,513,327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13,848,592</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depreciation, depletion, amortization retirements and impairments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9,648,112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9,439,063</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91" w:type="dxa"/>
            <w:tcBorders/>
            <w:shd w:fill="CCEEFF" w:val="clear"/>
            <w:vAlign w:val="bottom"/>
          </w:tcPr>
          <w:p>
            <w:pPr>
              <w:pStyle w:val="TableContents"/>
              <w:bidi w:val="0"/>
              <w:spacing w:before="0" w:after="283"/>
              <w:jc w:val="right"/>
              <w:rPr>
                <w:b/>
              </w:rPr>
            </w:pPr>
            <w:r>
              <w:rPr>
                <w:b/>
              </w:rPr>
              <w:t>2,865,215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4,409,529</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Costs Incurred </w:t>
      </w:r>
    </w:p>
    <w:p>
      <w:pPr>
        <w:pStyle w:val="TextBody"/>
        <w:bidi w:val="0"/>
        <w:spacing w:before="120" w:after="0"/>
        <w:jc w:val="left"/>
        <w:rPr>
          <w:rFonts w:ascii="Times New Roman" w:hAnsi="Times New Roman"/>
          <w:sz w:val="20"/>
        </w:rPr>
      </w:pPr>
      <w:r>
        <w:rPr>
          <w:rFonts w:ascii="Times New Roman" w:hAnsi="Times New Roman"/>
          <w:sz w:val="20"/>
        </w:rPr>
        <w:t xml:space="preserve">Costs incurred in oil and gas property acquisition, exploration and development are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3"/>
        <w:gridCol w:w="176"/>
        <w:gridCol w:w="211"/>
        <w:gridCol w:w="1184"/>
        <w:gridCol w:w="60"/>
        <w:gridCol w:w="92"/>
        <w:gridCol w:w="672"/>
        <w:gridCol w:w="673"/>
        <w:gridCol w:w="134"/>
        <w:gridCol w:w="176"/>
        <w:gridCol w:w="210"/>
        <w:gridCol w:w="991"/>
        <w:gridCol w:w="60"/>
        <w:gridCol w:w="176"/>
        <w:gridCol w:w="140"/>
        <w:gridCol w:w="800"/>
        <w:gridCol w:w="60"/>
        <w:gridCol w:w="176"/>
        <w:gridCol w:w="140"/>
        <w:gridCol w:w="700"/>
        <w:gridCol w:w="71"/>
      </w:tblGrid>
      <w:tr>
        <w:trPr/>
        <w:tc>
          <w:tcPr>
            <w:tcW w:w="330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303" w:type="dxa"/>
            <w:vMerge w:val="restart"/>
            <w:tcBorders/>
            <w:vAlign w:val="bottom"/>
          </w:tcPr>
          <w:p>
            <w:pPr>
              <w:pStyle w:val="TableContents"/>
              <w:bidi w:val="0"/>
              <w:spacing w:before="0" w:after="283"/>
              <w:jc w:val="left"/>
              <w:rPr>
                <w:i/>
              </w:rPr>
            </w:pPr>
            <w:r>
              <w:rPr>
                <w:i/>
              </w:rPr>
              <w:t>(in thousands of dollars)</w:t>
            </w:r>
          </w:p>
        </w:tc>
        <w:tc>
          <w:tcPr>
            <w:tcW w:w="176" w:type="dxa"/>
            <w:tcBorders/>
            <w:vAlign w:val="bottom"/>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45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303" w:type="dxa"/>
            <w:vMerge w:val="continue"/>
            <w:tcBorders/>
            <w:vAlign w:val="bottom"/>
          </w:tcPr>
          <w:p>
            <w:pPr>
              <w:pStyle w:val="Normal"/>
              <w:bidi w:val="0"/>
              <w:jc w:val="left"/>
              <w:rPr/>
            </w:pPr>
            <w:r>
              <w:rPr/>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Incurred in Property Acquisition, Exploration and Development Activities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of properties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184" w:type="dxa"/>
            <w:tcBorders/>
            <w:vAlign w:val="bottom"/>
          </w:tcPr>
          <w:p>
            <w:pPr>
              <w:pStyle w:val="TableContents"/>
              <w:bidi w:val="0"/>
              <w:spacing w:before="0" w:after="283"/>
              <w:jc w:val="right"/>
              <w:rPr>
                <w:b/>
              </w:rPr>
            </w:pPr>
            <w:r>
              <w:rPr>
                <w:b/>
              </w:rPr>
              <w:t>390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1,800</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176,732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35,290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240,708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90,201</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costs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424</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Costs Incurred</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184" w:type="dxa"/>
            <w:tcBorders/>
            <w:shd w:fill="CCEEFF" w:val="clear"/>
            <w:vAlign w:val="bottom"/>
          </w:tcPr>
          <w:p>
            <w:pPr>
              <w:pStyle w:val="TableContents"/>
              <w:bidi w:val="0"/>
              <w:spacing w:before="0" w:after="283"/>
              <w:jc w:val="right"/>
              <w:rPr>
                <w:b/>
              </w:rPr>
            </w:pPr>
            <w:r>
              <w:rPr>
                <w:b/>
              </w:rPr>
              <w:t>177,395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35,330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241,433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92,425</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52" w:name="fin785486_24"/>
      <w:bookmarkEnd w:id="52"/>
      <w:r>
        <w:rPr>
          <w:rFonts w:ascii="Times New Roman" w:hAnsi="Times New Roman"/>
          <w:b/>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Independent petroleum engineering firm Netherland, Sewell &amp; Associates, Inc. estimated an aggregate of 100% of our estimated proved reserves (by volume) as of the Successor year ended December 31, 2023. For the Predecessor combined year ended December 31, 2022, and December 31, 2021, reserves were prepared internally by technical staff who worked directly with the oil and gas properties using industry standard reserve estimation principles, definitions, and methodologies. All proved reserves are in California. </w:t>
      </w:r>
    </w:p>
    <w:p>
      <w:pPr>
        <w:pStyle w:val="TextBody"/>
        <w:bidi w:val="0"/>
        <w:spacing w:before="240" w:after="0"/>
        <w:jc w:val="left"/>
        <w:rPr>
          <w:rFonts w:ascii="Times New Roman" w:hAnsi="Times New Roman"/>
          <w:sz w:val="20"/>
        </w:rPr>
      </w:pPr>
      <w:r>
        <w:rPr>
          <w:rFonts w:ascii="Times New Roman" w:hAnsi="Times New Roman"/>
          <w:sz w:val="20"/>
        </w:rPr>
        <w:t xml:space="preserve">Revisions to reserves are based on engineering analysis of individual reservoirs at the field level. Proved reserves are those quantities of oil and gas volumes that, upon analysis of geological and engineering data appear with reasonable certainty to be economically producible in the future given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known oil and gas reservoirs under current prices and costs as of the date the estimate is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existing equipment and operating methods from existing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new wells on undrilled acreage where a relatively major capital expenditure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Proved reserves are calculated by using an unweighted arithmetic average of the first-day-of-the-month price for each month during the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proved reserves represent the estimated recoverable volumes excluding royalties and quantities due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w:t>
      </w:r>
      <w:r>
        <w:rPr>
          <w:rFonts w:ascii="Times New Roman" w:hAnsi="Times New Roman"/>
          <w:i/>
          <w:sz w:val="20"/>
        </w:rPr>
        <w:t>Accounting Standards Codification (ASC)</w:t>
      </w:r>
      <w:r>
        <w:rPr>
          <w:rFonts w:ascii="Times New Roman" w:hAnsi="Times New Roman"/>
          <w:sz w:val="20"/>
        </w:rPr>
        <w:t xml:space="preserve"> amended rules, the year-end reserves volumes for 2023, 2022, and 2021, as well as the reserves change categories for each year are shown in the following tables. </w:t>
      </w:r>
    </w:p>
    <w:p>
      <w:pPr>
        <w:pStyle w:val="TextBody"/>
        <w:bidi w:val="0"/>
        <w:spacing w:before="240" w:after="0"/>
        <w:jc w:val="left"/>
        <w:rPr>
          <w:rFonts w:ascii="Times New Roman" w:hAnsi="Times New Roman"/>
          <w:sz w:val="20"/>
        </w:rPr>
      </w:pPr>
      <w:r>
        <w:rPr>
          <w:rFonts w:ascii="Times New Roman" w:hAnsi="Times New Roman"/>
          <w:sz w:val="20"/>
        </w:rPr>
        <w:t xml:space="preserve">Oil and gas proved reserves cannot be measured exactly. Reserve estimates are based on many factors related to reservoir performance that require evaluation by engineers interpreting the available data as well as price and other economic factors such as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reliability of these estimates at any point in time depends on both the quality and quantity of the technical and economic data, the production performance of the reservoirs as well as extensive engineering judgment.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Consequently, reserve estimates are subject to revision as additional data becomes available during the producing life of a reservoir or as prices change significantly from one year to the next.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commercial reservoir is discovered, proved reserves are initially determined based on limited data from the first well or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data may better define the extent of the reservoir and additional production performance, well tests and engineering studies will likely improve the reliability of the reserve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of technology may also result in the application of improved recovery techniques such as supplemental or enhanced recovery projects, or both, that have the potential to increase reserves beyond those envisioned during the early years of a reservoirs producing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quantities of net proved oil, natural gas and natural gas liquids reserves and changes in net quantities of proved developed and undeveloped reserves were as follows for the years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oil equivalent)</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Reserves Summary</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260,622</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302,572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265,008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6,332</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(11,410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70,103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238,703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260,622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302,572</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(21,919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(41,950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37,564</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239,933</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248,757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216,130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12,928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21,716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65,166</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224,610</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239,933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248,757</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(15,324</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(8,823</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32,626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53,816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48,878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(6,595</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(33,127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4,938</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14,094</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53,816</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(6,595</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(33,127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4,938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crude oil and condensate)</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Oil Reserves</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247,657</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289,819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253,022</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5,121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(13,056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67,883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225,978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247,657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289,819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(21,679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(42,162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36,797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226,968</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237,080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206,383</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12,061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18,994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61,783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212,229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226,968</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237,080</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(14,739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(10,112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30,697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52,739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46,639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(6,940</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(32,050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6,100</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13,749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52,739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(6,940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(32,050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74"/>
        <w:gridCol w:w="195"/>
        <w:gridCol w:w="81"/>
        <w:gridCol w:w="1054"/>
        <w:gridCol w:w="155"/>
        <w:gridCol w:w="159"/>
        <w:gridCol w:w="60"/>
        <w:gridCol w:w="780"/>
        <w:gridCol w:w="155"/>
        <w:gridCol w:w="257"/>
        <w:gridCol w:w="60"/>
        <w:gridCol w:w="780"/>
        <w:gridCol w:w="162"/>
      </w:tblGrid>
      <w:tr>
        <w:trPr/>
        <w:tc>
          <w:tcPr>
            <w:tcW w:w="4674"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4" w:type="dxa"/>
            <w:tcBorders/>
            <w:vAlign w:val="bottom"/>
          </w:tcPr>
          <w:p>
            <w:pPr>
              <w:pStyle w:val="TableContents"/>
              <w:bidi w:val="0"/>
              <w:spacing w:before="0" w:after="283"/>
              <w:jc w:val="left"/>
              <w:rPr>
                <w:i/>
              </w:rPr>
            </w:pPr>
            <w:r>
              <w:rPr>
                <w:i/>
              </w:rPr>
              <w:t>(in millions of cubic feet of natural gas)</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209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Natural Gas Reserves</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60,543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52,647</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11,255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9,109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15,127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66,525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60,543</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4,055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1,927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7,896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54,514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40,108</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9,325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15,138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21,637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64,595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54,514</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2,125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7,956</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14,406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12,539</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(6,510</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1,930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(6,510</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18"/>
        <w:gridCol w:w="202"/>
        <w:gridCol w:w="97"/>
        <w:gridCol w:w="985"/>
        <w:gridCol w:w="166"/>
        <w:gridCol w:w="161"/>
        <w:gridCol w:w="60"/>
        <w:gridCol w:w="563"/>
        <w:gridCol w:w="166"/>
        <w:gridCol w:w="262"/>
        <w:gridCol w:w="60"/>
        <w:gridCol w:w="563"/>
        <w:gridCol w:w="169"/>
      </w:tblGrid>
      <w:tr>
        <w:trPr/>
        <w:tc>
          <w:tcPr>
            <w:tcW w:w="51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18" w:type="dxa"/>
            <w:vMerge w:val="restart"/>
            <w:tcBorders/>
          </w:tcPr>
          <w:p>
            <w:pPr>
              <w:pStyle w:val="TableContents"/>
              <w:bidi w:val="0"/>
              <w:spacing w:before="0" w:after="283"/>
              <w:jc w:val="left"/>
              <w:rPr>
                <w:i/>
              </w:rPr>
            </w:pPr>
            <w:r>
              <w:rPr>
                <w:i/>
              </w:rPr>
              <w:t>(in thousands of barrels of natural gas liquids)</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1674"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9" w:type="dxa"/>
            <w:tcBorders/>
            <w:vAlign w:val="bottom"/>
          </w:tcPr>
          <w:p>
            <w:pPr>
              <w:pStyle w:val="TableContents"/>
              <w:bidi w:val="0"/>
              <w:spacing w:before="0" w:after="283"/>
              <w:jc w:val="left"/>
              <w:rPr/>
            </w:pPr>
            <w:r>
              <w:rPr/>
              <w:t> </w:t>
            </w:r>
          </w:p>
        </w:tc>
      </w:tr>
      <w:tr>
        <w:trPr/>
        <w:tc>
          <w:tcPr>
            <w:tcW w:w="5118" w:type="dxa"/>
            <w:vMerge w:val="continue"/>
            <w:tcBorders/>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30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Natural Gas Liquids Reserves</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1,810</w:t>
            </w:r>
          </w:p>
        </w:tc>
        <w:tc>
          <w:tcPr>
            <w:tcW w:w="166" w:type="dxa"/>
            <w:tcBorders/>
            <w:shd w:fill="CCEEFF" w:val="clear"/>
            <w:vAlign w:val="bottom"/>
          </w:tcPr>
          <w:p>
            <w:pPr>
              <w:pStyle w:val="TableContents"/>
              <w:bidi w:val="0"/>
              <w:spacing w:before="0" w:after="283"/>
              <w:jc w:val="left"/>
              <w:rPr/>
            </w:pPr>
            <w:r>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(798</w:t>
            </w:r>
          </w:p>
        </w:tc>
        <w:tc>
          <w:tcPr>
            <w:tcW w:w="166" w:type="dxa"/>
            <w:tcBorders/>
            <w:vAlign w:val="bottom"/>
          </w:tcPr>
          <w:p>
            <w:pPr>
              <w:pStyle w:val="TableContents"/>
              <w:bidi w:val="0"/>
              <w:spacing w:before="0" w:after="283"/>
              <w:jc w:val="left"/>
              <w:rPr>
                <w:b/>
              </w:rPr>
            </w:pPr>
            <w:r>
              <w:rPr>
                <w:b/>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(166</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846</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(964</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6"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9" w:type="dxa"/>
            <w:tcBorders/>
            <w:shd w:fill="CCEEFF" w:val="clear"/>
            <w:vAlign w:val="bottom"/>
          </w:tcPr>
          <w:p>
            <w:pPr>
              <w:pStyle w:val="TableContents"/>
              <w:bidi w:val="0"/>
              <w:spacing w:before="0" w:after="283"/>
              <w:jc w:val="left"/>
              <w:rPr>
                <w:b/>
              </w:rPr>
            </w:pPr>
            <w:r>
              <w:rPr>
                <w:b/>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PUDS are left for Natural Gas Liquids </w:t>
      </w:r>
    </w:p>
    <w:p>
      <w:pPr>
        <w:pStyle w:val="TextBody"/>
        <w:bidi w:val="0"/>
        <w:spacing w:before="360" w:after="0"/>
        <w:jc w:val="left"/>
        <w:rPr>
          <w:rFonts w:ascii="Times New Roman" w:hAnsi="Times New Roman"/>
          <w:b/>
          <w:sz w:val="20"/>
        </w:rPr>
      </w:pPr>
      <w:bookmarkStart w:id="53" w:name="fin785486_25"/>
      <w:bookmarkEnd w:id="53"/>
      <w:r>
        <w:rPr>
          <w:rFonts w:ascii="Times New Roman" w:hAnsi="Times New Roman"/>
          <w:b/>
          <w:sz w:val="20"/>
        </w:rPr>
        <w:t xml:space="preserve">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disclosures concerning the standardized measure of future cash flows from net proved oil and gas reserves are presented in accordance with the authoritative guidance regarding disclosures about oil and gas producing activities. As prescribed by this guidance, the first-day-of-the-month average prices, year-end costs, enacted tax rates and a ten percent (10%) annual discount factor were applied. Effects of income taxes on the future cash flows presented below are the responsibility of the Member Companies and, therefore, not included in this disclosure. Since prices and costs do not remain static and no price or cost changes have been considered, the results are not necessarily indicative of the fair market value of estimated net proved reserves, but they do provide a common benchmark as prescribed by the authoritative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disclosure, individual estimates of Aera LLCs production quantities, revenues and costs were developed for each field, net of royalties and quantities due others. Extensive judgments are involved in estimating the timing of production and the costs to be incurred throughout the remaining lives of these fields. Therefore, the results may not be comparable to estimates disclosed by other oil and gas producers.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standardized measure of discounted future cash flows relating to Aera LLCs estimated recoverable volumes excluding royalties and quantities due others. Since the estimates reflect net proved reserves only, they exclude revenues that could result from unproved reserves that could become productive in later years. </w:t>
      </w:r>
    </w:p>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Cash Flows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3"/>
        <w:gridCol w:w="246"/>
        <w:gridCol w:w="158"/>
        <w:gridCol w:w="891"/>
        <w:gridCol w:w="212"/>
        <w:gridCol w:w="263"/>
        <w:gridCol w:w="140"/>
        <w:gridCol w:w="771"/>
        <w:gridCol w:w="156"/>
        <w:gridCol w:w="358"/>
        <w:gridCol w:w="140"/>
        <w:gridCol w:w="771"/>
        <w:gridCol w:w="163"/>
      </w:tblGrid>
      <w:tr>
        <w:trPr/>
        <w:tc>
          <w:tcPr>
            <w:tcW w:w="43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i/>
              </w:rPr>
            </w:pPr>
            <w:r>
              <w:rPr>
                <w:i/>
              </w:rPr>
              <w:t>(in millions of dollars)</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38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18,327</w:t>
            </w:r>
          </w:p>
        </w:tc>
        <w:tc>
          <w:tcPr>
            <w:tcW w:w="212" w:type="dxa"/>
            <w:tcBorders/>
            <w:shd w:fill="CCEEFF" w:val="clear"/>
            <w:vAlign w:val="bottom"/>
          </w:tcPr>
          <w:p>
            <w:pPr>
              <w:pStyle w:val="TableContents"/>
              <w:bidi w:val="0"/>
              <w:spacing w:before="0" w:after="283"/>
              <w:jc w:val="left"/>
              <w:rPr/>
            </w:pPr>
            <w:r>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24,547</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18,870</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operating costs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(10,027</w:t>
            </w:r>
          </w:p>
        </w:tc>
        <w:tc>
          <w:tcPr>
            <w:tcW w:w="212" w:type="dxa"/>
            <w:tcBorders/>
            <w:vAlign w:val="bottom"/>
          </w:tcPr>
          <w:p>
            <w:pPr>
              <w:pStyle w:val="TableContents"/>
              <w:bidi w:val="0"/>
              <w:spacing w:before="0" w:after="283"/>
              <w:jc w:val="left"/>
              <w:rPr>
                <w:b/>
              </w:rPr>
            </w:pPr>
            <w:r>
              <w:rPr>
                <w:b/>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(13,326</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(10,396</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development costs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(3,000</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(3,180</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(4,372</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5,300</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8,041</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4,102</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(1,603</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(2,398</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(923</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3,697</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5,643</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3,179</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aggregate change in the standardized measure of discounted future cash flows was a decrease of $1,946 million in 2023, an increase of $2,464 million in 2022, and an increase of $3,217 million in 2021. The principal sources of change were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Standardized Measure of Discounted Future Cash Flows for the years ended December 31: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29"/>
        <w:gridCol w:w="277"/>
        <w:gridCol w:w="182"/>
        <w:gridCol w:w="839"/>
        <w:gridCol w:w="237"/>
        <w:gridCol w:w="299"/>
        <w:gridCol w:w="140"/>
        <w:gridCol w:w="639"/>
        <w:gridCol w:w="155"/>
        <w:gridCol w:w="405"/>
        <w:gridCol w:w="140"/>
        <w:gridCol w:w="586"/>
        <w:gridCol w:w="160"/>
      </w:tblGrid>
      <w:tr>
        <w:trPr/>
        <w:tc>
          <w:tcPr>
            <w:tcW w:w="5329"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29" w:type="dxa"/>
            <w:tcBorders/>
            <w:vAlign w:val="bottom"/>
          </w:tcPr>
          <w:p>
            <w:pPr>
              <w:pStyle w:val="TableContents"/>
              <w:bidi w:val="0"/>
              <w:spacing w:before="0" w:after="283"/>
              <w:jc w:val="left"/>
              <w:rPr>
                <w:i/>
              </w:rPr>
            </w:pPr>
            <w:r>
              <w:rPr>
                <w:i/>
              </w:rPr>
              <w:t>(in millions of dollars)</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329" w:type="dxa"/>
            <w:vMerge w:val="restart"/>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6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329" w:type="dxa"/>
            <w:vMerge w:val="continue"/>
            <w:tcBorders/>
            <w:vAlign w:val="bottom"/>
          </w:tcPr>
          <w:p>
            <w:pPr>
              <w:pStyle w:val="Normal"/>
              <w:bidi w:val="0"/>
              <w:jc w:val="left"/>
              <w:rPr/>
            </w:pPr>
            <w:r>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2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839" w:type="dxa"/>
            <w:tcBorders/>
            <w:shd w:fill="CCEEFF" w:val="clear"/>
            <w:vAlign w:val="bottom"/>
          </w:tcPr>
          <w:p>
            <w:pPr>
              <w:pStyle w:val="TableContents"/>
              <w:bidi w:val="0"/>
              <w:spacing w:before="0" w:after="283"/>
              <w:jc w:val="right"/>
              <w:rPr>
                <w:b/>
              </w:rPr>
            </w:pPr>
            <w:r>
              <w:rPr>
                <w:b/>
              </w:rPr>
              <w:t>5,643</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(38</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change in sales and transfer prices and in production (lifting) costs related to future production</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(1,325</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2,641</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2,416</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Changes in estimated future development costs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(35</w:t>
            </w:r>
          </w:p>
        </w:tc>
        <w:tc>
          <w:tcPr>
            <w:tcW w:w="237" w:type="dxa"/>
            <w:tcBorders/>
            <w:shd w:fill="CCEEFF" w:val="clear"/>
            <w:vAlign w:val="bottom"/>
          </w:tcPr>
          <w:p>
            <w:pPr>
              <w:pStyle w:val="TableContents"/>
              <w:bidi w:val="0"/>
              <w:spacing w:before="0" w:after="283"/>
              <w:jc w:val="left"/>
              <w:rPr>
                <w:b/>
              </w:rPr>
            </w:pPr>
            <w:r>
              <w:rPr>
                <w:b/>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(209</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and transfers of oil and gas produced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(1,453</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(1,068</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(515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due to revisions in quantity estimates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66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1,245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285</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295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516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839" w:type="dxa"/>
            <w:tcBorders/>
            <w:vAlign w:val="bottom"/>
          </w:tcPr>
          <w:p>
            <w:pPr>
              <w:pStyle w:val="TableContents"/>
              <w:bidi w:val="0"/>
              <w:spacing w:before="0" w:after="283"/>
              <w:jc w:val="right"/>
              <w:rPr>
                <w:b/>
              </w:rPr>
            </w:pPr>
            <w:r>
              <w:rPr>
                <w:b/>
              </w:rPr>
              <w:t>3,697</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3,179</w:t>
            </w:r>
          </w:p>
        </w:tc>
        <w:tc>
          <w:tcPr>
            <w:tcW w:w="160" w:type="dxa"/>
            <w:tcBorders/>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TextBody"/>
        <w:bidi w:val="0"/>
        <w:spacing w:before="0" w:after="0"/>
        <w:jc w:val="right"/>
        <w:rPr>
          <w:rFonts w:ascii="Times New Roman" w:hAnsi="Times New Roman"/>
          <w:b/>
          <w:sz w:val="20"/>
        </w:rPr>
      </w:pPr>
      <w:bookmarkStart w:id="54" w:name="d785486dex992.htm"/>
      <w:bookmarkStart w:id="55" w:name="ksd785486dex992"/>
      <w:bookmarkEnd w:id="54"/>
      <w:bookmarkEnd w:id="5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
        <w:gridCol w:w="214"/>
        <w:gridCol w:w="8668"/>
        <w:gridCol w:w="152"/>
        <w:gridCol w:w="63"/>
        <w:gridCol w:w="499"/>
        <w:gridCol w:w="64"/>
      </w:tblGrid>
      <w:tr>
        <w:trPr/>
        <w:tc>
          <w:tcPr>
            <w:tcW w:w="54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62" w:type="dxa"/>
            <w:gridSpan w:val="2"/>
            <w:tcBorders/>
            <w:vAlign w:val="bottom"/>
          </w:tcPr>
          <w:p>
            <w:pPr>
              <w:pStyle w:val="TableContents"/>
              <w:bidi w:val="0"/>
              <w:spacing w:before="0" w:after="283"/>
              <w:jc w:val="center"/>
              <w:rPr/>
            </w:pPr>
            <w:r>
              <w:rPr/>
              <w:t>Page(s)</w:t>
            </w:r>
          </w:p>
        </w:tc>
        <w:tc>
          <w:tcPr>
            <w:tcW w:w="64" w:type="dxa"/>
            <w:tcBorders/>
            <w:vAlign w:val="bottom"/>
          </w:tcPr>
          <w:p>
            <w:pPr>
              <w:pStyle w:val="TableContents"/>
              <w:bidi w:val="0"/>
              <w:spacing w:before="0" w:after="283"/>
              <w:jc w:val="left"/>
              <w:rPr/>
            </w:pPr>
            <w:r>
              <w:rPr/>
              <w:t> </w:t>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0"/>
              <w:jc w:val="left"/>
              <w:rPr/>
            </w:pPr>
            <w:hyperlink w:anchor="ex99_2785486_1">
              <w:r>
                <w:rPr>
                  <w:rStyle w:val="InternetLink"/>
                  <w:rFonts w:ascii="Times New Roman" w:hAnsi="Times New Roman"/>
                  <w:sz w:val="20"/>
                </w:rPr>
                <w:t>Financial Statements (Unaudited)</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283"/>
              <w:jc w:val="left"/>
              <w:rPr/>
            </w:pPr>
            <w:hyperlink w:anchor="ex99_2785486_2">
              <w:r>
                <w:rPr>
                  <w:rStyle w:val="InternetLink"/>
                </w:rPr>
                <w:t>Condensed Consolidated and Combined Statements of Operations and Other Comprehensive Income</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F-2</w:t>
            </w:r>
          </w:p>
        </w:tc>
        <w:tc>
          <w:tcPr>
            <w:tcW w:w="64" w:type="dxa"/>
            <w:tcBorders/>
            <w:vAlign w:val="bottom"/>
          </w:tcPr>
          <w:p>
            <w:pPr>
              <w:pStyle w:val="TableContents"/>
              <w:bidi w:val="0"/>
              <w:spacing w:before="0" w:after="283"/>
              <w:jc w:val="left"/>
              <w:rPr/>
            </w:pPr>
            <w:r>
              <w:rPr/>
              <w:t> </w:t>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283"/>
              <w:jc w:val="left"/>
              <w:rPr/>
            </w:pPr>
            <w:hyperlink w:anchor="ex99_2785486_3">
              <w:r>
                <w:rPr>
                  <w:rStyle w:val="InternetLink"/>
                </w:rPr>
                <w:t>Condensed Consolidated and Combined Balance Sheets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F-3</w:t>
            </w:r>
          </w:p>
        </w:tc>
        <w:tc>
          <w:tcPr>
            <w:tcW w:w="64" w:type="dxa"/>
            <w:tcBorders/>
            <w:vAlign w:val="bottom"/>
          </w:tcPr>
          <w:p>
            <w:pPr>
              <w:pStyle w:val="TableContents"/>
              <w:bidi w:val="0"/>
              <w:spacing w:before="0" w:after="283"/>
              <w:jc w:val="left"/>
              <w:rPr/>
            </w:pPr>
            <w:r>
              <w:rPr/>
              <w:t> </w:t>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283"/>
              <w:jc w:val="left"/>
              <w:rPr/>
            </w:pPr>
            <w:hyperlink w:anchor="ex99_2785486_4">
              <w:r>
                <w:rPr>
                  <w:rStyle w:val="InternetLink"/>
                </w:rPr>
                <w:t>Condensed Consolidated and Combined Statements of Members and Stockholders Equity</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F-4</w:t>
            </w:r>
          </w:p>
        </w:tc>
        <w:tc>
          <w:tcPr>
            <w:tcW w:w="64" w:type="dxa"/>
            <w:tcBorders/>
            <w:vAlign w:val="bottom"/>
          </w:tcPr>
          <w:p>
            <w:pPr>
              <w:pStyle w:val="TableContents"/>
              <w:bidi w:val="0"/>
              <w:spacing w:before="0" w:after="283"/>
              <w:jc w:val="left"/>
              <w:rPr/>
            </w:pPr>
            <w:r>
              <w:rPr/>
              <w:t> </w:t>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283"/>
              <w:jc w:val="left"/>
              <w:rPr/>
            </w:pPr>
            <w:hyperlink w:anchor="ex99_2785486_5">
              <w:r>
                <w:rPr>
                  <w:rStyle w:val="InternetLink"/>
                </w:rPr>
                <w:t>Condensed Consolidated and Combined Statements of Cash Flows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F-5</w:t>
            </w:r>
          </w:p>
        </w:tc>
        <w:tc>
          <w:tcPr>
            <w:tcW w:w="64" w:type="dxa"/>
            <w:tcBorders/>
            <w:vAlign w:val="bottom"/>
          </w:tcPr>
          <w:p>
            <w:pPr>
              <w:pStyle w:val="TableContents"/>
              <w:bidi w:val="0"/>
              <w:spacing w:before="0" w:after="283"/>
              <w:jc w:val="left"/>
              <w:rPr/>
            </w:pPr>
            <w:r>
              <w:rPr/>
              <w:t> </w:t>
            </w:r>
          </w:p>
        </w:tc>
      </w:tr>
      <w:tr>
        <w:trPr>
          <w:trHeight w:val="75" w:hRule="atLeast"/>
        </w:trPr>
        <w:tc>
          <w:tcPr>
            <w:tcW w:w="9427" w:type="dxa"/>
            <w:gridSpan w:val="3"/>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9427" w:type="dxa"/>
            <w:gridSpan w:val="3"/>
            <w:tcBorders/>
          </w:tcPr>
          <w:p>
            <w:pPr>
              <w:pStyle w:val="TableContents"/>
              <w:bidi w:val="0"/>
              <w:spacing w:before="0" w:after="283"/>
              <w:jc w:val="left"/>
              <w:rPr/>
            </w:pPr>
            <w:hyperlink w:anchor="ex99_2785486_6">
              <w:r>
                <w:rPr>
                  <w:rStyle w:val="InternetLink"/>
                </w:rPr>
                <w:t>Notes to the Condensed Consolidated and Combined Financial Statements (Unaudited)</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545" w:type="dxa"/>
            <w:tcBorders/>
            <w:vAlign w:val="center"/>
          </w:tcPr>
          <w:p>
            <w:pPr>
              <w:pStyle w:val="TableContents"/>
              <w:bidi w:val="0"/>
              <w:spacing w:before="0" w:after="283"/>
              <w:jc w:val="left"/>
              <w:rPr>
                <w:sz w:val="4"/>
                <w:szCs w:val="4"/>
              </w:rPr>
            </w:pPr>
            <w:r>
              <w:rPr>
                <w:sz w:val="4"/>
                <w:szCs w:val="4"/>
              </w:rPr>
            </w:r>
          </w:p>
        </w:tc>
        <w:tc>
          <w:tcPr>
            <w:tcW w:w="8882" w:type="dxa"/>
            <w:gridSpan w:val="2"/>
            <w:tcBorders/>
            <w:vAlign w:val="center"/>
          </w:tcPr>
          <w:p>
            <w:pPr>
              <w:pStyle w:val="TableContents"/>
              <w:bidi w:val="0"/>
              <w:spacing w:before="0" w:after="283"/>
              <w:jc w:val="left"/>
              <w:rPr>
                <w:sz w:val="4"/>
                <w:szCs w:val="4"/>
              </w:rPr>
            </w:pPr>
            <w:r>
              <w:rPr>
                <w:sz w:val="4"/>
                <w:szCs w:val="4"/>
              </w:rPr>
            </w:r>
          </w:p>
        </w:tc>
        <w:tc>
          <w:tcPr>
            <w:tcW w:w="778"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7">
              <w:r>
                <w:rPr>
                  <w:rStyle w:val="InternetLink"/>
                </w:rPr>
                <w:t>Nature of Operations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F-7</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8">
              <w:r>
                <w:rPr>
                  <w:rStyle w:val="InternetLink"/>
                </w:rPr>
                <w:t>Summary of Significant Accounting Policies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F-7</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9">
              <w:r>
                <w:rPr>
                  <w:rStyle w:val="InternetLink"/>
                </w:rPr>
                <w:t>Significant Transactions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F-8</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0">
              <w:r>
                <w:rPr>
                  <w:rStyle w:val="InternetLink"/>
                </w:rPr>
                <w:t>Revenue</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F-10</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1">
              <w:r>
                <w:rPr>
                  <w:rStyle w:val="InternetLink"/>
                </w:rPr>
                <w:t>Inventories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F-10</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2">
              <w:r>
                <w:rPr>
                  <w:rStyle w:val="InternetLink"/>
                </w:rPr>
                <w:t>Property, Plant, and Equipment</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F-10</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3">
              <w:r>
                <w:rPr>
                  <w:rStyle w:val="InternetLink"/>
                </w:rPr>
                <w:t>Transactions with Related Parties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F-11</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4">
              <w:r>
                <w:rPr>
                  <w:rStyle w:val="InternetLink"/>
                </w:rPr>
                <w:t>Benefit Plans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F-11</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5">
              <w:r>
                <w:rPr>
                  <w:rStyle w:val="InternetLink"/>
                </w:rPr>
                <w:t>Litigation and Other Contingencies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F-12</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6">
              <w:r>
                <w:rPr>
                  <w:rStyle w:val="InternetLink"/>
                </w:rPr>
                <w:t>Fair Value of Financial Instruments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F-12</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7">
              <w:r>
                <w:rPr>
                  <w:rStyle w:val="InternetLink"/>
                </w:rPr>
                <w:t>Derivatives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F-13</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8">
              <w:r>
                <w:rPr>
                  <w:rStyle w:val="InternetLink"/>
                </w:rPr>
                <w:t>Taxes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F-15</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19">
              <w:r>
                <w:rPr>
                  <w:rStyle w:val="InternetLink"/>
                </w:rPr>
                <w:t>Debt</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F-15</w:t>
            </w:r>
          </w:p>
        </w:tc>
        <w:tc>
          <w:tcPr>
            <w:tcW w:w="64"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214" w:type="dxa"/>
            <w:tcBorders/>
            <w:vAlign w:val="bottom"/>
          </w:tcPr>
          <w:p>
            <w:pPr>
              <w:pStyle w:val="TableContents"/>
              <w:bidi w:val="0"/>
              <w:spacing w:before="0" w:after="283"/>
              <w:jc w:val="left"/>
              <w:rPr/>
            </w:pPr>
            <w:r>
              <w:rPr/>
              <w:t>  </w:t>
            </w:r>
          </w:p>
        </w:tc>
        <w:tc>
          <w:tcPr>
            <w:tcW w:w="8668" w:type="dxa"/>
            <w:tcBorders/>
            <w:vAlign w:val="bottom"/>
          </w:tcPr>
          <w:p>
            <w:pPr>
              <w:pStyle w:val="TableContents"/>
              <w:bidi w:val="0"/>
              <w:spacing w:before="0" w:after="283"/>
              <w:jc w:val="left"/>
              <w:rPr/>
            </w:pPr>
            <w:hyperlink w:anchor="ex99_2785486_20">
              <w:r>
                <w:rPr>
                  <w:rStyle w:val="InternetLink"/>
                </w:rPr>
                <w:t>Subsequent Events</w:t>
              </w:r>
            </w:hyperlink>
          </w:p>
        </w:tc>
        <w:tc>
          <w:tcPr>
            <w:tcW w:w="15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F-17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56" w:name="ex99_2785486_2"/>
      <w:bookmarkEnd w:id="56"/>
      <w:r>
        <w:rPr>
          <w:rFonts w:ascii="Times New Roman" w:hAnsi="Times New Roman"/>
          <w:b/>
          <w:sz w:val="20"/>
        </w:rPr>
        <w:t xml:space="preserve">Condensed Consolidated and Combined Statements of Operations and Other Comprehensive Income (Loss)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4"/>
        <w:gridCol w:w="252"/>
        <w:gridCol w:w="211"/>
        <w:gridCol w:w="1334"/>
        <w:gridCol w:w="155"/>
        <w:gridCol w:w="203"/>
        <w:gridCol w:w="228"/>
        <w:gridCol w:w="1320"/>
        <w:gridCol w:w="155"/>
        <w:gridCol w:w="203"/>
        <w:gridCol w:w="169"/>
        <w:gridCol w:w="1073"/>
        <w:gridCol w:w="158"/>
      </w:tblGrid>
      <w:tr>
        <w:trPr/>
        <w:tc>
          <w:tcPr>
            <w:tcW w:w="474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451"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8"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 2024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48"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 2023</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br/>
              <w:t>2023</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493,730</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171,598</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5,621</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341,218</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969</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acquisition/sale of assets, net</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(6,712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(4,803</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(Loss)/gain on commodity derivatives, net</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(337,535</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69,641</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149,729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236,721</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347,808</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3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112,246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37,855</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68,807</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46,608</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15,762</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30,474</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74,696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27,094</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76,656</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37,418</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12,232</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13,168</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45,412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25,220</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228,605</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13,925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2,139</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10,393</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23,742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8,346</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14,435</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6,011</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42,338</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8,208</w:t>
            </w:r>
          </w:p>
        </w:tc>
        <w:tc>
          <w:tcPr>
            <w:tcW w:w="158"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360,122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170,989</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450,789</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 Income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(210,393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65,732</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(102,980</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Income (Expenses)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2,506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1,349</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1,114</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(30,084</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(9,899</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equity investments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1,708</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908</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501</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income/(expenses)</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2,096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(144</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Income Before Income Taxes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(234,167</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58,018</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(101,509</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264</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(234,379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58,004</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(101,245</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gain/(loss) on investments</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386</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(193</w:t>
            </w:r>
          </w:p>
        </w:tc>
        <w:tc>
          <w:tcPr>
            <w:tcW w:w="158" w:type="dxa"/>
            <w:tcBorders/>
            <w:vAlign w:val="bottom"/>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tcPr>
          <w:p>
            <w:pPr>
              <w:pStyle w:val="TableContents"/>
              <w:bidi w:val="0"/>
              <w:spacing w:before="0" w:after="0"/>
              <w:jc w:val="left"/>
              <w:rPr>
                <w:rFonts w:ascii="Times New Roman" w:hAnsi="Times New Roman"/>
                <w:sz w:val="20"/>
              </w:rPr>
            </w:pPr>
            <w:r>
              <w:rPr>
                <w:rFonts w:ascii="Times New Roman" w:hAnsi="Times New Roman"/>
                <w:sz w:val="20"/>
              </w:rPr>
              <w:t>Net actuarial gain arising during the period</w:t>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(400</w:t>
            </w:r>
          </w:p>
        </w:tc>
        <w:tc>
          <w:tcPr>
            <w:tcW w:w="155" w:type="dxa"/>
            <w:tcBorders/>
            <w:vAlign w:val="bottom"/>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361</w:t>
            </w:r>
          </w:p>
        </w:tc>
        <w:tc>
          <w:tcPr>
            <w:tcW w:w="158"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Income</w:t>
            </w:r>
          </w:p>
        </w:tc>
        <w:tc>
          <w:tcPr>
            <w:tcW w:w="25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(233,712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58,090</w:t>
            </w:r>
          </w:p>
        </w:tc>
        <w:tc>
          <w:tcPr>
            <w:tcW w:w="155" w:type="dxa"/>
            <w:tcBorders/>
            <w:shd w:fill="CCEEFF" w:val="clear"/>
            <w:vAlign w:val="bottom"/>
          </w:tcPr>
          <w:p>
            <w:pPr>
              <w:pStyle w:val="TableContents"/>
              <w:bidi w:val="0"/>
              <w:spacing w:before="0" w:after="283"/>
              <w:jc w:val="left"/>
              <w:rPr/>
            </w:pPr>
            <w:r>
              <w:rPr/>
              <w:t> </w:t>
            </w:r>
          </w:p>
        </w:tc>
        <w:tc>
          <w:tcPr>
            <w:tcW w:w="2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(100,880</w:t>
            </w:r>
          </w:p>
        </w:tc>
        <w:tc>
          <w:tcPr>
            <w:tcW w:w="158"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left w:val="single" w:sz="2" w:space="0" w:color="000000"/>
            </w:tcBorders>
            <w:tcMar>
              <w:left w:w="28" w:type="dxa"/>
            </w:tcMar>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All items of other comprehensive income/(loss) are displayed net of a tax (benefit)/expense of ($48) thousand, $117</w:t>
      </w:r>
      <w:r>
        <w:rPr>
          <w:rFonts w:ascii="Times New Roman" w:hAnsi="Times New Roman"/>
          <w:sz w:val="20"/>
        </w:rPr>
        <w:t> </w:t>
      </w:r>
      <w:r>
        <w:rPr>
          <w:rFonts w:ascii="Times New Roman" w:hAnsi="Times New Roman"/>
          <w:i/>
          <w:sz w:val="20"/>
        </w:rPr>
        <w:t>thousand, and ($218) thousand for the Successor three month periods ended March</w:t>
      </w:r>
      <w:r>
        <w:rPr>
          <w:rFonts w:ascii="Times New Roman" w:hAnsi="Times New Roman"/>
          <w:sz w:val="20"/>
        </w:rPr>
        <w:t> </w:t>
      </w:r>
      <w:r>
        <w:rPr>
          <w:rFonts w:ascii="Times New Roman" w:hAnsi="Times New Roman"/>
          <w:i/>
          <w:sz w:val="20"/>
        </w:rPr>
        <w:t>31, 2024 and 2023, and the Predecessor combined 58-day period ended February</w:t>
      </w:r>
      <w:r>
        <w:rPr>
          <w:rFonts w:ascii="Times New Roman" w:hAnsi="Times New Roman"/>
          <w:sz w:val="20"/>
        </w:rPr>
        <w:t> </w:t>
      </w:r>
      <w:r>
        <w:rPr>
          <w:rFonts w:ascii="Times New Roman" w:hAnsi="Times New Roman"/>
          <w:i/>
          <w:sz w:val="20"/>
        </w:rPr>
        <w:t>27, 2023,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57" w:name="ex99_2785486_3"/>
      <w:bookmarkEnd w:id="57"/>
      <w:r>
        <w:rPr>
          <w:rFonts w:ascii="Times New Roman" w:hAnsi="Times New Roman"/>
          <w:b/>
          <w:sz w:val="20"/>
        </w:rPr>
        <w:t xml:space="preserve">Condensed Consolidated and Combined 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0"/>
        <w:gridCol w:w="229"/>
        <w:gridCol w:w="140"/>
        <w:gridCol w:w="995"/>
        <w:gridCol w:w="60"/>
        <w:gridCol w:w="229"/>
        <w:gridCol w:w="169"/>
        <w:gridCol w:w="1200"/>
        <w:gridCol w:w="63"/>
      </w:tblGrid>
      <w:tr>
        <w:trPr/>
        <w:tc>
          <w:tcPr>
            <w:tcW w:w="712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793"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63"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2023</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89,065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29,376</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25,840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15,840</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184,680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174,532</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2,406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1,760</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Crude oil and condensate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389</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16,869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17,101</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2,541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4,542</w:t>
            </w:r>
          </w:p>
        </w:tc>
        <w:tc>
          <w:tcPr>
            <w:tcW w:w="63"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371,694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293,541</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35,409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34,865</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2,879,550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2,923,569</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14,288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14,687</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87,703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98,867</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3,388,644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3,365,528</w:t>
            </w:r>
          </w:p>
        </w:tc>
        <w:tc>
          <w:tcPr>
            <w:tcW w:w="63"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&amp; 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126,597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140,860</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14,157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14,589</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199,807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31,032</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125,706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161,304</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 term debt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100,000</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87,396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82,320</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653,663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530,106</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1,040,673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1,022,265</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Long term debt,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814,584</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811,419</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209,530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79,366</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49,422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56,888</w:t>
            </w:r>
          </w:p>
        </w:tc>
        <w:tc>
          <w:tcPr>
            <w:tcW w:w="63"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2,767,872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2,500,044</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Contingencies (Note 9)</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and 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609,046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854,425</w:t>
            </w:r>
          </w:p>
        </w:tc>
        <w:tc>
          <w:tcPr>
            <w:tcW w:w="63"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11,726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11,059</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Members &amp; Stockholders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620,772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865,484</w:t>
            </w:r>
          </w:p>
        </w:tc>
        <w:tc>
          <w:tcPr>
            <w:tcW w:w="63"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&amp; 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3,388,644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3,365,528</w:t>
            </w:r>
          </w:p>
        </w:tc>
        <w:tc>
          <w:tcPr>
            <w:tcW w:w="63"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58" w:name="ex99_2785486_4"/>
      <w:bookmarkEnd w:id="58"/>
      <w:r>
        <w:rPr>
          <w:rFonts w:ascii="Times New Roman" w:hAnsi="Times New Roman"/>
          <w:b/>
          <w:sz w:val="20"/>
        </w:rPr>
        <w:t xml:space="preserve">Condensed Consolidated and Combined Statements of Members and Stockholders Equity (Unaudited)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7"/>
        <w:gridCol w:w="202"/>
        <w:gridCol w:w="195"/>
        <w:gridCol w:w="455"/>
        <w:gridCol w:w="82"/>
        <w:gridCol w:w="243"/>
        <w:gridCol w:w="399"/>
        <w:gridCol w:w="408"/>
        <w:gridCol w:w="60"/>
        <w:gridCol w:w="202"/>
        <w:gridCol w:w="140"/>
        <w:gridCol w:w="1006"/>
        <w:gridCol w:w="155"/>
        <w:gridCol w:w="146"/>
        <w:gridCol w:w="235"/>
        <w:gridCol w:w="1307"/>
        <w:gridCol w:w="155"/>
        <w:gridCol w:w="146"/>
        <w:gridCol w:w="182"/>
        <w:gridCol w:w="1315"/>
        <w:gridCol w:w="165"/>
      </w:tblGrid>
      <w:tr>
        <w:trPr/>
        <w:tc>
          <w:tcPr>
            <w:tcW w:w="300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31" w:type="dxa"/>
            <w:gridSpan w:val="18"/>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5"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2" w:type="dxa"/>
            <w:gridSpan w:val="6"/>
            <w:tcBorders>
              <w:bottom w:val="single" w:sz="8" w:space="0" w:color="000000"/>
            </w:tcBorders>
            <w:tcMar>
              <w:bottom w:w="28" w:type="dxa"/>
            </w:tcMar>
            <w:vAlign w:val="bottom"/>
          </w:tcPr>
          <w:p>
            <w:pPr>
              <w:pStyle w:val="TableContents"/>
              <w:bidi w:val="0"/>
              <w:spacing w:before="0" w:after="283"/>
              <w:jc w:val="center"/>
              <w:rPr/>
            </w:pPr>
            <w:r>
              <w:rPr/>
              <w:t>Common Stock</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pPr>
            <w:r>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bottom"/>
          </w:tcPr>
          <w:p>
            <w:pPr>
              <w:pStyle w:val="TableContents"/>
              <w:bidi w:val="0"/>
              <w:spacing w:before="0" w:after="283"/>
              <w:jc w:val="center"/>
              <w:rPr/>
            </w:pPr>
            <w:r>
              <w:rPr/>
              <w:t>Total Members</w:t>
              <w:br/>
              <w:t>and</w:t>
              <w:br/>
              <w:t>Stockholders</w:t>
              <w:br/>
              <w:t>Equity</w:t>
            </w:r>
          </w:p>
        </w:tc>
        <w:tc>
          <w:tcPr>
            <w:tcW w:w="165"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pPr>
            <w:r>
              <w:rPr/>
              <w:t>Shares</w:t>
            </w:r>
          </w:p>
        </w:tc>
        <w:tc>
          <w:tcPr>
            <w:tcW w:w="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20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w:t>
            </w:r>
          </w:p>
        </w:tc>
        <w:tc>
          <w:tcPr>
            <w:tcW w:w="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40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3,714,630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(31,926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315" w:type="dxa"/>
            <w:tcBorders/>
            <w:shd w:fill="CCEEFF" w:val="clear"/>
            <w:vAlign w:val="bottom"/>
          </w:tcPr>
          <w:p>
            <w:pPr>
              <w:pStyle w:val="TableContents"/>
              <w:bidi w:val="0"/>
              <w:spacing w:before="0" w:after="283"/>
              <w:jc w:val="right"/>
              <w:rPr/>
            </w:pPr>
            <w:r>
              <w:rPr/>
              <w:t>3,682,706</w:t>
            </w:r>
          </w:p>
        </w:tc>
        <w:tc>
          <w:tcPr>
            <w:tcW w:w="165"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4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315" w:type="dxa"/>
            <w:tcBorders/>
            <w:vAlign w:val="bottom"/>
          </w:tcPr>
          <w:p>
            <w:pPr>
              <w:pStyle w:val="TableContents"/>
              <w:bidi w:val="0"/>
              <w:spacing w:before="0" w:after="283"/>
              <w:jc w:val="right"/>
              <w:rPr/>
            </w:pPr>
            <w:r>
              <w:rPr/>
              <w:t>(101,245</w:t>
            </w:r>
          </w:p>
        </w:tc>
        <w:tc>
          <w:tcPr>
            <w:tcW w:w="165"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0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pPr>
            <w:r>
              <w:rPr/>
              <w:t>365</w:t>
            </w:r>
          </w:p>
        </w:tc>
        <w:tc>
          <w:tcPr>
            <w:tcW w:w="165"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February 27, 2023</w:t>
            </w:r>
          </w:p>
        </w:tc>
        <w:tc>
          <w:tcPr>
            <w:tcW w:w="20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w:t>
            </w:r>
          </w:p>
        </w:tc>
        <w:tc>
          <w:tcPr>
            <w:tcW w:w="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w:t>
            </w:r>
          </w:p>
        </w:tc>
        <w:tc>
          <w:tcPr>
            <w:tcW w:w="40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3,613,385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(31,561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315" w:type="dxa"/>
            <w:tcBorders/>
            <w:vAlign w:val="bottom"/>
          </w:tcPr>
          <w:p>
            <w:pPr>
              <w:pStyle w:val="TableContents"/>
              <w:bidi w:val="0"/>
              <w:spacing w:before="0" w:after="283"/>
              <w:jc w:val="right"/>
              <w:rPr/>
            </w:pPr>
            <w:r>
              <w:rPr/>
              <w:t>3,581,826</w:t>
            </w:r>
          </w:p>
        </w:tc>
        <w:tc>
          <w:tcPr>
            <w:tcW w:w="165"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4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11"/>
        <w:gridCol w:w="278"/>
        <w:gridCol w:w="140"/>
        <w:gridCol w:w="896"/>
        <w:gridCol w:w="155"/>
        <w:gridCol w:w="243"/>
        <w:gridCol w:w="256"/>
        <w:gridCol w:w="1290"/>
        <w:gridCol w:w="60"/>
        <w:gridCol w:w="278"/>
        <w:gridCol w:w="208"/>
        <w:gridCol w:w="1298"/>
        <w:gridCol w:w="159"/>
      </w:tblGrid>
      <w:tr>
        <w:trPr/>
        <w:tc>
          <w:tcPr>
            <w:tcW w:w="3311"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1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4824" w:type="dxa"/>
            <w:gridSpan w:val="10"/>
            <w:tcBorders>
              <w:bottom w:val="single" w:sz="8" w:space="0" w:color="000000"/>
            </w:tcBorders>
            <w:tcMar>
              <w:bottom w:w="28" w:type="dxa"/>
            </w:tcMar>
            <w:vAlign w:val="bottom"/>
          </w:tcPr>
          <w:p>
            <w:pPr>
              <w:pStyle w:val="TableContents"/>
              <w:bidi w:val="0"/>
              <w:spacing w:before="0" w:after="283"/>
              <w:jc w:val="center"/>
              <w:rPr/>
            </w:pPr>
            <w:r>
              <w:rPr/>
              <w:t>Successor</w:t>
            </w:r>
          </w:p>
        </w:tc>
        <w:tc>
          <w:tcPr>
            <w:tcW w:w="159" w:type="dxa"/>
            <w:tcBorders/>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pPr>
            <w:r>
              <w:rPr/>
              <w:t>Accumulated</w:t>
              <w:br/>
              <w:t>Other</w:t>
              <w:br/>
              <w:t>Comprehensive</w:t>
              <w:br/>
              <w:t>Loss</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pPr>
            <w:r>
              <w:rPr/>
              <w:t>Total Members</w:t>
              <w:br/>
              <w:t>and</w:t>
              <w:br/>
              <w:t>Stockholders</w:t>
              <w:br/>
              <w:t>Equity</w:t>
            </w:r>
          </w:p>
        </w:tc>
        <w:tc>
          <w:tcPr>
            <w:tcW w:w="159" w:type="dxa"/>
            <w:tcBorders/>
            <w:vAlign w:val="bottom"/>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169,000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169,000</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1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58,004</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58,004</w:t>
            </w:r>
          </w:p>
        </w:tc>
        <w:tc>
          <w:tcPr>
            <w:tcW w:w="159" w:type="dxa"/>
            <w:tcBorders/>
            <w:vAlign w:val="bottom"/>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616,000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616,000</w:t>
            </w:r>
          </w:p>
        </w:tc>
        <w:tc>
          <w:tcPr>
            <w:tcW w:w="159" w:type="dxa"/>
            <w:tcBorders/>
            <w:vAlign w:val="bottom"/>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11"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March 31, 2023</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843,004</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843,090</w:t>
            </w:r>
          </w:p>
        </w:tc>
        <w:tc>
          <w:tcPr>
            <w:tcW w:w="159" w:type="dxa"/>
            <w:tcBorders/>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854,425</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11,059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865,484</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1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(234,379</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(234,379</w:t>
            </w:r>
          </w:p>
        </w:tc>
        <w:tc>
          <w:tcPr>
            <w:tcW w:w="159" w:type="dxa"/>
            <w:tcBorders/>
            <w:vAlign w:val="bottom"/>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(11,000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(11,000</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667</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667</w:t>
            </w:r>
          </w:p>
        </w:tc>
        <w:tc>
          <w:tcPr>
            <w:tcW w:w="159" w:type="dxa"/>
            <w:tcBorders/>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609,046</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11,726</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620,772</w:t>
            </w:r>
          </w:p>
        </w:tc>
        <w:tc>
          <w:tcPr>
            <w:tcW w:w="159"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59" w:name="ex99_2785486_5"/>
      <w:bookmarkEnd w:id="59"/>
      <w:r>
        <w:rPr>
          <w:rFonts w:ascii="Times New Roman" w:hAnsi="Times New Roman"/>
          <w:b/>
          <w:sz w:val="20"/>
        </w:rPr>
        <w:t xml:space="preserve">Condensed Consolidated and Combined Statements of Cash Flows (Unaudited)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3"/>
        <w:gridCol w:w="207"/>
        <w:gridCol w:w="186"/>
        <w:gridCol w:w="1206"/>
        <w:gridCol w:w="155"/>
        <w:gridCol w:w="160"/>
        <w:gridCol w:w="158"/>
        <w:gridCol w:w="1229"/>
        <w:gridCol w:w="155"/>
        <w:gridCol w:w="160"/>
        <w:gridCol w:w="169"/>
        <w:gridCol w:w="1068"/>
        <w:gridCol w:w="159"/>
      </w:tblGrid>
      <w:tr>
        <w:trPr/>
        <w:tc>
          <w:tcPr>
            <w:tcW w:w="5193"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9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094"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9" w:type="dxa"/>
            <w:tcBorders/>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2024</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br/>
              <w:t>2023</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Net (loss)/income</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(234,379</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58,004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(101,245</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74,696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27,094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76,656</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37,418</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12,232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13,168</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3,164</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963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Loss/(gain) on commodity derivatives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337,535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(69,641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assets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charges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2,081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446</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on derivative settlements, net</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(37,453</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678</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(13,934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(7,474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(13,598</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6,712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4,795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from equity income</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(545</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(908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(501</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working capital</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due from related parties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166,679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24,422</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(10,794</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(222,116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(14,882</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(663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(712</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(39,697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8,411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(81,254</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(432</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4,854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(5,048</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(5,756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(48,157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9,589</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items, net</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12,697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(6,075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65,025</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Provided/(Used) by Operating Activities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129,912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(69,232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(27,935</w:t>
            </w:r>
          </w:p>
        </w:tc>
        <w:tc>
          <w:tcPr>
            <w:tcW w:w="159" w:type="dxa"/>
            <w:tcBorders/>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(35,110</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(34,903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(38,620</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assets</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905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256</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Business Combination, net</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(1,126,611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(8,933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9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(34,376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(1,169,542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(38,364</w:t>
            </w:r>
          </w:p>
        </w:tc>
        <w:tc>
          <w:tcPr>
            <w:tcW w:w="159" w:type="dxa"/>
            <w:tcBorders/>
            <w:vAlign w:val="bottom"/>
          </w:tcPr>
          <w:p>
            <w:pPr>
              <w:pStyle w:val="TableContents"/>
              <w:bidi w:val="0"/>
              <w:spacing w:before="0" w:after="283"/>
              <w:jc w:val="left"/>
              <w:rPr/>
            </w:pPr>
            <w:r>
              <w:rPr/>
              <w:t>) </w:t>
            </w:r>
          </w:p>
        </w:tc>
      </w:tr>
      <w:tr>
        <w:trPr/>
        <w:tc>
          <w:tcPr>
            <w:tcW w:w="519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and Combined Statements of Cash Flows (Unaudited)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2"/>
        <w:gridCol w:w="265"/>
        <w:gridCol w:w="201"/>
        <w:gridCol w:w="1167"/>
        <w:gridCol w:w="155"/>
        <w:gridCol w:w="216"/>
        <w:gridCol w:w="169"/>
        <w:gridCol w:w="1193"/>
        <w:gridCol w:w="155"/>
        <w:gridCol w:w="216"/>
        <w:gridCol w:w="183"/>
        <w:gridCol w:w="1083"/>
        <w:gridCol w:w="160"/>
      </w:tblGrid>
      <w:tr>
        <w:trPr/>
        <w:tc>
          <w:tcPr>
            <w:tcW w:w="5042"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101"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br/>
              <w:t>2023</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Aera Member Companies:</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Regular Distribution</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(11,000</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from Aera Member Companies</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616,000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(47,336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  reduction</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(292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600,000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RBL Facility</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225,000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(14,555</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(Used)/Provided by Financing Activities</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(25,847</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1,393,664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Restricted Cash</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69,688</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154,890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(66,299</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Restricted Cash</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45,216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343,681</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114,904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154,890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277,382</w:t>
            </w:r>
          </w:p>
        </w:tc>
        <w:tc>
          <w:tcPr>
            <w:tcW w:w="160"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 net of amount capitalized, included in cash flows from operating activities</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26,312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8,708</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interest paid, included in cash flows from investing activities</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4,114</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6,890</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14,462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14,764</w:t>
            </w:r>
          </w:p>
        </w:tc>
        <w:tc>
          <w:tcPr>
            <w:tcW w:w="160"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26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1,572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(515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1,035</w:t>
            </w:r>
          </w:p>
        </w:tc>
        <w:tc>
          <w:tcPr>
            <w:tcW w:w="160"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finance lease liabilities</w:t>
            </w:r>
          </w:p>
        </w:tc>
        <w:tc>
          <w:tcPr>
            <w:tcW w:w="26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182</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60" w:name="ex99_2785486_6"/>
      <w:bookmarkEnd w:id="60"/>
      <w:r>
        <w:rPr>
          <w:rFonts w:ascii="Times New Roman" w:hAnsi="Times New Roman"/>
          <w:b/>
          <w:sz w:val="20"/>
        </w:rPr>
        <w:t xml:space="preserve">Notes to Condensed Consolidated and Combined Financial Statements (Unaudited)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61" w:name="ex99_2785486_7"/>
            <w:bookmarkEnd w:id="61"/>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2023, GGRH acquired (the Acquisition) Aera Energy LLC and Aera Energy Services Company (collectively, Aera Companies). After the Acquisition, Aera Companies sole member company is GGI. </w:t>
      </w:r>
    </w:p>
    <w:p>
      <w:pPr>
        <w:pStyle w:val="TextBody"/>
        <w:bidi w:val="0"/>
        <w:spacing w:before="240" w:after="0"/>
        <w:jc w:val="left"/>
        <w:rPr>
          <w:rFonts w:ascii="Times New Roman" w:hAnsi="Times New Roman"/>
          <w:sz w:val="20"/>
        </w:rPr>
      </w:pPr>
      <w:r>
        <w:rPr>
          <w:rFonts w:ascii="Times New Roman" w:hAnsi="Times New Roman"/>
          <w:sz w:val="20"/>
        </w:rPr>
        <w:t xml:space="preserve">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 </w:t>
      </w:r>
    </w:p>
    <w:p>
      <w:pPr>
        <w:pStyle w:val="TextBody"/>
        <w:bidi w:val="0"/>
        <w:spacing w:before="240" w:after="0"/>
        <w:jc w:val="left"/>
        <w:rPr>
          <w:rFonts w:ascii="Times New Roman" w:hAnsi="Times New Roman"/>
          <w:sz w:val="20"/>
        </w:rPr>
      </w:pPr>
      <w:r>
        <w:rPr>
          <w:rFonts w:ascii="Times New Roman" w:hAnsi="Times New Roman"/>
          <w:sz w:val="20"/>
        </w:rPr>
        <w:t xml:space="preserve">Aera Energy Services Company (Aera Services), a Delaware corporation, was formed in May 1997 for the purpose of providing the human resource needs of Aera LLC. Prior to the Acquisition, SOVI and MCEPAC equally owned the voting shares of Aera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change of control, as a result of the Acquisition, Aera Companies assets and liabilities were adjusted to fair value on the closing date of the Acquisition. These condensed consolidated and combined financial statements distinguish between the predecessor period (Predecessor) relating to the combined activity of the Aera Companies for the 58-day period prior to the Acquisition on February 28, 2023 and the successor period (Successor) relating to GGRH for periods subsequent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Successor financial information includes the activity and accounts of GGRP, together with its consolidated subsidiaries (collectively, GGRP Companies), for the three months ended March 31, 2024 and 2023, and for the year ended December 31, 2023, which includes the activity and accounts of Aera Companies, prospectively for the 307-day period following completion of the Acquisition, beginning on February 28, 2023. </w:t>
      </w:r>
    </w:p>
    <w:p>
      <w:pPr>
        <w:pStyle w:val="TextBody"/>
        <w:bidi w:val="0"/>
        <w:spacing w:before="240" w:after="0"/>
        <w:jc w:val="left"/>
        <w:rPr>
          <w:rFonts w:ascii="Times New Roman" w:hAnsi="Times New Roman"/>
          <w:sz w:val="20"/>
        </w:rPr>
      </w:pPr>
      <w:r>
        <w:rPr>
          <w:rFonts w:ascii="Times New Roman" w:hAnsi="Times New Roman"/>
          <w:sz w:val="20"/>
        </w:rPr>
        <w:t xml:space="preserve">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62" w:name="ex99_2785486_8"/>
            <w:bookmarkEnd w:id="62"/>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and combined financial statements and related notes have been prepared in accordance with accounting principles generally accepted in the United States of America (U.S. GAAP) and are presented in U.S. dollars unless otherwise indicated. The condensed consolidated and combined financial statements and related notes contain all adjustments (consisting of only normal recurring accruals) necessary to present fairly the GGRP Companies financial position as of March 31, 2024 and the results of its operations and cash flows for the three month periods ended March 31, 2024 and March 31, 2023. Interim period results are not necessarily indicative of the results to be expected for the full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preparation of condensed consolidated and combined financial statements under U.S. GAAP requires us to make assumptions and estimates concerning the future that affect the reported amounts of assets, liabilities, revenue and expenses. Estimates and assumptions are particularly important in accounting for items such as impairment of long-lived assets, financial instruments, asset retirement obligations, and post-retirement benefits. Estimates and assumptions used are based on factors such as historical experience, observance of trends in the industries in which we operate and information available from our customers and other outside sources.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and combined financial statements are unaudited and have been prepared on substantially the same basis as the GGRP Companies audited annual consolidated and combined financial statements and related notes for the year ended December 31, 2023. The condensed consolidated and combined balance sheet as of December 31, 2023 has been derived from those audited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and combined financial statements should be read in conjunction with the audited annual consolidated financial statements and related notes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used in preparing these condensed consolidated and combined financial statements are the same as those applied in the prior year. </w:t>
      </w:r>
    </w:p>
    <w:p>
      <w:pPr>
        <w:pStyle w:val="TextBody"/>
        <w:bidi w:val="0"/>
        <w:spacing w:before="240" w:after="0"/>
        <w:jc w:val="left"/>
        <w:rPr>
          <w:rFonts w:ascii="Times New Roman" w:hAnsi="Times New Roman"/>
          <w:sz w:val="20"/>
        </w:rPr>
      </w:pPr>
      <w:r>
        <w:rPr>
          <w:rFonts w:ascii="Times New Roman" w:hAnsi="Times New Roman"/>
          <w:b/>
          <w:sz w:val="20"/>
        </w:rPr>
        <w:t>Subsequent Events</w:t>
      </w:r>
      <w:r>
        <w:rPr>
          <w:rFonts w:ascii="Times New Roman" w:hAnsi="Times New Roman"/>
          <w:sz w:val="20"/>
        </w:rPr>
        <w:t xml:space="preserve"> - Subsequent events have been evaluated through May 15, 2024, which is the date these condensed consolidated and combined financial statements were available to be issued. The detailed disclosure is included in Note 14, Subsequent Events. </w:t>
      </w:r>
    </w:p>
    <w:p>
      <w:pPr>
        <w:pStyle w:val="TextBody"/>
        <w:bidi w:val="0"/>
        <w:spacing w:before="240" w:after="0"/>
        <w:jc w:val="left"/>
        <w:rPr>
          <w:rFonts w:ascii="Times New Roman" w:hAnsi="Times New Roman"/>
          <w:sz w:val="20"/>
        </w:rPr>
      </w:pPr>
      <w:r>
        <w:rPr>
          <w:rFonts w:ascii="Times New Roman" w:hAnsi="Times New Roman"/>
          <w:b/>
          <w:sz w:val="20"/>
        </w:rPr>
        <w:t>Restricted Cash</w:t>
      </w:r>
      <w:r>
        <w:rPr>
          <w:rFonts w:ascii="Times New Roman" w:hAnsi="Times New Roman"/>
          <w:sz w:val="20"/>
        </w:rPr>
        <w:t xml:space="preserve"> - As of March 31, 2024 (Successor) and December 31, 2023 (Successor), restricted cash included $15.8 million held in escrow in connection with abandonment and remediation obligations required under terms of the Newport Banning Ranch land sale. As of March 31, 2024 (Successor), there is additional restricted cash in the amount of $10.0 million for cash on deposit as collateral for secured letters of credit. </w:t>
      </w:r>
    </w:p>
    <w:p>
      <w:pPr>
        <w:pStyle w:val="TextBody"/>
        <w:bidi w:val="0"/>
        <w:spacing w:before="240" w:after="0"/>
        <w:jc w:val="left"/>
        <w:rPr>
          <w:rFonts w:ascii="Times New Roman" w:hAnsi="Times New Roman"/>
          <w:sz w:val="20"/>
        </w:rPr>
      </w:pPr>
      <w:r>
        <w:rPr>
          <w:rFonts w:ascii="Times New Roman" w:hAnsi="Times New Roman"/>
          <w:b/>
          <w:sz w:val="20"/>
        </w:rPr>
        <w:t>Accounts Receivable</w:t>
      </w:r>
      <w:r>
        <w:rPr>
          <w:rFonts w:ascii="Times New Roman" w:hAnsi="Times New Roman"/>
          <w:sz w:val="20"/>
        </w:rPr>
        <w:t xml:space="preserve"> - Accounts receivable are from both non-affiliates and affiliates for the Successor as of March 31, 2024 and December 31, 2023. As of March 31, 2024 (Successor) and December 31, 2023 (Successor), no allowance for expected credit losses were recorded. </w:t>
      </w:r>
    </w:p>
    <w:p>
      <w:pPr>
        <w:pStyle w:val="TextBody"/>
        <w:bidi w:val="0"/>
        <w:spacing w:before="240" w:after="0"/>
        <w:jc w:val="left"/>
        <w:rPr>
          <w:rFonts w:ascii="Times New Roman" w:hAnsi="Times New Roman"/>
          <w:sz w:val="20"/>
        </w:rPr>
      </w:pPr>
      <w:r>
        <w:rPr>
          <w:rFonts w:ascii="Times New Roman" w:hAnsi="Times New Roman"/>
          <w:b/>
          <w:sz w:val="20"/>
        </w:rPr>
        <w:t>Concentration of Customers</w:t>
      </w:r>
      <w:r>
        <w:rPr>
          <w:rFonts w:ascii="Times New Roman" w:hAnsi="Times New Roman"/>
          <w:sz w:val="20"/>
        </w:rPr>
        <w:t xml:space="preserve"> - For the Successor three month periods ended March 31, 2024 and 2023, two customers each accounted for at least 10%, and collectively 94.6% of our sales (before the effects of hedging). For the Predecessor 58-day period ended February 28, 2023, all sales were to related parties and our Prior Member Companies accounted for 100% of our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63" w:name="ex99_2785486_9"/>
            <w:bookmarkEnd w:id="63"/>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of Aera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consideration paid for the Aera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54"/>
        <w:gridCol w:w="336"/>
        <w:gridCol w:w="141"/>
        <w:gridCol w:w="1045"/>
        <w:gridCol w:w="63"/>
      </w:tblGrid>
      <w:tr>
        <w:trPr/>
        <w:tc>
          <w:tcPr>
            <w:tcW w:w="5354"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54" w:type="dxa"/>
            <w:tcBorders/>
            <w:vAlign w:val="bottom"/>
          </w:tcPr>
          <w:p>
            <w:pPr>
              <w:pStyle w:val="TableContents"/>
              <w:bidi w:val="0"/>
              <w:spacing w:before="0" w:after="283"/>
              <w:jc w:val="left"/>
              <w:rPr>
                <w:b/>
              </w:rPr>
            </w:pPr>
            <w:r>
              <w:rPr>
                <w:b/>
              </w:rPr>
              <w:t>Consideration</w:t>
            </w:r>
          </w:p>
        </w:tc>
        <w:tc>
          <w:tcPr>
            <w:tcW w:w="336"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354" w:type="dxa"/>
            <w:tcBorders/>
            <w:vAlign w:val="bottom"/>
          </w:tcPr>
          <w:p>
            <w:pPr>
              <w:pStyle w:val="TableContents"/>
              <w:bidi w:val="0"/>
              <w:spacing w:before="0" w:after="283"/>
              <w:jc w:val="left"/>
              <w:rPr>
                <w:i/>
              </w:rPr>
            </w:pPr>
            <w:r>
              <w:rPr>
                <w:i/>
              </w:rPr>
              <w:t>(in thousands of dollars)</w:t>
            </w:r>
          </w:p>
        </w:tc>
        <w:tc>
          <w:tcPr>
            <w:tcW w:w="336"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5" w:type="dxa"/>
            <w:tcBorders/>
            <w:shd w:fill="CCEEFF" w:val="clear"/>
            <w:vAlign w:val="bottom"/>
          </w:tcPr>
          <w:p>
            <w:pPr>
              <w:pStyle w:val="TableContents"/>
              <w:bidi w:val="0"/>
              <w:spacing w:before="0" w:after="283"/>
              <w:jc w:val="right"/>
              <w:rPr/>
            </w:pPr>
            <w:r>
              <w:rPr/>
              <w:t>1,280,000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5341"/>
        <w:gridCol w:w="345"/>
        <w:gridCol w:w="141"/>
        <w:gridCol w:w="1048"/>
        <w:gridCol w:w="64"/>
      </w:tblGrid>
      <w:tr>
        <w:trPr/>
        <w:tc>
          <w:tcPr>
            <w:tcW w:w="5341"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Consideration</w:t>
            </w:r>
          </w:p>
        </w:tc>
        <w:tc>
          <w:tcPr>
            <w:tcW w:w="3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41" w:type="dxa"/>
            <w:tcBorders/>
          </w:tcPr>
          <w:p>
            <w:pPr>
              <w:pStyle w:val="TableContents"/>
              <w:bidi w:val="0"/>
              <w:spacing w:before="0" w:after="0"/>
              <w:jc w:val="left"/>
              <w:rPr>
                <w:rFonts w:ascii="Times New Roman" w:hAnsi="Times New Roman"/>
                <w:i/>
                <w:sz w:val="16"/>
              </w:rPr>
            </w:pPr>
            <w:r>
              <w:rPr>
                <w:rFonts w:ascii="Times New Roman" w:hAnsi="Times New Roman"/>
                <w:i/>
                <w:sz w:val="16"/>
              </w:rPr>
              <w:t>(in thousands of dollars)</w:t>
            </w:r>
          </w:p>
        </w:tc>
        <w:tc>
          <w:tcPr>
            <w:tcW w:w="3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45,187</w:t>
            </w:r>
          </w:p>
        </w:tc>
        <w:tc>
          <w:tcPr>
            <w:tcW w:w="64"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Deferred Payments and Price Adjustments not paid at close</w:t>
            </w:r>
          </w:p>
        </w:tc>
        <w:tc>
          <w:tcPr>
            <w:tcW w:w="3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1,009,943</w:t>
            </w:r>
          </w:p>
        </w:tc>
        <w:tc>
          <w:tcPr>
            <w:tcW w:w="64"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total consideration transferred</w:t>
            </w:r>
          </w:p>
        </w:tc>
        <w:tc>
          <w:tcPr>
            <w:tcW w:w="3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2,335,130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 periods ended March 31, 2024 and 2023, GGRH paid $14.6 million and $8.9 million to settle contingent consideration as it came due under the terms of the membership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three month periods ended March 31, 2024 and 2023, the loss recognized for changes in the fair value of contingent consideration arrangement in the amount of $6.7 million and $4.8 million is included in Other Non-Operating Expense in the Condensed Consolidated and Combined Statement of Operations and Other Comprehensive Income (Loss). There was no change in the fair value recognized in the Predecessor combined 58-day period ended February 27, 2023.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the range of outcomes that GGRH could be required to make under the contingent consideration arrangement is between $14.5 million and $30.7 million. The assumptions used to develop the estimates have not changed. Contingent consideration is split between Accrued Liabilities and Other Long-term Liabilities in the Balance Sheet. See Note 10 for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total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There were no acquisition-related costs recognized for the Successor three month period ended March 31, 2024. Acquisition-related costs of $28.7 million were included in Other Operating Expenses in the Condensed Consolidated and Combined Statement of Operations and Other Comprehensive Income (Loss) for the Successor three month period ended March 31, 2023. There were no acquisition-related costs incurred in the Predecessor 58-day period ended February 27,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4"/>
        <w:gridCol w:w="392"/>
        <w:gridCol w:w="145"/>
        <w:gridCol w:w="1070"/>
        <w:gridCol w:w="158"/>
      </w:tblGrid>
      <w:tr>
        <w:trPr/>
        <w:tc>
          <w:tcPr>
            <w:tcW w:w="5174"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74"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Recognized amounts of identifiable assets acquired and liabilities assumed</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i/>
                <w:sz w:val="16"/>
              </w:rPr>
            </w:pPr>
            <w:r>
              <w:rPr>
                <w:rFonts w:ascii="Times New Roman" w:hAnsi="Times New Roman"/>
                <w:i/>
                <w:sz w:val="16"/>
              </w:rPr>
              <w:t>(in thousands of dollars)</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 Allocation:</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7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491,035</w:t>
            </w:r>
          </w:p>
        </w:tc>
        <w:tc>
          <w:tcPr>
            <w:tcW w:w="158" w:type="dxa"/>
            <w:tcBorders/>
            <w:vAlign w:val="bottom"/>
          </w:tcPr>
          <w:p>
            <w:pPr>
              <w:pStyle w:val="TableContents"/>
              <w:bidi w:val="0"/>
              <w:spacing w:before="0" w:after="283"/>
              <w:jc w:val="left"/>
              <w:rPr/>
            </w:pPr>
            <w:r>
              <w:rPr/>
              <w:t> </w:t>
            </w:r>
          </w:p>
        </w:tc>
      </w:tr>
      <w:tr>
        <w:trPr/>
        <w:tc>
          <w:tcPr>
            <w:tcW w:w="5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34,023</w:t>
            </w:r>
          </w:p>
        </w:tc>
        <w:tc>
          <w:tcPr>
            <w:tcW w:w="158" w:type="dxa"/>
            <w:tcBorders/>
            <w:shd w:fill="CCEEFF" w:val="clear"/>
            <w:vAlign w:val="bottom"/>
          </w:tcPr>
          <w:p>
            <w:pPr>
              <w:pStyle w:val="TableContents"/>
              <w:bidi w:val="0"/>
              <w:spacing w:before="0" w:after="283"/>
              <w:jc w:val="left"/>
              <w:rPr/>
            </w:pPr>
            <w:r>
              <w:rPr/>
              <w:t> </w:t>
            </w:r>
          </w:p>
        </w:tc>
      </w:tr>
      <w:tr>
        <w:trPr/>
        <w:tc>
          <w:tcPr>
            <w:tcW w:w="5174"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3,049,853</w:t>
            </w:r>
          </w:p>
        </w:tc>
        <w:tc>
          <w:tcPr>
            <w:tcW w:w="158" w:type="dxa"/>
            <w:tcBorders/>
            <w:vAlign w:val="bottom"/>
          </w:tcPr>
          <w:p>
            <w:pPr>
              <w:pStyle w:val="TableContents"/>
              <w:bidi w:val="0"/>
              <w:spacing w:before="0" w:after="283"/>
              <w:jc w:val="left"/>
              <w:rPr/>
            </w:pPr>
            <w:r>
              <w:rPr/>
              <w:t> </w:t>
            </w:r>
          </w:p>
        </w:tc>
      </w:tr>
      <w:tr>
        <w:trPr/>
        <w:tc>
          <w:tcPr>
            <w:tcW w:w="5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23,943</w:t>
            </w:r>
          </w:p>
        </w:tc>
        <w:tc>
          <w:tcPr>
            <w:tcW w:w="158" w:type="dxa"/>
            <w:tcBorders/>
            <w:shd w:fill="CCEEFF" w:val="clear"/>
            <w:vAlign w:val="bottom"/>
          </w:tcPr>
          <w:p>
            <w:pPr>
              <w:pStyle w:val="TableContents"/>
              <w:bidi w:val="0"/>
              <w:spacing w:before="0" w:after="283"/>
              <w:jc w:val="left"/>
              <w:rPr/>
            </w:pPr>
            <w:r>
              <w:rPr/>
              <w:t> </w:t>
            </w:r>
          </w:p>
        </w:tc>
      </w:tr>
      <w:tr>
        <w:trPr/>
        <w:tc>
          <w:tcPr>
            <w:tcW w:w="517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141,162</w:t>
            </w:r>
          </w:p>
        </w:tc>
        <w:tc>
          <w:tcPr>
            <w:tcW w:w="158" w:type="dxa"/>
            <w:tcBorders/>
            <w:vAlign w:val="bottom"/>
          </w:tcPr>
          <w:p>
            <w:pPr>
              <w:pStyle w:val="TableContents"/>
              <w:bidi w:val="0"/>
              <w:spacing w:before="0" w:after="283"/>
              <w:jc w:val="left"/>
              <w:rPr/>
            </w:pPr>
            <w:r>
              <w:rPr/>
              <w:t> </w:t>
            </w:r>
          </w:p>
        </w:tc>
      </w:tr>
      <w:tr>
        <w:trPr/>
        <w:tc>
          <w:tcPr>
            <w:tcW w:w="5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(186,972</w:t>
            </w:r>
          </w:p>
        </w:tc>
        <w:tc>
          <w:tcPr>
            <w:tcW w:w="158" w:type="dxa"/>
            <w:tcBorders/>
            <w:shd w:fill="CCEEFF" w:val="clear"/>
            <w:vAlign w:val="bottom"/>
          </w:tcPr>
          <w:p>
            <w:pPr>
              <w:pStyle w:val="TableContents"/>
              <w:bidi w:val="0"/>
              <w:spacing w:before="0" w:after="283"/>
              <w:jc w:val="left"/>
              <w:rPr/>
            </w:pPr>
            <w:r>
              <w:rPr/>
              <w:t>) </w:t>
            </w:r>
          </w:p>
        </w:tc>
      </w:tr>
      <w:tr>
        <w:trPr/>
        <w:tc>
          <w:tcPr>
            <w:tcW w:w="5174"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(1,083,279</w:t>
            </w:r>
          </w:p>
        </w:tc>
        <w:tc>
          <w:tcPr>
            <w:tcW w:w="158" w:type="dxa"/>
            <w:tcBorders/>
            <w:vAlign w:val="bottom"/>
          </w:tcPr>
          <w:p>
            <w:pPr>
              <w:pStyle w:val="TableContents"/>
              <w:bidi w:val="0"/>
              <w:spacing w:before="0" w:after="283"/>
              <w:jc w:val="left"/>
              <w:rPr/>
            </w:pPr>
            <w:r>
              <w:rPr/>
              <w:t>) </w:t>
            </w:r>
          </w:p>
        </w:tc>
      </w:tr>
      <w:tr>
        <w:trPr/>
        <w:tc>
          <w:tcPr>
            <w:tcW w:w="5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(128,287</w:t>
            </w:r>
          </w:p>
        </w:tc>
        <w:tc>
          <w:tcPr>
            <w:tcW w:w="158" w:type="dxa"/>
            <w:tcBorders/>
            <w:shd w:fill="CCEEFF" w:val="clear"/>
            <w:vAlign w:val="bottom"/>
          </w:tcPr>
          <w:p>
            <w:pPr>
              <w:pStyle w:val="TableContents"/>
              <w:bidi w:val="0"/>
              <w:spacing w:before="0" w:after="283"/>
              <w:jc w:val="left"/>
              <w:rPr/>
            </w:pPr>
            <w:r>
              <w:rPr/>
              <w:t>) </w:t>
            </w:r>
          </w:p>
        </w:tc>
      </w:tr>
      <w:tr>
        <w:trPr/>
        <w:tc>
          <w:tcPr>
            <w:tcW w:w="517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(6,348</w:t>
            </w:r>
          </w:p>
        </w:tc>
        <w:tc>
          <w:tcPr>
            <w:tcW w:w="158" w:type="dxa"/>
            <w:tcBorders/>
            <w:vAlign w:val="bottom"/>
          </w:tcPr>
          <w:p>
            <w:pPr>
              <w:pStyle w:val="TableContents"/>
              <w:bidi w:val="0"/>
              <w:spacing w:before="0" w:after="283"/>
              <w:jc w:val="left"/>
              <w:rPr/>
            </w:pPr>
            <w:r>
              <w:rPr/>
              <w:t>) </w:t>
            </w:r>
          </w:p>
        </w:tc>
      </w:tr>
      <w:tr>
        <w:trPr/>
        <w:tc>
          <w:tcPr>
            <w:tcW w:w="5174"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39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2,335,130</w:t>
            </w:r>
          </w:p>
        </w:tc>
        <w:tc>
          <w:tcPr>
            <w:tcW w:w="158" w:type="dxa"/>
            <w:tcBorders/>
            <w:shd w:fill="CCEEFF" w:val="clear"/>
            <w:vAlign w:val="bottom"/>
          </w:tcPr>
          <w:p>
            <w:pPr>
              <w:pStyle w:val="TableContents"/>
              <w:bidi w:val="0"/>
              <w:spacing w:before="0" w:after="283"/>
              <w:jc w:val="left"/>
              <w:rPr/>
            </w:pPr>
            <w:r>
              <w:rPr/>
              <w:t> </w:t>
            </w:r>
          </w:p>
        </w:tc>
      </w:tr>
      <w:tr>
        <w:trPr/>
        <w:tc>
          <w:tcPr>
            <w:tcW w:w="5174"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bookmarkStart w:id="64" w:name="ex99_2785486_10"/>
            <w:bookmarkEnd w:id="64"/>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Disaggregated revenue for sales of crude oil, natural gas and natural gas liquids (NGLs) to customers includes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10"/>
        <w:gridCol w:w="180"/>
        <w:gridCol w:w="201"/>
        <w:gridCol w:w="1160"/>
        <w:gridCol w:w="60"/>
        <w:gridCol w:w="180"/>
        <w:gridCol w:w="201"/>
        <w:gridCol w:w="1160"/>
        <w:gridCol w:w="155"/>
        <w:gridCol w:w="169"/>
        <w:gridCol w:w="222"/>
        <w:gridCol w:w="1013"/>
        <w:gridCol w:w="161"/>
      </w:tblGrid>
      <w:tr>
        <w:trPr/>
        <w:tc>
          <w:tcPr>
            <w:tcW w:w="371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bottom"/>
          </w:tcPr>
          <w:p>
            <w:pPr>
              <w:pStyle w:val="TableContents"/>
              <w:bidi w:val="0"/>
              <w:spacing w:before="0" w:after="283"/>
              <w:jc w:val="left"/>
              <w:rPr>
                <w:b/>
              </w:rPr>
            </w:pPr>
            <w:r>
              <w:rPr>
                <w:b/>
              </w:rPr>
              <w:t>Oil, natural gas and NGL sales</w:t>
            </w:r>
          </w:p>
        </w:tc>
        <w:tc>
          <w:tcPr>
            <w:tcW w:w="180" w:type="dxa"/>
            <w:tcBorders/>
            <w:vAlign w:val="bottom"/>
          </w:tcPr>
          <w:p>
            <w:pPr>
              <w:pStyle w:val="TableContents"/>
              <w:bidi w:val="0"/>
              <w:spacing w:before="0" w:after="283"/>
              <w:jc w:val="left"/>
              <w:rPr/>
            </w:pPr>
            <w:r>
              <w:rPr/>
              <w:t>  </w:t>
            </w:r>
          </w:p>
        </w:tc>
        <w:tc>
          <w:tcPr>
            <w:tcW w:w="2962"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1" w:type="dxa"/>
            <w:tcBorders/>
            <w:vAlign w:val="bottom"/>
          </w:tcPr>
          <w:p>
            <w:pPr>
              <w:pStyle w:val="TableContents"/>
              <w:bidi w:val="0"/>
              <w:spacing w:before="0" w:after="283"/>
              <w:jc w:val="left"/>
              <w:rPr/>
            </w:pPr>
            <w:r>
              <w:rPr/>
              <w:t> </w:t>
            </w:r>
          </w:p>
        </w:tc>
      </w:tr>
      <w:tr>
        <w:trPr/>
        <w:tc>
          <w:tcPr>
            <w:tcW w:w="3710" w:type="dxa"/>
            <w:tcBorders/>
          </w:tcPr>
          <w:p>
            <w:pPr>
              <w:pStyle w:val="TableContents"/>
              <w:bidi w:val="0"/>
              <w:spacing w:before="0" w:after="283"/>
              <w:jc w:val="left"/>
              <w:rPr>
                <w:i/>
              </w:rPr>
            </w:pPr>
            <w:r>
              <w:rPr>
                <w:i/>
              </w:rPr>
              <w:t>(in thousands of dollars)</w:t>
            </w:r>
          </w:p>
        </w:tc>
        <w:tc>
          <w:tcPr>
            <w:tcW w:w="180"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2024</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br/>
              <w:t>2023</w:t>
            </w:r>
          </w:p>
        </w:tc>
        <w:tc>
          <w:tcPr>
            <w:tcW w:w="161"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492,414</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171,152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5,168</w:t>
            </w:r>
          </w:p>
        </w:tc>
        <w:tc>
          <w:tcPr>
            <w:tcW w:w="161"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510</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(195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(1,452</w:t>
            </w:r>
          </w:p>
        </w:tc>
        <w:tc>
          <w:tcPr>
            <w:tcW w:w="161"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806</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1,904</w:t>
            </w:r>
          </w:p>
        </w:tc>
        <w:tc>
          <w:tcPr>
            <w:tcW w:w="161"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Oil, natural gas and NGL sales</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493,730</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171,598</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5,621</w:t>
            </w:r>
          </w:p>
        </w:tc>
        <w:tc>
          <w:tcPr>
            <w:tcW w:w="161"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80"/>
        <w:gridCol w:w="362"/>
        <w:gridCol w:w="682"/>
        <w:gridCol w:w="683"/>
        <w:gridCol w:w="78"/>
        <w:gridCol w:w="394"/>
        <w:gridCol w:w="677"/>
        <w:gridCol w:w="689"/>
        <w:gridCol w:w="60"/>
        <w:gridCol w:w="362"/>
        <w:gridCol w:w="183"/>
        <w:gridCol w:w="1057"/>
        <w:gridCol w:w="65"/>
      </w:tblGrid>
      <w:tr>
        <w:trPr/>
        <w:tc>
          <w:tcPr>
            <w:tcW w:w="328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80" w:type="dxa"/>
            <w:tcBorders/>
            <w:vAlign w:val="bottom"/>
          </w:tcPr>
          <w:p>
            <w:pPr>
              <w:pStyle w:val="TableContents"/>
              <w:bidi w:val="0"/>
              <w:spacing w:before="0" w:after="283"/>
              <w:jc w:val="left"/>
              <w:rPr>
                <w:b/>
              </w:rPr>
            </w:pPr>
            <w:r>
              <w:rPr>
                <w:b/>
              </w:rPr>
              <w:t>Oil, natural gas and NGL sales to related parties</w:t>
            </w:r>
          </w:p>
        </w:tc>
        <w:tc>
          <w:tcPr>
            <w:tcW w:w="362" w:type="dxa"/>
            <w:tcBorders/>
            <w:vAlign w:val="bottom"/>
          </w:tcPr>
          <w:p>
            <w:pPr>
              <w:pStyle w:val="TableContents"/>
              <w:bidi w:val="0"/>
              <w:spacing w:before="0" w:after="283"/>
              <w:jc w:val="left"/>
              <w:rPr/>
            </w:pPr>
            <w:r>
              <w:rPr/>
              <w:t>  </w:t>
            </w:r>
          </w:p>
        </w:tc>
        <w:tc>
          <w:tcPr>
            <w:tcW w:w="3203"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5" w:type="dxa"/>
            <w:tcBorders/>
            <w:vAlign w:val="bottom"/>
          </w:tcPr>
          <w:p>
            <w:pPr>
              <w:pStyle w:val="TableContents"/>
              <w:bidi w:val="0"/>
              <w:spacing w:before="0" w:after="283"/>
              <w:jc w:val="left"/>
              <w:rPr/>
            </w:pPr>
            <w:r>
              <w:rPr/>
              <w:t> </w:t>
            </w:r>
          </w:p>
        </w:tc>
      </w:tr>
      <w:tr>
        <w:trPr/>
        <w:tc>
          <w:tcPr>
            <w:tcW w:w="3280" w:type="dxa"/>
            <w:tcBorders/>
          </w:tcPr>
          <w:p>
            <w:pPr>
              <w:pStyle w:val="TableContents"/>
              <w:bidi w:val="0"/>
              <w:spacing w:before="0" w:after="283"/>
              <w:jc w:val="left"/>
              <w:rPr>
                <w:i/>
              </w:rPr>
            </w:pPr>
            <w:r>
              <w:rPr>
                <w:i/>
              </w:rPr>
              <w:t>(in thousands of dollars)</w:t>
            </w:r>
          </w:p>
        </w:tc>
        <w:tc>
          <w:tcPr>
            <w:tcW w:w="3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2024</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br/>
              <w:t>2023</w:t>
            </w:r>
          </w:p>
        </w:tc>
        <w:tc>
          <w:tcPr>
            <w:tcW w:w="65" w:type="dxa"/>
            <w:tcBorders/>
            <w:vAlign w:val="bottom"/>
          </w:tcPr>
          <w:p>
            <w:pPr>
              <w:pStyle w:val="TableContents"/>
              <w:bidi w:val="0"/>
              <w:spacing w:before="0" w:after="283"/>
              <w:jc w:val="left"/>
              <w:rPr/>
            </w:pPr>
            <w:r>
              <w:rPr/>
              <w:t> </w:t>
            </w:r>
          </w:p>
        </w:tc>
      </w:tr>
      <w:tr>
        <w:trPr/>
        <w:tc>
          <w:tcPr>
            <w:tcW w:w="3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w:t>
            </w:r>
          </w:p>
        </w:tc>
        <w:tc>
          <w:tcPr>
            <w:tcW w:w="3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341,218</w:t>
            </w:r>
          </w:p>
        </w:tc>
        <w:tc>
          <w:tcPr>
            <w:tcW w:w="65" w:type="dxa"/>
            <w:tcBorders/>
            <w:shd w:fill="CCEEFF" w:val="clear"/>
            <w:vAlign w:val="bottom"/>
          </w:tcPr>
          <w:p>
            <w:pPr>
              <w:pStyle w:val="TableContents"/>
              <w:bidi w:val="0"/>
              <w:spacing w:before="0" w:after="283"/>
              <w:jc w:val="left"/>
              <w:rPr/>
            </w:pPr>
            <w:r>
              <w:rPr/>
              <w:t> </w:t>
            </w:r>
          </w:p>
        </w:tc>
      </w:tr>
      <w:tr>
        <w:trPr/>
        <w:tc>
          <w:tcPr>
            <w:tcW w:w="3280"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3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3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280"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80" w:type="dxa"/>
            <w:tcBorders/>
          </w:tcPr>
          <w:p>
            <w:pPr>
              <w:pStyle w:val="TableContents"/>
              <w:bidi w:val="0"/>
              <w:spacing w:before="0" w:after="0"/>
              <w:jc w:val="left"/>
              <w:rPr>
                <w:rFonts w:ascii="Times New Roman" w:hAnsi="Times New Roman"/>
                <w:sz w:val="20"/>
              </w:rPr>
            </w:pPr>
            <w:r>
              <w:rPr>
                <w:rFonts w:ascii="Times New Roman" w:hAnsi="Times New Roman"/>
                <w:sz w:val="20"/>
              </w:rPr>
              <w:t>Oil, natural gas and NGL sales to related parties</w:t>
            </w:r>
          </w:p>
        </w:tc>
        <w:tc>
          <w:tcPr>
            <w:tcW w:w="3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341,218</w:t>
            </w:r>
          </w:p>
        </w:tc>
        <w:tc>
          <w:tcPr>
            <w:tcW w:w="65" w:type="dxa"/>
            <w:tcBorders/>
            <w:vAlign w:val="bottom"/>
          </w:tcPr>
          <w:p>
            <w:pPr>
              <w:pStyle w:val="TableContents"/>
              <w:bidi w:val="0"/>
              <w:spacing w:before="0" w:after="283"/>
              <w:jc w:val="left"/>
              <w:rPr/>
            </w:pPr>
            <w:r>
              <w:rPr/>
              <w:t> </w:t>
            </w:r>
          </w:p>
        </w:tc>
      </w:tr>
      <w:tr>
        <w:trPr/>
        <w:tc>
          <w:tcPr>
            <w:tcW w:w="3280"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three month periods ended March 31, 2024 and 2023, and the Predecessor combined 58-day period ended February 27, 2023, Crude oil, natural gas and NGL sales primarily arise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combined 58-day period ended February 27, 2023, Crude oil, natural gas and NGL sales to related parties primarily arise from contracts with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65" w:name="ex99_2785486_11"/>
            <w:bookmarkEnd w:id="65"/>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Crude oil and condensate inventories are carried on a LIFO basis. Replacement cost exceeded LIFO by $1.3 million and $1.5 million as of March 31, 2024 (Successor) and December 31, 2023 (Successor).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66" w:name="ex99_2785486_12"/>
            <w:bookmarkEnd w:id="66"/>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and Asset Retirement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0"/>
        <w:gridCol w:w="151"/>
        <w:gridCol w:w="140"/>
        <w:gridCol w:w="1110"/>
        <w:gridCol w:w="60"/>
        <w:gridCol w:w="151"/>
        <w:gridCol w:w="140"/>
        <w:gridCol w:w="981"/>
        <w:gridCol w:w="60"/>
        <w:gridCol w:w="151"/>
        <w:gridCol w:w="140"/>
        <w:gridCol w:w="981"/>
        <w:gridCol w:w="60"/>
        <w:gridCol w:w="151"/>
        <w:gridCol w:w="140"/>
        <w:gridCol w:w="1110"/>
        <w:gridCol w:w="59"/>
        <w:gridCol w:w="151"/>
        <w:gridCol w:w="140"/>
        <w:gridCol w:w="981"/>
        <w:gridCol w:w="60"/>
        <w:gridCol w:w="151"/>
        <w:gridCol w:w="140"/>
        <w:gridCol w:w="981"/>
        <w:gridCol w:w="66"/>
      </w:tblGrid>
      <w:tr>
        <w:trPr/>
        <w:tc>
          <w:tcPr>
            <w:tcW w:w="195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5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038" w:type="dxa"/>
            <w:gridSpan w:val="22"/>
            <w:tcBorders>
              <w:bottom w:val="single" w:sz="8" w:space="0" w:color="000000"/>
            </w:tcBorders>
            <w:tcMar>
              <w:bottom w:w="28" w:type="dxa"/>
            </w:tcMar>
            <w:vAlign w:val="bottom"/>
          </w:tcPr>
          <w:p>
            <w:pPr>
              <w:pStyle w:val="TableContents"/>
              <w:bidi w:val="0"/>
              <w:spacing w:before="0" w:after="283"/>
              <w:jc w:val="center"/>
              <w:rPr/>
            </w:pPr>
            <w:r>
              <w:rPr/>
              <w:t>Successor</w:t>
            </w:r>
          </w:p>
        </w:tc>
        <w:tc>
          <w:tcPr>
            <w:tcW w:w="66" w:type="dxa"/>
            <w:tcBorders/>
            <w:vAlign w:val="bottom"/>
          </w:tcPr>
          <w:p>
            <w:pPr>
              <w:pStyle w:val="TableContents"/>
              <w:bidi w:val="0"/>
              <w:spacing w:before="0" w:after="283"/>
              <w:jc w:val="left"/>
              <w:rPr/>
            </w:pPr>
            <w:r>
              <w:rPr/>
              <w:t> </w:t>
            </w:r>
          </w:p>
        </w:tc>
      </w:tr>
      <w:tr>
        <w:trPr/>
        <w:tc>
          <w:tcPr>
            <w:tcW w:w="195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914" w:type="dxa"/>
            <w:gridSpan w:val="10"/>
            <w:tcBorders>
              <w:bottom w:val="single" w:sz="8" w:space="0" w:color="000000"/>
            </w:tcBorders>
            <w:tcMar>
              <w:bottom w:w="28" w:type="dxa"/>
            </w:tcMar>
            <w:vAlign w:val="bottom"/>
          </w:tcPr>
          <w:p>
            <w:pPr>
              <w:pStyle w:val="TableContents"/>
              <w:bidi w:val="0"/>
              <w:spacing w:before="0" w:after="283"/>
              <w:jc w:val="center"/>
              <w:rPr/>
            </w:pPr>
            <w:r>
              <w:rPr/>
              <w:t>March 31, 2024</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913" w:type="dxa"/>
            <w:gridSpan w:val="10"/>
            <w:tcBorders>
              <w:bottom w:val="single" w:sz="8" w:space="0" w:color="000000"/>
            </w:tcBorders>
            <w:tcMar>
              <w:bottom w:w="28" w:type="dxa"/>
            </w:tcMar>
            <w:vAlign w:val="bottom"/>
          </w:tcPr>
          <w:p>
            <w:pPr>
              <w:pStyle w:val="TableContents"/>
              <w:bidi w:val="0"/>
              <w:spacing w:before="0" w:after="283"/>
              <w:jc w:val="center"/>
              <w:rPr/>
            </w:pPr>
            <w:r>
              <w:rPr/>
              <w:t>December 31, 2023</w:t>
            </w:r>
          </w:p>
        </w:tc>
        <w:tc>
          <w:tcPr>
            <w:tcW w:w="66" w:type="dxa"/>
            <w:tcBorders/>
            <w:vAlign w:val="bottom"/>
          </w:tcPr>
          <w:p>
            <w:pPr>
              <w:pStyle w:val="TableContents"/>
              <w:bidi w:val="0"/>
              <w:spacing w:before="0" w:after="283"/>
              <w:jc w:val="left"/>
              <w:rPr/>
            </w:pPr>
            <w:r>
              <w:rPr/>
              <w:t> </w:t>
            </w:r>
          </w:p>
        </w:tc>
      </w:tr>
      <w:tr>
        <w:trPr/>
        <w:tc>
          <w:tcPr>
            <w:tcW w:w="195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Cost</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Reserve*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Cost</w:t>
            </w:r>
          </w:p>
        </w:tc>
        <w:tc>
          <w:tcPr>
            <w:tcW w:w="5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Reserve*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6" w:type="dxa"/>
            <w:tcBorders/>
            <w:vAlign w:val="bottom"/>
          </w:tcPr>
          <w:p>
            <w:pPr>
              <w:pStyle w:val="TableContents"/>
              <w:bidi w:val="0"/>
              <w:spacing w:before="0" w:after="283"/>
              <w:jc w:val="left"/>
              <w:rPr/>
            </w:pPr>
            <w:r>
              <w:rPr/>
              <w:t> </w:t>
            </w:r>
          </w:p>
        </w:tc>
      </w:tr>
      <w:tr>
        <w:trPr/>
        <w:tc>
          <w:tcPr>
            <w:tcW w:w="1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and production</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12,571,945</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9,714,158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2,857,787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12,549,918</w:t>
            </w:r>
          </w:p>
        </w:tc>
        <w:tc>
          <w:tcPr>
            <w:tcW w:w="5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9,648,112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2,901,806</w:t>
            </w:r>
          </w:p>
        </w:tc>
        <w:tc>
          <w:tcPr>
            <w:tcW w:w="66" w:type="dxa"/>
            <w:tcBorders/>
            <w:shd w:fill="CCEEFF" w:val="clear"/>
            <w:vAlign w:val="bottom"/>
          </w:tcPr>
          <w:p>
            <w:pPr>
              <w:pStyle w:val="TableContents"/>
              <w:bidi w:val="0"/>
              <w:spacing w:before="0" w:after="283"/>
              <w:jc w:val="left"/>
              <w:rPr/>
            </w:pPr>
            <w:r>
              <w:rPr/>
              <w:t> </w:t>
            </w:r>
          </w:p>
        </w:tc>
      </w:tr>
      <w:tr>
        <w:trPr/>
        <w:tc>
          <w:tcPr>
            <w:tcW w:w="1950" w:type="dxa"/>
            <w:tcBorders/>
          </w:tcPr>
          <w:p>
            <w:pPr>
              <w:pStyle w:val="TableContents"/>
              <w:bidi w:val="0"/>
              <w:spacing w:before="0" w:after="0"/>
              <w:jc w:val="left"/>
              <w:rPr>
                <w:rFonts w:ascii="Times New Roman" w:hAnsi="Times New Roman"/>
                <w:sz w:val="20"/>
              </w:rPr>
            </w:pPr>
            <w:r>
              <w:rPr>
                <w:rFonts w:ascii="Times New Roman" w:hAnsi="Times New Roman"/>
                <w:sz w:val="20"/>
              </w:rPr>
              <w:t>Land held for development</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21,552</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21,552</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21,552</w:t>
            </w:r>
          </w:p>
        </w:tc>
        <w:tc>
          <w:tcPr>
            <w:tcW w:w="5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21,552</w:t>
            </w:r>
          </w:p>
        </w:tc>
        <w:tc>
          <w:tcPr>
            <w:tcW w:w="66" w:type="dxa"/>
            <w:tcBorders/>
            <w:vAlign w:val="bottom"/>
          </w:tcPr>
          <w:p>
            <w:pPr>
              <w:pStyle w:val="TableContents"/>
              <w:bidi w:val="0"/>
              <w:spacing w:before="0" w:after="283"/>
              <w:jc w:val="left"/>
              <w:rPr/>
            </w:pPr>
            <w:r>
              <w:rPr/>
              <w:t> </w:t>
            </w:r>
          </w:p>
        </w:tc>
      </w:tr>
      <w:tr>
        <w:trPr/>
        <w:tc>
          <w:tcPr>
            <w:tcW w:w="1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1,634</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1,634</w:t>
            </w:r>
          </w:p>
        </w:tc>
        <w:tc>
          <w:tcPr>
            <w:tcW w:w="5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211</w:t>
            </w:r>
          </w:p>
        </w:tc>
        <w:tc>
          <w:tcPr>
            <w:tcW w:w="66" w:type="dxa"/>
            <w:tcBorders/>
            <w:shd w:fill="CCEEFF" w:val="clear"/>
            <w:vAlign w:val="bottom"/>
          </w:tcPr>
          <w:p>
            <w:pPr>
              <w:pStyle w:val="TableContents"/>
              <w:bidi w:val="0"/>
              <w:spacing w:before="0" w:after="283"/>
              <w:jc w:val="left"/>
              <w:rPr/>
            </w:pPr>
            <w:r>
              <w:rPr/>
              <w:t> </w:t>
            </w:r>
          </w:p>
        </w:tc>
      </w:tr>
      <w:tr>
        <w:trPr/>
        <w:tc>
          <w:tcPr>
            <w:tcW w:w="195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95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b/>
              </w:rPr>
            </w:pPr>
            <w:r>
              <w:rPr>
                <w:b/>
              </w:rPr>
              <w:t>$12,595,131</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b/>
              </w:rPr>
            </w:pPr>
            <w:r>
              <w:rPr>
                <w:b/>
              </w:rPr>
              <w:t>$9,715,581</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b/>
              </w:rPr>
            </w:pPr>
            <w:r>
              <w:rPr>
                <w:b/>
              </w:rPr>
              <w:t>$2,879,550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center"/>
              <w:rPr>
                <w:b/>
              </w:rPr>
            </w:pPr>
            <w:r>
              <w:rPr>
                <w:b/>
              </w:rPr>
              <w:t>$12,573,104</w:t>
            </w:r>
          </w:p>
        </w:tc>
        <w:tc>
          <w:tcPr>
            <w:tcW w:w="5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b/>
              </w:rPr>
            </w:pPr>
            <w:r>
              <w:rPr>
                <w:b/>
              </w:rPr>
              <w:t>$9,649,534</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b/>
              </w:rPr>
            </w:pPr>
            <w:r>
              <w:rPr>
                <w:b/>
              </w:rPr>
              <w:t>$2,923,569</w:t>
            </w:r>
          </w:p>
        </w:tc>
        <w:tc>
          <w:tcPr>
            <w:tcW w:w="66" w:type="dxa"/>
            <w:tcBorders/>
            <w:vAlign w:val="bottom"/>
          </w:tcPr>
          <w:p>
            <w:pPr>
              <w:pStyle w:val="TableContents"/>
              <w:bidi w:val="0"/>
              <w:spacing w:before="0" w:after="283"/>
              <w:jc w:val="left"/>
              <w:rPr/>
            </w:pPr>
            <w:r>
              <w:rPr/>
              <w:t> </w:t>
            </w:r>
          </w:p>
        </w:tc>
      </w:tr>
      <w:tr>
        <w:trPr/>
        <w:tc>
          <w:tcPr>
            <w:tcW w:w="195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Accumulated depreciation, depletion, amortization, retirements and impairments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three month periods ended March 31, 2024 and 2023, and the Predecessor combined 58-day period ended February 27, 2023, Aera LLC did not incur an impairment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below table summarizes the ARO activity for the Successor three month period ended March 31, 2024 and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35"/>
        <w:gridCol w:w="273"/>
        <w:gridCol w:w="148"/>
        <w:gridCol w:w="1041"/>
        <w:gridCol w:w="159"/>
        <w:gridCol w:w="226"/>
        <w:gridCol w:w="169"/>
        <w:gridCol w:w="1238"/>
        <w:gridCol w:w="166"/>
      </w:tblGrid>
      <w:tr>
        <w:trPr/>
        <w:tc>
          <w:tcPr>
            <w:tcW w:w="433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3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981" w:type="dxa"/>
            <w:gridSpan w:val="6"/>
            <w:tcBorders>
              <w:bottom w:val="single" w:sz="8" w:space="0" w:color="000000"/>
            </w:tcBorders>
            <w:tcMar>
              <w:bottom w:w="28" w:type="dxa"/>
            </w:tcMar>
            <w:vAlign w:val="bottom"/>
          </w:tcPr>
          <w:p>
            <w:pPr>
              <w:pStyle w:val="TableContents"/>
              <w:bidi w:val="0"/>
              <w:spacing w:before="0" w:after="283"/>
              <w:jc w:val="center"/>
              <w:rPr/>
            </w:pPr>
            <w:r>
              <w:rPr/>
              <w:t>Successor</w:t>
            </w:r>
          </w:p>
        </w:tc>
        <w:tc>
          <w:tcPr>
            <w:tcW w:w="166"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2024</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2023</w:t>
            </w:r>
          </w:p>
        </w:tc>
        <w:tc>
          <w:tcPr>
            <w:tcW w:w="166"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2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1,104,585</w:t>
            </w:r>
          </w:p>
        </w:tc>
        <w:tc>
          <w:tcPr>
            <w:tcW w:w="15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ARO acquired</w:t>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1,083,285</w:t>
            </w:r>
          </w:p>
        </w:tc>
        <w:tc>
          <w:tcPr>
            <w:tcW w:w="166"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37,418</w:t>
            </w:r>
          </w:p>
        </w:tc>
        <w:tc>
          <w:tcPr>
            <w:tcW w:w="15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122,321</w:t>
            </w:r>
          </w:p>
        </w:tc>
        <w:tc>
          <w:tcPr>
            <w:tcW w:w="166"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(13,934</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(64,431</w:t>
            </w:r>
          </w:p>
        </w:tc>
        <w:tc>
          <w:tcPr>
            <w:tcW w:w="166" w:type="dxa"/>
            <w:tcBorders/>
            <w:vAlign w:val="bottom"/>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2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238</w:t>
            </w:r>
          </w:p>
        </w:tc>
        <w:tc>
          <w:tcPr>
            <w:tcW w:w="166"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(36,828</w:t>
            </w:r>
          </w:p>
        </w:tc>
        <w:tc>
          <w:tcPr>
            <w:tcW w:w="166"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end of period</w:t>
            </w:r>
          </w:p>
        </w:tc>
        <w:tc>
          <w:tcPr>
            <w:tcW w:w="2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1,128,069</w:t>
            </w:r>
          </w:p>
        </w:tc>
        <w:tc>
          <w:tcPr>
            <w:tcW w:w="15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1,104,585</w:t>
            </w:r>
          </w:p>
        </w:tc>
        <w:tc>
          <w:tcPr>
            <w:tcW w:w="166" w:type="dxa"/>
            <w:tcBorders/>
            <w:shd w:fill="CCEEFF" w:val="clear"/>
            <w:vAlign w:val="bottom"/>
          </w:tcPr>
          <w:p>
            <w:pPr>
              <w:pStyle w:val="TableContents"/>
              <w:bidi w:val="0"/>
              <w:spacing w:before="0" w:after="283"/>
              <w:jc w:val="left"/>
              <w:rPr/>
            </w:pPr>
            <w:r>
              <w:rPr/>
              <w:t> </w:t>
            </w:r>
          </w:p>
        </w:tc>
      </w:tr>
      <w:tr>
        <w:trPr/>
        <w:tc>
          <w:tcPr>
            <w:tcW w:w="4335"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(87,396</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(82,320</w:t>
            </w:r>
          </w:p>
        </w:tc>
        <w:tc>
          <w:tcPr>
            <w:tcW w:w="166" w:type="dxa"/>
            <w:tcBorders/>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9" w:type="dxa"/>
            <w:tcBorders>
              <w:right w:val="single" w:sz="2" w:space="0" w:color="000000"/>
            </w:tcBorders>
            <w:tcMar>
              <w:right w:w="28" w:type="dxa"/>
            </w:tcMar>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2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1,040,673</w:t>
            </w:r>
          </w:p>
        </w:tc>
        <w:tc>
          <w:tcPr>
            <w:tcW w:w="15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1,022,265</w:t>
            </w:r>
          </w:p>
        </w:tc>
        <w:tc>
          <w:tcPr>
            <w:tcW w:w="166" w:type="dxa"/>
            <w:tcBorders/>
            <w:shd w:fill="CCEEFF" w:val="clear"/>
            <w:vAlign w:val="bottom"/>
          </w:tcPr>
          <w:p>
            <w:pPr>
              <w:pStyle w:val="TableContents"/>
              <w:bidi w:val="0"/>
              <w:spacing w:before="0" w:after="283"/>
              <w:jc w:val="left"/>
              <w:rPr/>
            </w:pPr>
            <w:r>
              <w:rPr/>
              <w:t> </w:t>
            </w:r>
          </w:p>
        </w:tc>
      </w:tr>
      <w:tr>
        <w:trPr/>
        <w:tc>
          <w:tcPr>
            <w:tcW w:w="433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67" w:name="ex99_2785486_13"/>
            <w:bookmarkEnd w:id="67"/>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Transactions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LLC sold 100% of its operated crude oil and condensate production for the Predecessor combined 58-day period ended February 27, 2023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Aera LLC realized approximately $341.0 million in gross crude and condensate sales to these related parties. After the sale, Aera continues to sell a portion of its operated crude oil and condensate to Shell Trading (US) Company as a non-related party and no longer sells its operated crude oil and condensate to ExxonMobil Oil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68" w:name="ex99_2785486_14"/>
            <w:bookmarkEnd w:id="68"/>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components of the net periodic benefit costs for Aera Services defined benefit pension plans and other post-retirement benefit plans: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44"/>
        <w:gridCol w:w="165"/>
        <w:gridCol w:w="636"/>
        <w:gridCol w:w="155"/>
        <w:gridCol w:w="85"/>
        <w:gridCol w:w="322"/>
        <w:gridCol w:w="1048"/>
        <w:gridCol w:w="155"/>
        <w:gridCol w:w="85"/>
        <w:gridCol w:w="165"/>
        <w:gridCol w:w="636"/>
        <w:gridCol w:w="154"/>
        <w:gridCol w:w="85"/>
        <w:gridCol w:w="322"/>
        <w:gridCol w:w="1048"/>
        <w:gridCol w:w="155"/>
        <w:gridCol w:w="85"/>
        <w:gridCol w:w="156"/>
        <w:gridCol w:w="645"/>
        <w:gridCol w:w="155"/>
        <w:gridCol w:w="85"/>
        <w:gridCol w:w="322"/>
        <w:gridCol w:w="1048"/>
        <w:gridCol w:w="169"/>
      </w:tblGrid>
      <w:tr>
        <w:trPr/>
        <w:tc>
          <w:tcPr>
            <w:tcW w:w="218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of dollars)</w:t>
            </w:r>
          </w:p>
        </w:tc>
        <w:tc>
          <w:tcPr>
            <w:tcW w:w="144" w:type="dxa"/>
            <w:tcBorders/>
            <w:vAlign w:val="bottom"/>
          </w:tcPr>
          <w:p>
            <w:pPr>
              <w:pStyle w:val="TableContents"/>
              <w:bidi w:val="0"/>
              <w:spacing w:before="0" w:after="283"/>
              <w:jc w:val="left"/>
              <w:rPr/>
            </w:pPr>
            <w:r>
              <w:rPr/>
              <w:t>  </w:t>
            </w:r>
          </w:p>
        </w:tc>
        <w:tc>
          <w:tcPr>
            <w:tcW w:w="5061" w:type="dxa"/>
            <w:gridSpan w:val="14"/>
            <w:tcBorders>
              <w:bottom w:val="single" w:sz="8" w:space="0" w:color="000000"/>
            </w:tcBorders>
            <w:tcMar>
              <w:bottom w:w="28" w:type="dxa"/>
            </w:tcMar>
            <w:vAlign w:val="bottom"/>
          </w:tcPr>
          <w:p>
            <w:pPr>
              <w:pStyle w:val="TableContents"/>
              <w:bidi w:val="0"/>
              <w:spacing w:before="0" w:after="283"/>
              <w:jc w:val="center"/>
              <w:rPr/>
            </w:pPr>
            <w:r>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9"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March 31, 2024</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March 31, 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69"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69" w:type="dxa"/>
            <w:tcBorders/>
            <w:vAlign w:val="bottom"/>
          </w:tcPr>
          <w:p>
            <w:pPr>
              <w:pStyle w:val="TableContents"/>
              <w:bidi w:val="0"/>
              <w:spacing w:before="0" w:after="283"/>
              <w:jc w:val="left"/>
              <w:rPr/>
            </w:pPr>
            <w:r>
              <w:rPr/>
              <w:t> </w:t>
            </w:r>
          </w:p>
        </w:tc>
      </w:tr>
      <w:tr>
        <w:trPr/>
        <w:tc>
          <w:tcPr>
            <w:tcW w:w="2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1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2,748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867</w:t>
            </w:r>
          </w:p>
        </w:tc>
        <w:tc>
          <w:tcPr>
            <w:tcW w:w="1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215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1,733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430</w:t>
            </w:r>
          </w:p>
        </w:tc>
        <w:tc>
          <w:tcPr>
            <w:tcW w:w="169" w:type="dxa"/>
            <w:tcBorders/>
            <w:shd w:fill="CCEEFF" w:val="clear"/>
            <w:vAlign w:val="bottom"/>
          </w:tcPr>
          <w:p>
            <w:pPr>
              <w:pStyle w:val="TableContents"/>
              <w:bidi w:val="0"/>
              <w:spacing w:before="0" w:after="283"/>
              <w:jc w:val="left"/>
              <w:rPr/>
            </w:pPr>
            <w:r>
              <w:rPr/>
              <w:t> </w:t>
            </w:r>
          </w:p>
        </w:tc>
      </w:tr>
      <w:tr>
        <w:trPr/>
        <w:tc>
          <w:tcPr>
            <w:tcW w:w="2180"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1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3,176</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1,105</w:t>
            </w:r>
          </w:p>
        </w:tc>
        <w:tc>
          <w:tcPr>
            <w:tcW w:w="1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590</w:t>
            </w:r>
          </w:p>
        </w:tc>
        <w:tc>
          <w:tcPr>
            <w:tcW w:w="169" w:type="dxa"/>
            <w:tcBorders/>
            <w:vAlign w:val="bottom"/>
          </w:tcPr>
          <w:p>
            <w:pPr>
              <w:pStyle w:val="TableContents"/>
              <w:bidi w:val="0"/>
              <w:spacing w:before="0" w:after="283"/>
              <w:jc w:val="left"/>
              <w:rPr/>
            </w:pPr>
            <w:r>
              <w:rPr/>
              <w:t> </w:t>
            </w:r>
          </w:p>
        </w:tc>
      </w:tr>
      <w:tr>
        <w:trPr/>
        <w:tc>
          <w:tcPr>
            <w:tcW w:w="2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1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(5,369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(863</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(1,659</w:t>
            </w:r>
          </w:p>
        </w:tc>
        <w:tc>
          <w:tcPr>
            <w:tcW w:w="1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(253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(507</w:t>
            </w:r>
          </w:p>
        </w:tc>
        <w:tc>
          <w:tcPr>
            <w:tcW w:w="169" w:type="dxa"/>
            <w:tcBorders/>
            <w:shd w:fill="CCEEFF" w:val="clear"/>
            <w:vAlign w:val="bottom"/>
          </w:tcPr>
          <w:p>
            <w:pPr>
              <w:pStyle w:val="TableContents"/>
              <w:bidi w:val="0"/>
              <w:spacing w:before="0" w:after="283"/>
              <w:jc w:val="left"/>
              <w:rPr/>
            </w:pPr>
            <w:r>
              <w:rPr/>
              <w:t>) </w:t>
            </w:r>
          </w:p>
        </w:tc>
      </w:tr>
      <w:tr>
        <w:trPr/>
        <w:tc>
          <w:tcPr>
            <w:tcW w:w="218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prior service cost</w:t>
            </w:r>
          </w:p>
        </w:tc>
        <w:tc>
          <w:tcPr>
            <w:tcW w:w="1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2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net actuarial loss/(gain)</w:t>
            </w:r>
          </w:p>
        </w:tc>
        <w:tc>
          <w:tcPr>
            <w:tcW w:w="1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153</w:t>
            </w:r>
          </w:p>
        </w:tc>
        <w:tc>
          <w:tcPr>
            <w:tcW w:w="1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(31</w:t>
            </w:r>
          </w:p>
        </w:tc>
        <w:tc>
          <w:tcPr>
            <w:tcW w:w="169" w:type="dxa"/>
            <w:tcBorders/>
            <w:shd w:fill="CCEEFF" w:val="clear"/>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2180" w:type="dxa"/>
            <w:tcBorders/>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1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793</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526</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465</w:t>
            </w:r>
          </w:p>
        </w:tc>
        <w:tc>
          <w:tcPr>
            <w:tcW w:w="1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243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45" w:type="dxa"/>
            <w:tcBorders/>
            <w:vAlign w:val="bottom"/>
          </w:tcPr>
          <w:p>
            <w:pPr>
              <w:pStyle w:val="TableContents"/>
              <w:bidi w:val="0"/>
              <w:spacing w:before="0" w:after="283"/>
              <w:jc w:val="right"/>
              <w:rPr/>
            </w:pPr>
            <w:r>
              <w:rPr/>
              <w:t>931</w:t>
            </w:r>
          </w:p>
        </w:tc>
        <w:tc>
          <w:tcPr>
            <w:tcW w:w="15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482</w:t>
            </w:r>
          </w:p>
        </w:tc>
        <w:tc>
          <w:tcPr>
            <w:tcW w:w="16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three month periods ended March 31, 2024 and 2023, and the Predecessor combined 58-day combined period ended February 27, 2023, $3.4 million, $1.1 million, and $2.2 million were recorded in Operating Expenses and non-service cost/(income) of ($2.0 million), ($0.7 million), and $0.2 million were recorded in Other Non-Operating Expenses/(Income), net. </w:t>
      </w:r>
    </w:p>
    <w:p>
      <w:pPr>
        <w:pStyle w:val="TextBody"/>
        <w:bidi w:val="0"/>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Aera Services contributed approximately $2.1 million and $2.7 million under the provisions of the Aera Energy Services Company Savings Plan (the Savings Plan) for the Successor three month period ended March 31, 2024 and the Predecessor combined 58-day period ended February 27, 2023, and expects to contribute $7.3 million during the remainder of 2024. There were no contributions for the Successor three month period ended March 31, 2023. </w:t>
      </w:r>
    </w:p>
    <w:p>
      <w:pPr>
        <w:pStyle w:val="TextBody"/>
        <w:bidi w:val="0"/>
        <w:spacing w:before="240" w:after="0"/>
        <w:jc w:val="left"/>
        <w:rPr>
          <w:rFonts w:ascii="Times New Roman" w:hAnsi="Times New Roman"/>
          <w:sz w:val="20"/>
        </w:rPr>
      </w:pPr>
      <w:r>
        <w:rPr>
          <w:rFonts w:ascii="Times New Roman" w:hAnsi="Times New Roman"/>
          <w:sz w:val="20"/>
        </w:rPr>
        <w:t xml:space="preserve">Aera Services contributed approximately $0.3 million and $0.5 million under the provisions of the Aera Energy Services Company Savings Restoration Plan for the Successor three month periods ended March 31, 2024 and 2023 and expects to contribute $0.5 million during the remainder of 2024. Aera Services did not make a contribution for the Predecessor combined 58-day period ended February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Aera Services did not make a contribution under the provisions of the Aera Energy Services Company Cash Balance Plan for the Successor three month periods ended March 31, 2024 and 2023, or the Predecessor combined 58-day period ended February 27, 2023, but expects to contribute $10.0 million during the remainder of 2024. </w:t>
      </w:r>
    </w:p>
    <w:p>
      <w:pPr>
        <w:pStyle w:val="TextBody"/>
        <w:bidi w:val="0"/>
        <w:spacing w:before="360" w:after="0"/>
        <w:jc w:val="left"/>
        <w:rPr>
          <w:rFonts w:ascii="Times New Roman" w:hAnsi="Times New Roman"/>
          <w:b/>
          <w:sz w:val="20"/>
        </w:rPr>
      </w:pPr>
      <w:r>
        <w:rPr>
          <w:rFonts w:ascii="Times New Roman" w:hAnsi="Times New Roman"/>
          <w:b/>
          <w:sz w:val="20"/>
        </w:rPr>
        <w:t xml:space="preserve">Other Postretirement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Aera Services contributed approximately $1.0 million, $0.2 million, and $0.6 million under the provisions of the Aera Energy Services Company Pre-Medicare Eligible Plan (the Pre-65 Plan) for the Successor three month periods ended March 31, 2024 and 2023, and the Predecessor combined 58-day period ended February 27, 2023, and expects to contribute $1.9 million during the remainder of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69" w:name="ex99_2785486_15"/>
            <w:bookmarkEnd w:id="69"/>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Other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have been no material changes to the GGRP Companies litigation and other contingencies disclosed in Note 9  Litigation and Other Contingencies in the GGRPs 2023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70" w:name="ex99_2785486_16"/>
            <w:bookmarkEnd w:id="70"/>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 </w:t>
      </w:r>
    </w:p>
    <w:p>
      <w:pPr>
        <w:pStyle w:val="TextBody"/>
        <w:bidi w:val="0"/>
        <w:spacing w:before="120" w:after="0"/>
        <w:jc w:val="left"/>
        <w:rPr>
          <w:rFonts w:ascii="Times New Roman" w:hAnsi="Times New Roman"/>
          <w:sz w:val="20"/>
        </w:rPr>
      </w:pPr>
      <w:r>
        <w:rPr>
          <w:rFonts w:ascii="Times New Roman" w:hAnsi="Times New Roman"/>
          <w:sz w:val="20"/>
        </w:rPr>
        <w:t xml:space="preserve">Level 1  Unadjusted quoted market prices for identical assets or liabilities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for the asset or liability only used when there is little, if any, market activity for the asset or liability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 forth, by level within the fair value hierarchy, Aera LLCs financial assets and liabilities that were accounted for at a fair value on recurring basis as of March 31, 2024 (Successor) and December 31, 2023 (Successor):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68"/>
        <w:gridCol w:w="276"/>
        <w:gridCol w:w="585"/>
        <w:gridCol w:w="586"/>
        <w:gridCol w:w="60"/>
        <w:gridCol w:w="276"/>
        <w:gridCol w:w="162"/>
        <w:gridCol w:w="1018"/>
        <w:gridCol w:w="155"/>
        <w:gridCol w:w="242"/>
        <w:gridCol w:w="715"/>
        <w:gridCol w:w="715"/>
        <w:gridCol w:w="60"/>
        <w:gridCol w:w="276"/>
        <w:gridCol w:w="140"/>
        <w:gridCol w:w="892"/>
        <w:gridCol w:w="162"/>
      </w:tblGrid>
      <w:tr>
        <w:trPr/>
        <w:tc>
          <w:tcPr>
            <w:tcW w:w="3068"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8" w:type="dxa"/>
            <w:vMerge w:val="restart"/>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88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2" w:type="dxa"/>
            <w:tcBorders/>
            <w:vAlign w:val="bottom"/>
          </w:tcPr>
          <w:p>
            <w:pPr>
              <w:pStyle w:val="TableContents"/>
              <w:bidi w:val="0"/>
              <w:spacing w:before="0" w:after="283"/>
              <w:jc w:val="left"/>
              <w:rPr/>
            </w:pPr>
            <w:r>
              <w:rPr/>
              <w:t> </w:t>
            </w:r>
          </w:p>
        </w:tc>
      </w:tr>
      <w:tr>
        <w:trPr/>
        <w:tc>
          <w:tcPr>
            <w:tcW w:w="3068" w:type="dxa"/>
            <w:vMerge w:val="continue"/>
            <w:tcBorders/>
            <w:vAlign w:val="bottom"/>
          </w:tcPr>
          <w:p>
            <w:pPr>
              <w:pStyle w:val="Normal"/>
              <w:bidi w:val="0"/>
              <w:jc w:val="left"/>
              <w:rPr/>
            </w:pPr>
            <w:r>
              <w:rPr/>
            </w:r>
          </w:p>
        </w:tc>
        <w:tc>
          <w:tcPr>
            <w:tcW w:w="276" w:type="dxa"/>
            <w:tcBorders/>
            <w:vAlign w:val="bottom"/>
          </w:tcPr>
          <w:p>
            <w:pPr>
              <w:pStyle w:val="TableContents"/>
              <w:bidi w:val="0"/>
              <w:spacing w:before="0" w:after="283"/>
              <w:jc w:val="left"/>
              <w:rPr/>
            </w:pPr>
            <w:r>
              <w:rPr/>
              <w:t>  </w:t>
            </w:r>
          </w:p>
        </w:tc>
        <w:tc>
          <w:tcPr>
            <w:tcW w:w="588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62" w:type="dxa"/>
            <w:tcBorders/>
            <w:vAlign w:val="bottom"/>
          </w:tcPr>
          <w:p>
            <w:pPr>
              <w:pStyle w:val="TableContents"/>
              <w:bidi w:val="0"/>
              <w:spacing w:before="0" w:after="283"/>
              <w:jc w:val="left"/>
              <w:rPr/>
            </w:pPr>
            <w:r>
              <w:rPr/>
              <w:t> </w:t>
            </w:r>
          </w:p>
        </w:tc>
      </w:tr>
      <w:tr>
        <w:trPr/>
        <w:tc>
          <w:tcPr>
            <w:tcW w:w="3068" w:type="dxa"/>
            <w:vMerge w:val="continue"/>
            <w:tcBorders/>
            <w:vAlign w:val="bottom"/>
          </w:tcPr>
          <w:p>
            <w:pPr>
              <w:pStyle w:val="Normal"/>
              <w:bidi w:val="0"/>
              <w:jc w:val="left"/>
              <w:rPr/>
            </w:pPr>
            <w:r>
              <w:rPr/>
            </w:r>
          </w:p>
        </w:tc>
        <w:tc>
          <w:tcPr>
            <w:tcW w:w="276"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Active</w:t>
              <w:br/>
              <w:t>Market for</w:t>
              <w:br/>
              <w:t>Identical</w:t>
              <w:br/>
              <w:t>Assets</w:t>
              <w:br/>
              <w:t>(Level 1)</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w:t>
              <w:br/>
              <w:t>Inputs</w:t>
              <w:br/>
              <w:t>(Level 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w:t>
              <w:br/>
              <w:t>(Level 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Carrying</w:t>
              <w:br/>
              <w:t>Value</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 Accrued liabilities - Contingent consideration</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(20,828</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(20,828</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(199,807</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(199,807</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(209,530</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(209,530</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(430,165</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(430,165</w:t>
            </w:r>
          </w:p>
        </w:tc>
        <w:tc>
          <w:tcPr>
            <w:tcW w:w="162" w:type="dxa"/>
            <w:tcBorders/>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3068"/>
        <w:gridCol w:w="276"/>
        <w:gridCol w:w="585"/>
        <w:gridCol w:w="586"/>
        <w:gridCol w:w="60"/>
        <w:gridCol w:w="276"/>
        <w:gridCol w:w="162"/>
        <w:gridCol w:w="1018"/>
        <w:gridCol w:w="155"/>
        <w:gridCol w:w="242"/>
        <w:gridCol w:w="715"/>
        <w:gridCol w:w="715"/>
        <w:gridCol w:w="60"/>
        <w:gridCol w:w="276"/>
        <w:gridCol w:w="140"/>
        <w:gridCol w:w="892"/>
        <w:gridCol w:w="162"/>
      </w:tblGrid>
      <w:tr>
        <w:trPr/>
        <w:tc>
          <w:tcPr>
            <w:tcW w:w="3068"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8" w:type="dxa"/>
            <w:vMerge w:val="restart"/>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88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2" w:type="dxa"/>
            <w:tcBorders/>
            <w:vAlign w:val="bottom"/>
          </w:tcPr>
          <w:p>
            <w:pPr>
              <w:pStyle w:val="TableContents"/>
              <w:bidi w:val="0"/>
              <w:spacing w:before="0" w:after="283"/>
              <w:jc w:val="left"/>
              <w:rPr/>
            </w:pPr>
            <w:r>
              <w:rPr/>
              <w:t> </w:t>
            </w:r>
          </w:p>
        </w:tc>
      </w:tr>
      <w:tr>
        <w:trPr/>
        <w:tc>
          <w:tcPr>
            <w:tcW w:w="3068" w:type="dxa"/>
            <w:vMerge w:val="continue"/>
            <w:tcBorders/>
            <w:vAlign w:val="bottom"/>
          </w:tcPr>
          <w:p>
            <w:pPr>
              <w:pStyle w:val="Normal"/>
              <w:bidi w:val="0"/>
              <w:jc w:val="left"/>
              <w:rPr/>
            </w:pPr>
            <w:r>
              <w:rPr/>
            </w:r>
          </w:p>
        </w:tc>
        <w:tc>
          <w:tcPr>
            <w:tcW w:w="276" w:type="dxa"/>
            <w:tcBorders/>
            <w:vAlign w:val="bottom"/>
          </w:tcPr>
          <w:p>
            <w:pPr>
              <w:pStyle w:val="TableContents"/>
              <w:bidi w:val="0"/>
              <w:spacing w:before="0" w:after="283"/>
              <w:jc w:val="left"/>
              <w:rPr/>
            </w:pPr>
            <w:r>
              <w:rPr/>
              <w:t>  </w:t>
            </w:r>
          </w:p>
        </w:tc>
        <w:tc>
          <w:tcPr>
            <w:tcW w:w="588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2" w:type="dxa"/>
            <w:tcBorders/>
            <w:vAlign w:val="bottom"/>
          </w:tcPr>
          <w:p>
            <w:pPr>
              <w:pStyle w:val="TableContents"/>
              <w:bidi w:val="0"/>
              <w:spacing w:before="0" w:after="283"/>
              <w:jc w:val="left"/>
              <w:rPr/>
            </w:pPr>
            <w:r>
              <w:rPr/>
              <w:t> </w:t>
            </w:r>
          </w:p>
        </w:tc>
      </w:tr>
      <w:tr>
        <w:trPr/>
        <w:tc>
          <w:tcPr>
            <w:tcW w:w="3068" w:type="dxa"/>
            <w:vMerge w:val="continue"/>
            <w:tcBorders/>
            <w:vAlign w:val="bottom"/>
          </w:tcPr>
          <w:p>
            <w:pPr>
              <w:pStyle w:val="Normal"/>
              <w:bidi w:val="0"/>
              <w:jc w:val="left"/>
              <w:rPr/>
            </w:pPr>
            <w:r>
              <w:rPr/>
            </w:r>
          </w:p>
        </w:tc>
        <w:tc>
          <w:tcPr>
            <w:tcW w:w="276"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pPr>
            <w:r>
              <w:rPr>
                <w:b/>
              </w:rPr>
              <w:t>Active</w:t>
              <w:br/>
              <w:t>Market for</w:t>
              <w:br/>
              <w:t>Identical</w:t>
            </w:r>
            <w:r>
              <w:rPr/>
              <w:br/>
            </w:r>
            <w:r>
              <w:rPr>
                <w:b/>
              </w:rPr>
              <w:t>Assets</w:t>
              <w:br/>
              <w:t>(Level 1)</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w:t>
              <w:br/>
              <w:t>Inputs</w:t>
              <w:br/>
              <w:t>(Level 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w:t>
              <w:br/>
              <w:t>(Level 3)</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Carting</w:t>
              <w:br/>
              <w:t>Value</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1,143</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1,143</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 Accrued liabilities -Contingent consideration</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(23,176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(23,176</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(31,032</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(31,032</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 -Contingent consideration</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(5,930</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(5,930</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Longterm - fair value of derivative instruments</w:t>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(79,366</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(79,366</w:t>
            </w:r>
          </w:p>
        </w:tc>
        <w:tc>
          <w:tcPr>
            <w:tcW w:w="162" w:type="dxa"/>
            <w:tcBorders/>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(138,362</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(138,362</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liabilities related to the Acquisition are classified as Level 2 in the requirement fair value hierarchy and are reported at fair value based on hedged and unhedged oil volumes as defined in the Acquisition purchase agreements using the fair value at the end of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Aera LLCs derivative instruments, which consist of derivative swaps, are classified as Level 2 as of March 31, 2024 (Successor) and December 31, 2023 (Successor)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Other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value of the Aera LLCs long-term debt approximates its fair value because the interest rate is variable and reflective of market rates, which are level 2 inputs within the fair value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71" w:name="ex99_2785486_17"/>
            <w:bookmarkEnd w:id="71"/>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March 31, 2024 (Successor) or December 31, 2023 (Successor).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13, Debt. </w:t>
      </w:r>
    </w:p>
    <w:p>
      <w:pPr>
        <w:pStyle w:val="TextBody"/>
        <w:bidi w:val="0"/>
        <w:spacing w:before="240" w:after="0"/>
        <w:jc w:val="left"/>
        <w:rPr>
          <w:rFonts w:ascii="Times New Roman" w:hAnsi="Times New Roman"/>
          <w:sz w:val="20"/>
        </w:rPr>
      </w:pPr>
      <w:r>
        <w:rPr>
          <w:rFonts w:ascii="Times New Roman" w:hAnsi="Times New Roman"/>
          <w:sz w:val="20"/>
        </w:rPr>
        <w:t xml:space="preserve">Aera LLC reported gains and losses on derivative contracts related to crude oil sold and natural gas purchased in Revenue and Other Income on our Condensed Consolidated and Combined Statements of Operations and Other Comprehensive Income (Loss) for the Successor three month periods ended March 31, 2024 and 2023, and the Predecessor combined 58-day period ended February 27, 2023, as shown in the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2204"/>
        <w:gridCol w:w="315"/>
        <w:gridCol w:w="222"/>
        <w:gridCol w:w="1412"/>
        <w:gridCol w:w="155"/>
        <w:gridCol w:w="292"/>
        <w:gridCol w:w="274"/>
        <w:gridCol w:w="1363"/>
        <w:gridCol w:w="60"/>
        <w:gridCol w:w="315"/>
        <w:gridCol w:w="946"/>
        <w:gridCol w:w="949"/>
        <w:gridCol w:w="65"/>
      </w:tblGrid>
      <w:tr>
        <w:trPr/>
        <w:tc>
          <w:tcPr>
            <w:tcW w:w="2204"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04" w:type="dxa"/>
            <w:tcBorders/>
            <w:vAlign w:val="bottom"/>
          </w:tcPr>
          <w:p>
            <w:pPr>
              <w:pStyle w:val="TableContents"/>
              <w:bidi w:val="0"/>
              <w:spacing w:before="0" w:after="283"/>
              <w:jc w:val="left"/>
              <w:rPr/>
            </w:pPr>
            <w:r>
              <w:rPr>
                <w:b/>
              </w:rPr>
              <w:t>(</w:t>
            </w:r>
            <w:r>
              <w:rPr>
                <w:i/>
              </w:rPr>
              <w:t>in thousands of dollars</w:t>
            </w:r>
            <w:r>
              <w:rPr>
                <w:b/>
              </w:rPr>
              <w:t>)</w:t>
            </w:r>
          </w:p>
        </w:tc>
        <w:tc>
          <w:tcPr>
            <w:tcW w:w="315" w:type="dxa"/>
            <w:tcBorders/>
            <w:vAlign w:val="bottom"/>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5" w:type="dxa"/>
            <w:tcBorders/>
            <w:vAlign w:val="bottom"/>
          </w:tcPr>
          <w:p>
            <w:pPr>
              <w:pStyle w:val="TableContents"/>
              <w:bidi w:val="0"/>
              <w:spacing w:before="0" w:after="283"/>
              <w:jc w:val="left"/>
              <w:rPr/>
            </w:pPr>
            <w:r>
              <w:rPr/>
              <w:t> </w:t>
            </w:r>
          </w:p>
        </w:tc>
      </w:tr>
      <w:tr>
        <w:trPr/>
        <w:tc>
          <w:tcPr>
            <w:tcW w:w="2204"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2024</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 2023</w:t>
            </w:r>
          </w:p>
        </w:tc>
        <w:tc>
          <w:tcPr>
            <w:tcW w:w="65" w:type="dxa"/>
            <w:tcBorders/>
            <w:vAlign w:val="bottom"/>
          </w:tcPr>
          <w:p>
            <w:pPr>
              <w:pStyle w:val="TableContents"/>
              <w:bidi w:val="0"/>
              <w:spacing w:before="0" w:after="283"/>
              <w:jc w:val="left"/>
              <w:rPr/>
            </w:pPr>
            <w:r>
              <w:rPr/>
              <w:t> </w:t>
            </w:r>
          </w:p>
        </w:tc>
      </w:tr>
      <w:tr>
        <w:trPr/>
        <w:tc>
          <w:tcPr>
            <w:tcW w:w="2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payments from commodity derivatives</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4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204" w:type="dxa"/>
            <w:tcBorders/>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(19,249</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678</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(18,204</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204" w:type="dxa"/>
            <w:tcBorders/>
          </w:tcPr>
          <w:p>
            <w:pPr>
              <w:pStyle w:val="TableContents"/>
              <w:bidi w:val="0"/>
              <w:spacing w:before="0" w:after="0"/>
              <w:jc w:val="left"/>
              <w:rPr>
                <w:rFonts w:ascii="Times New Roman" w:hAnsi="Times New Roman"/>
                <w:sz w:val="20"/>
              </w:rPr>
            </w:pPr>
            <w:r>
              <w:rPr>
                <w:rFonts w:ascii="Times New Roman" w:hAnsi="Times New Roman"/>
                <w:sz w:val="20"/>
              </w:rPr>
              <w:t>Non-cash commodity derivative loss</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4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bidi w:val="0"/>
              <w:spacing w:before="0" w:after="283"/>
              <w:jc w:val="right"/>
              <w:rPr/>
            </w:pPr>
            <w:r>
              <w:rPr/>
              <w:t>(313,646</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68,962</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20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4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04"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12" w:type="dxa"/>
            <w:tcBorders/>
            <w:vAlign w:val="bottom"/>
          </w:tcPr>
          <w:p>
            <w:pPr>
              <w:pStyle w:val="TableContents"/>
              <w:bidi w:val="0"/>
              <w:spacing w:before="0" w:after="283"/>
              <w:jc w:val="right"/>
              <w:rPr/>
            </w:pPr>
            <w:r>
              <w:rPr/>
              <w:t>13.564</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20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4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(Loss)/gain on commodity derivatives, net</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(337,535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69,641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204"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4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March 31, 2024 (Successor) and December 31, 2023 (Successor), Aera LLCs counterparties to its derivative contract are Citigroup Global Markets, BP Energy Company, KeyBank NA, Deutsche Bank AG, Macquarie Bank Limited, Wells Fargo Bank, N.A., and RBC Bank.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Aera LLCs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fair values of Aera LLCs outstanding commodity derivatives as of March 31, 2024 (Successor) and December 31, 2023 (Successor):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4"/>
        <w:gridCol w:w="246"/>
        <w:gridCol w:w="147"/>
        <w:gridCol w:w="933"/>
        <w:gridCol w:w="155"/>
        <w:gridCol w:w="209"/>
        <w:gridCol w:w="195"/>
        <w:gridCol w:w="1248"/>
        <w:gridCol w:w="158"/>
      </w:tblGrid>
      <w:tr>
        <w:trPr/>
        <w:tc>
          <w:tcPr>
            <w:tcW w:w="4464"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8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8" w:type="dxa"/>
            <w:tcBorders/>
            <w:vAlign w:val="bottom"/>
          </w:tcPr>
          <w:p>
            <w:pPr>
              <w:pStyle w:val="TableContents"/>
              <w:bidi w:val="0"/>
              <w:spacing w:before="0" w:after="283"/>
              <w:jc w:val="left"/>
              <w:rPr/>
            </w:pPr>
            <w:r>
              <w:rPr/>
              <w:t> </w:t>
            </w:r>
          </w:p>
        </w:tc>
      </w:tr>
      <w:tr>
        <w:trPr/>
        <w:tc>
          <w:tcPr>
            <w:tcW w:w="44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Balance Sheet Classification</w:t>
            </w:r>
          </w:p>
        </w:tc>
        <w:tc>
          <w:tcPr>
            <w:tcW w:w="246"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8" w:type="dxa"/>
            <w:tcBorders/>
            <w:vAlign w:val="bottom"/>
          </w:tcPr>
          <w:p>
            <w:pPr>
              <w:pStyle w:val="TableContents"/>
              <w:bidi w:val="0"/>
              <w:spacing w:before="0" w:after="283"/>
              <w:jc w:val="left"/>
              <w:rPr/>
            </w:pPr>
            <w:r>
              <w:rPr/>
              <w:t> </w:t>
            </w:r>
          </w:p>
        </w:tc>
      </w:tr>
      <w:tr>
        <w:trPr/>
        <w:tc>
          <w:tcPr>
            <w:tcW w:w="4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in thousands of dollars</w:t>
            </w:r>
            <w:r>
              <w:rPr>
                <w:rFonts w:ascii="Times New Roman" w:hAnsi="Times New Roman"/>
                <w:sz w:val="20"/>
              </w:rPr>
              <w:t>)</w:t>
            </w:r>
          </w:p>
        </w:tc>
        <w:tc>
          <w:tcPr>
            <w:tcW w:w="2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2740" w:type="dxa"/>
            <w:gridSpan w:val="5"/>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64"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1,143</w:t>
            </w:r>
          </w:p>
        </w:tc>
        <w:tc>
          <w:tcPr>
            <w:tcW w:w="158" w:type="dxa"/>
            <w:tcBorders/>
            <w:shd w:fill="CCEEFF" w:val="clear"/>
            <w:vAlign w:val="bottom"/>
          </w:tcPr>
          <w:p>
            <w:pPr>
              <w:pStyle w:val="TableContents"/>
              <w:bidi w:val="0"/>
              <w:spacing w:before="0" w:after="283"/>
              <w:jc w:val="left"/>
              <w:rPr/>
            </w:pPr>
            <w:r>
              <w:rPr/>
              <w:t> </w:t>
            </w:r>
          </w:p>
        </w:tc>
      </w:tr>
      <w:tr>
        <w:trPr/>
        <w:tc>
          <w:tcPr>
            <w:tcW w:w="4464"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6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(199,807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(31,032</w:t>
            </w:r>
          </w:p>
        </w:tc>
        <w:tc>
          <w:tcPr>
            <w:tcW w:w="158" w:type="dxa"/>
            <w:tcBorders/>
            <w:shd w:fill="CCEEFF" w:val="clear"/>
            <w:vAlign w:val="bottom"/>
          </w:tcPr>
          <w:p>
            <w:pPr>
              <w:pStyle w:val="TableContents"/>
              <w:bidi w:val="0"/>
              <w:spacing w:before="0" w:after="283"/>
              <w:jc w:val="left"/>
              <w:rPr/>
            </w:pPr>
            <w:r>
              <w:rPr/>
              <w:t>) </w:t>
            </w:r>
          </w:p>
        </w:tc>
      </w:tr>
      <w:tr>
        <w:trPr/>
        <w:tc>
          <w:tcPr>
            <w:tcW w:w="4464" w:type="dxa"/>
            <w:tcBorders/>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(209,530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(79,366</w:t>
            </w:r>
          </w:p>
        </w:tc>
        <w:tc>
          <w:tcPr>
            <w:tcW w:w="158" w:type="dxa"/>
            <w:tcBorders/>
            <w:vAlign w:val="bottom"/>
          </w:tcPr>
          <w:p>
            <w:pPr>
              <w:pStyle w:val="TableContents"/>
              <w:bidi w:val="0"/>
              <w:spacing w:before="0" w:after="283"/>
              <w:jc w:val="left"/>
              <w:rPr/>
            </w:pPr>
            <w:r>
              <w:rPr/>
              <w:t>) </w:t>
            </w:r>
          </w:p>
        </w:tc>
      </w:tr>
      <w:tr>
        <w:trPr/>
        <w:tc>
          <w:tcPr>
            <w:tcW w:w="4464"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64" w:type="dxa"/>
            <w:tcBorders/>
            <w:shd w:fill="CCEEFF" w:val="clear"/>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(409,337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(110,398</w:t>
            </w:r>
          </w:p>
        </w:tc>
        <w:tc>
          <w:tcPr>
            <w:tcW w:w="158" w:type="dxa"/>
            <w:tcBorders/>
            <w:shd w:fill="CCEEFF" w:val="clear"/>
            <w:vAlign w:val="bottom"/>
          </w:tcPr>
          <w:p>
            <w:pPr>
              <w:pStyle w:val="TableContents"/>
              <w:bidi w:val="0"/>
              <w:spacing w:before="0" w:after="283"/>
              <w:jc w:val="left"/>
              <w:rPr/>
            </w:pPr>
            <w:r>
              <w:rPr/>
              <w:t>) </w:t>
            </w:r>
          </w:p>
        </w:tc>
      </w:tr>
      <w:tr>
        <w:trPr/>
        <w:tc>
          <w:tcPr>
            <w:tcW w:w="4464"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held the following swap contracts as of March 31, 2024 (Successor) and December 31, 2023 (Successor):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17"/>
        <w:gridCol w:w="317"/>
        <w:gridCol w:w="73"/>
        <w:gridCol w:w="841"/>
        <w:gridCol w:w="60"/>
        <w:gridCol w:w="317"/>
        <w:gridCol w:w="293"/>
        <w:gridCol w:w="1172"/>
        <w:gridCol w:w="60"/>
        <w:gridCol w:w="317"/>
        <w:gridCol w:w="73"/>
        <w:gridCol w:w="840"/>
        <w:gridCol w:w="60"/>
        <w:gridCol w:w="317"/>
        <w:gridCol w:w="293"/>
        <w:gridCol w:w="1172"/>
        <w:gridCol w:w="66"/>
      </w:tblGrid>
      <w:tr>
        <w:trPr/>
        <w:tc>
          <w:tcPr>
            <w:tcW w:w="3117"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17" w:type="dxa"/>
            <w:vMerge w:val="restart"/>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7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3117" w:type="dxa"/>
            <w:vMerge w:val="continue"/>
            <w:tcBorders/>
            <w:vAlign w:val="bottom"/>
          </w:tcPr>
          <w:p>
            <w:pPr>
              <w:pStyle w:val="Normal"/>
              <w:bidi w:val="0"/>
              <w:jc w:val="left"/>
              <w:rPr/>
            </w:pPr>
            <w:r>
              <w:rPr/>
            </w:r>
          </w:p>
        </w:tc>
        <w:tc>
          <w:tcPr>
            <w:tcW w:w="31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(MBbls)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Bbl</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(MBbls)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Bbl</w:t>
            </w:r>
          </w:p>
        </w:tc>
        <w:tc>
          <w:tcPr>
            <w:tcW w:w="66" w:type="dxa"/>
            <w:tcBorders/>
            <w:vAlign w:val="bottom"/>
          </w:tcPr>
          <w:p>
            <w:pPr>
              <w:pStyle w:val="TableContents"/>
              <w:bidi w:val="0"/>
              <w:spacing w:before="0" w:after="283"/>
              <w:jc w:val="left"/>
              <w:rPr/>
            </w:pPr>
            <w:r>
              <w:rPr/>
              <w:t> </w:t>
            </w:r>
          </w:p>
        </w:tc>
      </w:tr>
      <w:tr>
        <w:trPr/>
        <w:tc>
          <w:tcPr>
            <w:tcW w:w="3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 Swaps</w:t>
            </w:r>
          </w:p>
        </w:tc>
        <w:tc>
          <w:tcPr>
            <w:tcW w:w="31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46,488</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70.88</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51,550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71.55</w:t>
            </w:r>
          </w:p>
        </w:tc>
        <w:tc>
          <w:tcPr>
            <w:tcW w:w="66" w:type="dxa"/>
            <w:tcBorders/>
            <w:shd w:fill="CCEEFF" w:val="clear"/>
            <w:vAlign w:val="bottom"/>
          </w:tcPr>
          <w:p>
            <w:pPr>
              <w:pStyle w:val="TableContents"/>
              <w:bidi w:val="0"/>
              <w:spacing w:before="0" w:after="283"/>
              <w:jc w:val="left"/>
              <w:rPr/>
            </w:pPr>
            <w:r>
              <w:rPr/>
              <w:t> </w:t>
            </w:r>
          </w:p>
        </w:tc>
      </w:tr>
      <w:tr>
        <w:trPr>
          <w:trHeight w:val="240" w:hRule="atLeast"/>
        </w:trPr>
        <w:tc>
          <w:tcPr>
            <w:tcW w:w="3117" w:type="dxa"/>
            <w:tcBorders/>
            <w:vAlign w:val="center"/>
          </w:tcPr>
          <w:p>
            <w:pPr>
              <w:pStyle w:val="TableContents"/>
              <w:bidi w:val="0"/>
              <w:spacing w:before="0" w:after="283"/>
              <w:jc w:val="left"/>
              <w:rPr>
                <w:sz w:val="4"/>
                <w:szCs w:val="4"/>
              </w:rPr>
            </w:pPr>
            <w:r>
              <w:rPr>
                <w:sz w:val="4"/>
                <w:szCs w:val="4"/>
              </w:rPr>
            </w:r>
          </w:p>
        </w:tc>
        <w:tc>
          <w:tcPr>
            <w:tcW w:w="1291" w:type="dxa"/>
            <w:gridSpan w:val="4"/>
            <w:tcBorders/>
            <w:vAlign w:val="center"/>
          </w:tcPr>
          <w:p>
            <w:pPr>
              <w:pStyle w:val="TableContents"/>
              <w:bidi w:val="0"/>
              <w:spacing w:before="0" w:after="283"/>
              <w:jc w:val="left"/>
              <w:rPr>
                <w:sz w:val="4"/>
                <w:szCs w:val="4"/>
              </w:rPr>
            </w:pPr>
            <w:r>
              <w:rPr>
                <w:sz w:val="4"/>
                <w:szCs w:val="4"/>
              </w:rPr>
            </w:r>
          </w:p>
        </w:tc>
        <w:tc>
          <w:tcPr>
            <w:tcW w:w="1842" w:type="dxa"/>
            <w:gridSpan w:val="4"/>
            <w:tcBorders/>
            <w:vAlign w:val="center"/>
          </w:tcPr>
          <w:p>
            <w:pPr>
              <w:pStyle w:val="TableContents"/>
              <w:bidi w:val="0"/>
              <w:spacing w:before="0" w:after="283"/>
              <w:jc w:val="left"/>
              <w:rPr>
                <w:sz w:val="4"/>
                <w:szCs w:val="4"/>
              </w:rPr>
            </w:pPr>
            <w:r>
              <w:rPr>
                <w:sz w:val="4"/>
                <w:szCs w:val="4"/>
              </w:rPr>
            </w:r>
          </w:p>
        </w:tc>
        <w:tc>
          <w:tcPr>
            <w:tcW w:w="1290" w:type="dxa"/>
            <w:gridSpan w:val="4"/>
            <w:tcBorders/>
            <w:vAlign w:val="center"/>
          </w:tcPr>
          <w:p>
            <w:pPr>
              <w:pStyle w:val="TableContents"/>
              <w:bidi w:val="0"/>
              <w:spacing w:before="0" w:after="283"/>
              <w:jc w:val="left"/>
              <w:rPr>
                <w:sz w:val="4"/>
                <w:szCs w:val="4"/>
              </w:rPr>
            </w:pPr>
            <w:r>
              <w:rPr>
                <w:sz w:val="4"/>
                <w:szCs w:val="4"/>
              </w:rPr>
            </w:r>
          </w:p>
        </w:tc>
        <w:tc>
          <w:tcPr>
            <w:tcW w:w="1848" w:type="dxa"/>
            <w:gridSpan w:val="4"/>
            <w:tcBorders/>
            <w:vAlign w:val="center"/>
          </w:tcPr>
          <w:p>
            <w:pPr>
              <w:pStyle w:val="TableContents"/>
              <w:bidi w:val="0"/>
              <w:spacing w:before="0" w:after="283"/>
              <w:jc w:val="left"/>
              <w:rPr>
                <w:sz w:val="4"/>
                <w:szCs w:val="4"/>
              </w:rPr>
            </w:pPr>
            <w:r>
              <w:rPr>
                <w:sz w:val="4"/>
                <w:szCs w:val="4"/>
              </w:rPr>
            </w:r>
          </w:p>
        </w:tc>
      </w:tr>
      <w:tr>
        <w:trPr/>
        <w:tc>
          <w:tcPr>
            <w:tcW w:w="311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(MmBtu)</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Btu</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br/>
              <w:t>(MmBtu)</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Price</w:t>
              <w:br/>
              <w:t>Per Btu</w:t>
            </w:r>
          </w:p>
        </w:tc>
        <w:tc>
          <w:tcPr>
            <w:tcW w:w="66" w:type="dxa"/>
            <w:tcBorders/>
            <w:vAlign w:val="bottom"/>
          </w:tcPr>
          <w:p>
            <w:pPr>
              <w:pStyle w:val="TableContents"/>
              <w:bidi w:val="0"/>
              <w:spacing w:before="0" w:after="283"/>
              <w:jc w:val="left"/>
              <w:rPr/>
            </w:pPr>
            <w:r>
              <w:rPr/>
              <w:t> </w:t>
            </w:r>
          </w:p>
        </w:tc>
      </w:tr>
      <w:tr>
        <w:trPr/>
        <w:tc>
          <w:tcPr>
            <w:tcW w:w="3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Gas Swaps</w:t>
            </w:r>
          </w:p>
        </w:tc>
        <w:tc>
          <w:tcPr>
            <w:tcW w:w="31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27,375</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4.32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27,895</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172" w:type="dxa"/>
            <w:tcBorders/>
            <w:shd w:fill="CCEEFF" w:val="clear"/>
            <w:vAlign w:val="bottom"/>
          </w:tcPr>
          <w:p>
            <w:pPr>
              <w:pStyle w:val="TableContents"/>
              <w:bidi w:val="0"/>
              <w:spacing w:before="0" w:after="283"/>
              <w:jc w:val="right"/>
              <w:rPr/>
            </w:pPr>
            <w:r>
              <w:rPr/>
              <w:t>4.80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72" w:name="ex99_2785486_18"/>
            <w:bookmarkEnd w:id="72"/>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Taxes incurred by the Aera Companies were reported on the Condensed Consolidated and Combined Statements of Operations and Other Comprehensive Income (Loss) as follows for the periods ended: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51"/>
        <w:gridCol w:w="317"/>
        <w:gridCol w:w="274"/>
        <w:gridCol w:w="1354"/>
        <w:gridCol w:w="155"/>
        <w:gridCol w:w="297"/>
        <w:gridCol w:w="322"/>
        <w:gridCol w:w="1288"/>
        <w:gridCol w:w="155"/>
        <w:gridCol w:w="297"/>
        <w:gridCol w:w="322"/>
        <w:gridCol w:w="1580"/>
        <w:gridCol w:w="160"/>
      </w:tblGrid>
      <w:tr>
        <w:trPr/>
        <w:tc>
          <w:tcPr>
            <w:tcW w:w="2051"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1" w:type="dxa"/>
            <w:tcBorders/>
            <w:vAlign w:val="bottom"/>
          </w:tcPr>
          <w:p>
            <w:pPr>
              <w:pStyle w:val="TableContents"/>
              <w:bidi w:val="0"/>
              <w:spacing w:before="0" w:after="283"/>
              <w:jc w:val="left"/>
              <w:rPr>
                <w:i/>
              </w:rPr>
            </w:pPr>
            <w:r>
              <w:rPr>
                <w:i/>
              </w:rPr>
              <w:t>(in thousands of dollars)</w:t>
            </w:r>
          </w:p>
        </w:tc>
        <w:tc>
          <w:tcPr>
            <w:tcW w:w="317" w:type="dxa"/>
            <w:tcBorders/>
            <w:vAlign w:val="bottom"/>
          </w:tcPr>
          <w:p>
            <w:pPr>
              <w:pStyle w:val="TableContents"/>
              <w:bidi w:val="0"/>
              <w:spacing w:before="0" w:after="283"/>
              <w:jc w:val="left"/>
              <w:rPr/>
            </w:pPr>
            <w:r>
              <w:rPr/>
              <w:t>  </w:t>
            </w:r>
          </w:p>
        </w:tc>
        <w:tc>
          <w:tcPr>
            <w:tcW w:w="3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0" w:type="dxa"/>
            <w:tcBorders/>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2024</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 2023</w:t>
            </w:r>
          </w:p>
        </w:tc>
        <w:tc>
          <w:tcPr>
            <w:tcW w:w="160" w:type="dxa"/>
            <w:tcBorders/>
            <w:vAlign w:val="bottom"/>
          </w:tcPr>
          <w:p>
            <w:pPr>
              <w:pStyle w:val="TableContents"/>
              <w:bidi w:val="0"/>
              <w:spacing w:before="0" w:after="283"/>
              <w:jc w:val="left"/>
              <w:rPr/>
            </w:pPr>
            <w:r>
              <w:rPr/>
              <w:t> </w:t>
            </w:r>
          </w:p>
        </w:tc>
      </w:tr>
      <w:tr>
        <w:trPr/>
        <w:tc>
          <w:tcPr>
            <w:tcW w:w="20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and State Income Taxes</w:t>
            </w:r>
          </w:p>
        </w:tc>
        <w:tc>
          <w:tcPr>
            <w:tcW w:w="3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Current  Federal</w:t>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88</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580" w:type="dxa"/>
            <w:tcBorders/>
            <w:vAlign w:val="bottom"/>
          </w:tcPr>
          <w:p>
            <w:pPr>
              <w:pStyle w:val="TableContents"/>
              <w:bidi w:val="0"/>
              <w:spacing w:before="0" w:after="283"/>
              <w:jc w:val="right"/>
              <w:rPr/>
            </w:pPr>
            <w:r>
              <w:rPr/>
              <w:t>486</w:t>
            </w:r>
          </w:p>
        </w:tc>
        <w:tc>
          <w:tcPr>
            <w:tcW w:w="160" w:type="dxa"/>
            <w:tcBorders/>
            <w:vAlign w:val="bottom"/>
          </w:tcPr>
          <w:p>
            <w:pPr>
              <w:pStyle w:val="TableContents"/>
              <w:bidi w:val="0"/>
              <w:spacing w:before="0" w:after="283"/>
              <w:jc w:val="left"/>
              <w:rPr/>
            </w:pPr>
            <w:r>
              <w:rPr/>
              <w:t> </w:t>
            </w:r>
          </w:p>
        </w:tc>
      </w:tr>
      <w:tr>
        <w:trPr/>
        <w:tc>
          <w:tcPr>
            <w:tcW w:w="2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 State</w:t>
            </w:r>
          </w:p>
        </w:tc>
        <w:tc>
          <w:tcPr>
            <w:tcW w:w="3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224</w:t>
            </w:r>
          </w:p>
        </w:tc>
        <w:tc>
          <w:tcPr>
            <w:tcW w:w="160" w:type="dxa"/>
            <w:tcBorders/>
            <w:shd w:fill="CCEEFF" w:val="clear"/>
            <w:vAlign w:val="bottom"/>
          </w:tcPr>
          <w:p>
            <w:pPr>
              <w:pStyle w:val="TableContents"/>
              <w:bidi w:val="0"/>
              <w:spacing w:before="0" w:after="283"/>
              <w:jc w:val="left"/>
              <w:rPr/>
            </w:pPr>
            <w:r>
              <w:rPr/>
              <w:t> </w:t>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Deferred  Federal</w:t>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(240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(97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(305</w:t>
            </w:r>
          </w:p>
        </w:tc>
        <w:tc>
          <w:tcPr>
            <w:tcW w:w="160" w:type="dxa"/>
            <w:tcBorders/>
            <w:vAlign w:val="bottom"/>
          </w:tcPr>
          <w:p>
            <w:pPr>
              <w:pStyle w:val="TableContents"/>
              <w:bidi w:val="0"/>
              <w:spacing w:before="0" w:after="283"/>
              <w:jc w:val="left"/>
              <w:rPr/>
            </w:pPr>
            <w:r>
              <w:rPr/>
              <w:t>) </w:t>
            </w:r>
          </w:p>
        </w:tc>
      </w:tr>
      <w:tr>
        <w:trPr/>
        <w:tc>
          <w:tcPr>
            <w:tcW w:w="2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DeferredState</w:t>
            </w:r>
          </w:p>
        </w:tc>
        <w:tc>
          <w:tcPr>
            <w:tcW w:w="3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(141</w:t>
            </w:r>
          </w:p>
        </w:tc>
        <w:tc>
          <w:tcPr>
            <w:tcW w:w="160" w:type="dxa"/>
            <w:tcBorders/>
            <w:shd w:fill="CCEEFF" w:val="clear"/>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(14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580" w:type="dxa"/>
            <w:tcBorders/>
            <w:vAlign w:val="bottom"/>
          </w:tcPr>
          <w:p>
            <w:pPr>
              <w:pStyle w:val="TableContents"/>
              <w:bidi w:val="0"/>
              <w:spacing w:before="0" w:after="283"/>
              <w:jc w:val="right"/>
              <w:rPr/>
            </w:pPr>
            <w:r>
              <w:rPr/>
              <w:t>264</w:t>
            </w:r>
          </w:p>
        </w:tc>
        <w:tc>
          <w:tcPr>
            <w:tcW w:w="160" w:type="dxa"/>
            <w:tcBorders/>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Taxes Other Than Income</w:t>
            </w:r>
          </w:p>
        </w:tc>
        <w:tc>
          <w:tcPr>
            <w:tcW w:w="3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Real and personal property</w:t>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8,202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2,702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580" w:type="dxa"/>
            <w:tcBorders/>
            <w:vAlign w:val="bottom"/>
          </w:tcPr>
          <w:p>
            <w:pPr>
              <w:pStyle w:val="TableContents"/>
              <w:bidi w:val="0"/>
              <w:spacing w:before="0" w:after="283"/>
              <w:jc w:val="right"/>
              <w:rPr/>
            </w:pPr>
            <w:r>
              <w:rPr/>
              <w:t>5,439</w:t>
            </w:r>
          </w:p>
        </w:tc>
        <w:tc>
          <w:tcPr>
            <w:tcW w:w="160" w:type="dxa"/>
            <w:tcBorders/>
            <w:vAlign w:val="bottom"/>
          </w:tcPr>
          <w:p>
            <w:pPr>
              <w:pStyle w:val="TableContents"/>
              <w:bidi w:val="0"/>
              <w:spacing w:before="0" w:after="283"/>
              <w:jc w:val="left"/>
              <w:rPr/>
            </w:pPr>
            <w:r>
              <w:rPr/>
              <w:t> </w:t>
            </w:r>
          </w:p>
        </w:tc>
      </w:tr>
      <w:tr>
        <w:trPr/>
        <w:tc>
          <w:tcPr>
            <w:tcW w:w="2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gas production</w:t>
            </w:r>
          </w:p>
        </w:tc>
        <w:tc>
          <w:tcPr>
            <w:tcW w:w="3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15,540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5,644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8,996</w:t>
            </w:r>
          </w:p>
        </w:tc>
        <w:tc>
          <w:tcPr>
            <w:tcW w:w="160" w:type="dxa"/>
            <w:tcBorders/>
            <w:shd w:fill="CCEEFF" w:val="clear"/>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51" w:type="dxa"/>
            <w:tcBorders/>
          </w:tcPr>
          <w:p>
            <w:pPr>
              <w:pStyle w:val="TableContents"/>
              <w:bidi w:val="0"/>
              <w:spacing w:before="0" w:after="0"/>
              <w:jc w:val="left"/>
              <w:rPr>
                <w:rFonts w:ascii="Times New Roman" w:hAnsi="Times New Roman"/>
                <w:sz w:val="20"/>
              </w:rPr>
            </w:pPr>
            <w:r>
              <w:rPr>
                <w:rFonts w:ascii="Times New Roman" w:hAnsi="Times New Roman"/>
                <w:sz w:val="20"/>
              </w:rPr>
              <w:t>Total taxes other than on income</w:t>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23,742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8,346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580" w:type="dxa"/>
            <w:tcBorders/>
            <w:vAlign w:val="bottom"/>
          </w:tcPr>
          <w:p>
            <w:pPr>
              <w:pStyle w:val="TableContents"/>
              <w:bidi w:val="0"/>
              <w:spacing w:before="0" w:after="283"/>
              <w:jc w:val="right"/>
              <w:rPr/>
            </w:pPr>
            <w:r>
              <w:rPr/>
              <w:t>14,435</w:t>
            </w:r>
          </w:p>
        </w:tc>
        <w:tc>
          <w:tcPr>
            <w:tcW w:w="160" w:type="dxa"/>
            <w:tcBorders/>
            <w:vAlign w:val="bottom"/>
          </w:tcPr>
          <w:p>
            <w:pPr>
              <w:pStyle w:val="TableContents"/>
              <w:bidi w:val="0"/>
              <w:spacing w:before="0" w:after="283"/>
              <w:jc w:val="left"/>
              <w:rPr/>
            </w:pPr>
            <w:r>
              <w:rPr/>
              <w:t> </w:t>
            </w:r>
          </w:p>
        </w:tc>
      </w:tr>
      <w:tr>
        <w:trPr/>
        <w:tc>
          <w:tcPr>
            <w:tcW w:w="2051"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3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5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Deferred tax assets/(liabilities)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6"/>
        <w:gridCol w:w="372"/>
        <w:gridCol w:w="167"/>
        <w:gridCol w:w="921"/>
        <w:gridCol w:w="155"/>
        <w:gridCol w:w="326"/>
        <w:gridCol w:w="226"/>
        <w:gridCol w:w="1204"/>
        <w:gridCol w:w="158"/>
      </w:tblGrid>
      <w:tr>
        <w:trPr/>
        <w:tc>
          <w:tcPr>
            <w:tcW w:w="4226"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26" w:type="dxa"/>
            <w:tcBorders/>
            <w:vAlign w:val="bottom"/>
          </w:tcPr>
          <w:p>
            <w:pPr>
              <w:pStyle w:val="TableContents"/>
              <w:bidi w:val="0"/>
              <w:spacing w:before="0" w:after="283"/>
              <w:jc w:val="left"/>
              <w:rPr>
                <w:i/>
              </w:rPr>
            </w:pPr>
            <w:r>
              <w:rPr>
                <w:i/>
              </w:rPr>
              <w:t>(in thousands of dollars)</w:t>
            </w:r>
          </w:p>
        </w:tc>
        <w:tc>
          <w:tcPr>
            <w:tcW w:w="372" w:type="dxa"/>
            <w:tcBorders/>
            <w:vAlign w:val="bottom"/>
          </w:tcPr>
          <w:p>
            <w:pPr>
              <w:pStyle w:val="TableContents"/>
              <w:bidi w:val="0"/>
              <w:spacing w:before="0" w:after="283"/>
              <w:jc w:val="left"/>
              <w:rPr/>
            </w:pPr>
            <w:r>
              <w:rPr/>
              <w:t>  </w:t>
            </w:r>
          </w:p>
        </w:tc>
        <w:tc>
          <w:tcPr>
            <w:tcW w:w="29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8" w:type="dxa"/>
            <w:tcBorders/>
            <w:vAlign w:val="bottom"/>
          </w:tcPr>
          <w:p>
            <w:pPr>
              <w:pStyle w:val="TableContents"/>
              <w:bidi w:val="0"/>
              <w:spacing w:before="0" w:after="283"/>
              <w:jc w:val="left"/>
              <w:rPr/>
            </w:pPr>
            <w:r>
              <w:rPr/>
              <w:t> </w:t>
            </w:r>
          </w:p>
        </w:tc>
      </w:tr>
      <w:tr>
        <w:trPr/>
        <w:tc>
          <w:tcPr>
            <w:tcW w:w="4226"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8" w:type="dxa"/>
            <w:tcBorders/>
            <w:vAlign w:val="bottom"/>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 effects of temporary differences for:</w:t>
            </w:r>
          </w:p>
        </w:tc>
        <w:tc>
          <w:tcPr>
            <w:tcW w:w="37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Pension plan</w:t>
            </w:r>
          </w:p>
        </w:tc>
        <w:tc>
          <w:tcPr>
            <w:tcW w:w="37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(12,359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(12,179</w:t>
            </w:r>
          </w:p>
        </w:tc>
        <w:tc>
          <w:tcPr>
            <w:tcW w:w="158" w:type="dxa"/>
            <w:tcBorders/>
            <w:vAlign w:val="bottom"/>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post retirement plans</w:t>
            </w:r>
          </w:p>
        </w:tc>
        <w:tc>
          <w:tcPr>
            <w:tcW w:w="37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20,588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20,661</w:t>
            </w:r>
          </w:p>
        </w:tc>
        <w:tc>
          <w:tcPr>
            <w:tcW w:w="158" w:type="dxa"/>
            <w:tcBorders/>
            <w:shd w:fill="CCEEFF" w:val="clear"/>
            <w:vAlign w:val="bottom"/>
          </w:tcPr>
          <w:p>
            <w:pPr>
              <w:pStyle w:val="TableContents"/>
              <w:bidi w:val="0"/>
              <w:spacing w:before="0" w:after="283"/>
              <w:jc w:val="left"/>
              <w:rPr/>
            </w:pPr>
            <w:r>
              <w:rPr/>
              <w:t> </w:t>
            </w:r>
          </w:p>
        </w:tc>
      </w:tr>
      <w:tr>
        <w:trP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Other employee benefits</w:t>
            </w:r>
          </w:p>
        </w:tc>
        <w:tc>
          <w:tcPr>
            <w:tcW w:w="37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6,059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6,205</w:t>
            </w:r>
          </w:p>
        </w:tc>
        <w:tc>
          <w:tcPr>
            <w:tcW w:w="158" w:type="dxa"/>
            <w:tcBorders/>
            <w:vAlign w:val="bottom"/>
          </w:tcPr>
          <w:p>
            <w:pPr>
              <w:pStyle w:val="TableContents"/>
              <w:bidi w:val="0"/>
              <w:spacing w:before="0" w:after="283"/>
              <w:jc w:val="left"/>
              <w:rPr/>
            </w:pPr>
            <w:r>
              <w:rPr/>
              <w:t> </w:t>
            </w:r>
          </w:p>
        </w:tc>
      </w:tr>
      <w:tr>
        <w:trP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income tax asset, net</w:t>
            </w:r>
          </w:p>
        </w:tc>
        <w:tc>
          <w:tcPr>
            <w:tcW w:w="37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14,288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14,687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73" w:name="ex99_2785486_19"/>
            <w:bookmarkEnd w:id="73"/>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2024 (Successor) and December 31, 2023 (Successor), Aera LLCs long term debt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271"/>
        <w:gridCol w:w="145"/>
        <w:gridCol w:w="140"/>
        <w:gridCol w:w="875"/>
        <w:gridCol w:w="155"/>
        <w:gridCol w:w="140"/>
        <w:gridCol w:w="195"/>
        <w:gridCol w:w="1220"/>
        <w:gridCol w:w="155"/>
        <w:gridCol w:w="140"/>
        <w:gridCol w:w="60"/>
        <w:gridCol w:w="2681"/>
        <w:gridCol w:w="60"/>
        <w:gridCol w:w="81"/>
        <w:gridCol w:w="60"/>
        <w:gridCol w:w="1943"/>
        <w:gridCol w:w="67"/>
      </w:tblGrid>
      <w:tr>
        <w:trPr/>
        <w:tc>
          <w:tcPr>
            <w:tcW w:w="127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271" w:type="dxa"/>
            <w:tcBorders/>
            <w:vAlign w:val="bottom"/>
          </w:tcPr>
          <w:p>
            <w:pPr>
              <w:pStyle w:val="TableContents"/>
              <w:bidi w:val="0"/>
              <w:spacing w:before="0" w:after="283"/>
              <w:jc w:val="left"/>
              <w:rPr>
                <w:i/>
              </w:rPr>
            </w:pPr>
            <w:r>
              <w:rPr>
                <w:i/>
              </w:rPr>
              <w:t>(in thousands of dollars)</w:t>
            </w:r>
          </w:p>
        </w:tc>
        <w:tc>
          <w:tcPr>
            <w:tcW w:w="145" w:type="dxa"/>
            <w:tcBorders/>
            <w:vAlign w:val="bottom"/>
          </w:tcPr>
          <w:p>
            <w:pPr>
              <w:pStyle w:val="TableContents"/>
              <w:bidi w:val="0"/>
              <w:spacing w:before="0" w:after="283"/>
              <w:jc w:val="left"/>
              <w:rPr/>
            </w:pPr>
            <w:r>
              <w:rPr/>
              <w:t>  </w:t>
            </w:r>
          </w:p>
        </w:tc>
        <w:tc>
          <w:tcPr>
            <w:tcW w:w="27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Successes</w:t>
            </w:r>
          </w:p>
        </w:tc>
        <w:tc>
          <w:tcPr>
            <w:tcW w:w="155" w:type="dxa"/>
            <w:tcBorders/>
            <w:vAlign w:val="bottom"/>
          </w:tcPr>
          <w:p>
            <w:pPr>
              <w:pStyle w:val="TableContents"/>
              <w:bidi w:val="0"/>
              <w:spacing w:before="0" w:after="283"/>
              <w:jc w:val="left"/>
              <w:rPr/>
            </w:pPr>
            <w:r>
              <w:rPr/>
              <w:t> </w:t>
            </w:r>
          </w:p>
        </w:tc>
        <w:tc>
          <w:tcPr>
            <w:tcW w:w="140" w:type="dxa"/>
            <w:vMerge w:val="restart"/>
            <w:tcBorders/>
            <w:vAlign w:val="bottom"/>
          </w:tcPr>
          <w:p>
            <w:pPr>
              <w:pStyle w:val="TableContents"/>
              <w:bidi w:val="0"/>
              <w:spacing w:before="0" w:after="283"/>
              <w:jc w:val="left"/>
              <w:rPr/>
            </w:pPr>
            <w:r>
              <w:rPr/>
              <w:t>  </w:t>
            </w:r>
          </w:p>
        </w:tc>
        <w:tc>
          <w:tcPr>
            <w:tcW w:w="274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60" w:type="dxa"/>
            <w:vMerge w:val="restart"/>
            <w:tcBorders/>
            <w:vAlign w:val="bottom"/>
          </w:tcPr>
          <w:p>
            <w:pPr>
              <w:pStyle w:val="TableContents"/>
              <w:bidi w:val="0"/>
              <w:spacing w:before="0" w:after="283"/>
              <w:jc w:val="left"/>
              <w:rPr/>
            </w:pPr>
            <w:r>
              <w:rPr/>
              <w:t> </w:t>
            </w:r>
          </w:p>
        </w:tc>
        <w:tc>
          <w:tcPr>
            <w:tcW w:w="81" w:type="dxa"/>
            <w:vMerge w:val="restart"/>
            <w:tcBorders/>
            <w:vAlign w:val="bottom"/>
          </w:tcPr>
          <w:p>
            <w:pPr>
              <w:pStyle w:val="TableContents"/>
              <w:bidi w:val="0"/>
              <w:spacing w:before="0" w:after="283"/>
              <w:jc w:val="left"/>
              <w:rPr/>
            </w:pPr>
            <w:r>
              <w:rPr/>
              <w:t> </w:t>
            </w:r>
          </w:p>
        </w:tc>
        <w:tc>
          <w:tcPr>
            <w:tcW w:w="200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7" w:type="dxa"/>
            <w:vMerge w:val="restart"/>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 31,</w:t>
              <w:br/>
              <w:t>2024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140" w:type="dxa"/>
            <w:vMerge w:val="continue"/>
            <w:tcBorders/>
            <w:vAlign w:val="bottom"/>
          </w:tcPr>
          <w:p>
            <w:pPr>
              <w:pStyle w:val="Normal"/>
              <w:bidi w:val="0"/>
              <w:jc w:val="left"/>
              <w:rPr/>
            </w:pPr>
            <w:r>
              <w:rPr/>
            </w:r>
          </w:p>
        </w:tc>
        <w:tc>
          <w:tcPr>
            <w:tcW w:w="274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1" w:type="dxa"/>
            <w:vMerge w:val="continue"/>
            <w:tcBorders>
              <w:bottom w:val="single" w:sz="8" w:space="0" w:color="000000"/>
            </w:tcBorders>
            <w:tcMar>
              <w:bottom w:w="28" w:type="dxa"/>
            </w:tcMar>
            <w:vAlign w:val="bottom"/>
          </w:tcPr>
          <w:p>
            <w:pPr>
              <w:pStyle w:val="Normal"/>
              <w:bidi w:val="0"/>
              <w:jc w:val="left"/>
              <w:rPr/>
            </w:pPr>
            <w:r>
              <w:rPr/>
            </w:r>
          </w:p>
        </w:tc>
        <w:tc>
          <w:tcPr>
            <w:tcW w:w="2003" w:type="dxa"/>
            <w:gridSpan w:val="2"/>
            <w:vMerge w:val="continue"/>
            <w:tcBorders/>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c>
          <w:tcPr>
            <w:tcW w:w="1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400,000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400,000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81" w:type="dxa"/>
            <w:tcBorders/>
            <w:shd w:fill="CCEEFF" w:val="clear"/>
            <w:vAlign w:val="bottom"/>
          </w:tcPr>
          <w:p>
            <w:pPr>
              <w:pStyle w:val="TableContents"/>
              <w:bidi w:val="0"/>
              <w:spacing w:before="0" w:after="283"/>
              <w:jc w:val="left"/>
              <w:rPr/>
            </w:pPr>
            <w:r>
              <w:rPr/>
              <w:t>SOFR plus 3.50%-4.50%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3" w:type="dxa"/>
            <w:tcBorders/>
            <w:shd w:fill="CCEEFF" w:val="clear"/>
            <w:vAlign w:val="bottom"/>
          </w:tcPr>
          <w:p>
            <w:pPr>
              <w:pStyle w:val="TableContents"/>
              <w:bidi w:val="0"/>
              <w:spacing w:before="0" w:after="283"/>
              <w:jc w:val="center"/>
              <w:rPr/>
            </w:pPr>
            <w:r>
              <w:rPr/>
              <w:t>August 28, 2026 (2)</w:t>
            </w:r>
          </w:p>
        </w:tc>
        <w:tc>
          <w:tcPr>
            <w:tcW w:w="67" w:type="dxa"/>
            <w:tcBorders/>
            <w:shd w:fill="CCEEFF" w:val="clear"/>
            <w:vAlign w:val="bottom"/>
          </w:tcPr>
          <w:p>
            <w:pPr>
              <w:pStyle w:val="TableContents"/>
              <w:bidi w:val="0"/>
              <w:spacing w:before="0" w:after="283"/>
              <w:jc w:val="left"/>
              <w:rPr/>
            </w:pPr>
            <w:r>
              <w:rPr/>
              <w:t> </w:t>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1" w:type="dxa"/>
            <w:tcBorders/>
            <w:vAlign w:val="bottom"/>
          </w:tcPr>
          <w:p>
            <w:pPr>
              <w:pStyle w:val="TableContents"/>
              <w:bidi w:val="0"/>
              <w:spacing w:before="0" w:after="283"/>
              <w:jc w:val="left"/>
              <w:rPr/>
            </w:pPr>
            <w:r>
              <w:rPr/>
              <w:t>ABR plus 2.50%-3.50% (1)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(21,565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(23,780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1" w:type="dxa"/>
            <w:tcBorders/>
            <w:vAlign w:val="bottom"/>
          </w:tcPr>
          <w:p>
            <w:pPr>
              <w:pStyle w:val="TableContents"/>
              <w:bidi w:val="0"/>
              <w:spacing w:before="0" w:after="283"/>
              <w:jc w:val="center"/>
              <w:rPr/>
            </w:pPr>
            <w:r>
              <w:rPr/>
              <w:t>14.5%</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3" w:type="dxa"/>
            <w:tcBorders/>
            <w:vAlign w:val="bottom"/>
          </w:tcPr>
          <w:p>
            <w:pPr>
              <w:pStyle w:val="TableContents"/>
              <w:bidi w:val="0"/>
              <w:spacing w:before="0" w:after="283"/>
              <w:jc w:val="center"/>
              <w:rPr/>
            </w:pPr>
            <w:r>
              <w:rPr/>
              <w:t>February 28, 2029</w:t>
            </w:r>
          </w:p>
        </w:tc>
        <w:tc>
          <w:tcPr>
            <w:tcW w:w="67" w:type="dxa"/>
            <w:tcBorders/>
            <w:vAlign w:val="bottom"/>
          </w:tcPr>
          <w:p>
            <w:pPr>
              <w:pStyle w:val="TableContents"/>
              <w:bidi w:val="0"/>
              <w:spacing w:before="0" w:after="283"/>
              <w:jc w:val="left"/>
              <w:rPr/>
            </w:pPr>
            <w:r>
              <w:rPr/>
              <w:t> </w:t>
            </w:r>
          </w:p>
        </w:tc>
      </w:tr>
      <w:tr>
        <w:trPr/>
        <w:tc>
          <w:tcPr>
            <w:tcW w:w="1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(13,852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(14,800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271"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914,584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911,419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271"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271"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debt, net of current portion</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814,584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811,419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271"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4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 the one-month SOFR rate plus 1%. Term SOFR loans bear interest at term SOFR, plus an additional 10 basis points per annum credit spread adjustment. The applicable margin is adjusted based on the commitment utilization percentage and will vary from (i) in the case of ABR loans, 2.50% to 3.5% and (ii) in the case of the SOFR loans, 3.50% to 4.5%.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RBL Facility is subject to a prepayment of principal if there is a reduction in the borrowing base as a result of a scheduled redetermination or a termination or reduction of the original aggregate commitment.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Maturities of long term debt as of March 31, 2024 (Successor),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73"/>
        <w:gridCol w:w="325"/>
        <w:gridCol w:w="696"/>
        <w:gridCol w:w="696"/>
        <w:gridCol w:w="60"/>
        <w:gridCol w:w="325"/>
        <w:gridCol w:w="177"/>
        <w:gridCol w:w="1028"/>
        <w:gridCol w:w="60"/>
        <w:gridCol w:w="325"/>
        <w:gridCol w:w="140"/>
        <w:gridCol w:w="805"/>
        <w:gridCol w:w="62"/>
      </w:tblGrid>
      <w:tr>
        <w:trPr/>
        <w:tc>
          <w:tcPr>
            <w:tcW w:w="3873"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73" w:type="dxa"/>
            <w:tcBorders/>
            <w:vAlign w:val="bottom"/>
          </w:tcPr>
          <w:p>
            <w:pPr>
              <w:pStyle w:val="TableContents"/>
              <w:bidi w:val="0"/>
              <w:spacing w:before="0" w:after="283"/>
              <w:jc w:val="left"/>
              <w:rPr>
                <w:i/>
              </w:rPr>
            </w:pPr>
            <w:r>
              <w:rPr>
                <w:i/>
              </w:rPr>
              <w:t>(in thousands of dollars)</w:t>
            </w:r>
          </w:p>
        </w:tc>
        <w:tc>
          <w:tcPr>
            <w:tcW w:w="325" w:type="dxa"/>
            <w:tcBorders/>
            <w:vAlign w:val="bottom"/>
          </w:tcPr>
          <w:p>
            <w:pPr>
              <w:pStyle w:val="TableContents"/>
              <w:bidi w:val="0"/>
              <w:spacing w:before="0" w:after="283"/>
              <w:jc w:val="left"/>
              <w:rPr/>
            </w:pPr>
            <w:r>
              <w:rPr/>
              <w:t>  </w:t>
            </w:r>
          </w:p>
        </w:tc>
        <w:tc>
          <w:tcPr>
            <w:tcW w:w="43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43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RBL Facility</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Loan</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2"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43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 thousands of dollars)</w:t>
            </w:r>
          </w:p>
        </w:tc>
        <w:tc>
          <w:tcPr>
            <w:tcW w:w="62"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25"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100,000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4013"/>
        <w:gridCol w:w="286"/>
        <w:gridCol w:w="200"/>
        <w:gridCol w:w="1165"/>
        <w:gridCol w:w="60"/>
        <w:gridCol w:w="286"/>
        <w:gridCol w:w="184"/>
        <w:gridCol w:w="1019"/>
        <w:gridCol w:w="60"/>
        <w:gridCol w:w="286"/>
        <w:gridCol w:w="140"/>
        <w:gridCol w:w="807"/>
        <w:gridCol w:w="66"/>
      </w:tblGrid>
      <w:tr>
        <w:trPr/>
        <w:tc>
          <w:tcPr>
            <w:tcW w:w="4013"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i/>
              </w:rPr>
            </w:pPr>
            <w:r>
              <w:rPr>
                <w:i/>
              </w:rPr>
              <w:t>(in thousands of dollars)</w:t>
            </w:r>
          </w:p>
        </w:tc>
        <w:tc>
          <w:tcPr>
            <w:tcW w:w="286" w:type="dxa"/>
            <w:tcBorders/>
            <w:vAlign w:val="bottom"/>
          </w:tcPr>
          <w:p>
            <w:pPr>
              <w:pStyle w:val="TableContents"/>
              <w:bidi w:val="0"/>
              <w:spacing w:before="0" w:after="283"/>
              <w:jc w:val="left"/>
              <w:rPr/>
            </w:pPr>
            <w:r>
              <w:rPr/>
              <w:t>  </w:t>
            </w:r>
          </w:p>
        </w:tc>
        <w:tc>
          <w:tcPr>
            <w:tcW w:w="42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6"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42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6"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RBL Facility</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Loan</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42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 thousands of dollars)</w:t>
            </w:r>
          </w:p>
        </w:tc>
        <w:tc>
          <w:tcPr>
            <w:tcW w:w="66"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8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500,000</w:t>
            </w:r>
          </w:p>
        </w:tc>
        <w:tc>
          <w:tcPr>
            <w:tcW w:w="66"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8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8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50,000</w:t>
            </w:r>
          </w:p>
        </w:tc>
        <w:tc>
          <w:tcPr>
            <w:tcW w:w="66"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long term debt</w:t>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550,000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950,000</w:t>
            </w:r>
          </w:p>
        </w:tc>
        <w:tc>
          <w:tcPr>
            <w:tcW w:w="66"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Deferred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Aera LLC incurred legal and bank fees related to the issuance of debt. As of March 31, 2024 (Successor) and December 31, 2023 (Successor), debt issuance costs for the RBL facility in the amount of $21.6 million and $23.8 million, respectively, and the Term Loan in the amount of $13.9 million and $14.8 million, respectively, were reported in Long term debt, net on the Condensed Consolidated and Combined Balance Sheets, net of amortization. For the Successor year ended December 31, 2023, Aera LLC incurred approximately $31.2 million of legal and bank fees related to the issuance of the RBL Facility and $16.9 million related to the issuance of the Term Loan. For the Successor year three month period ended March 31, 2024, Aera LLC did not incur any additional legal and bank fees related to the issuance of the RBL Facility or the Term Loan. </w:t>
      </w:r>
    </w:p>
    <w:p>
      <w:pPr>
        <w:pStyle w:val="TextBody"/>
        <w:bidi w:val="0"/>
        <w:spacing w:before="240" w:after="0"/>
        <w:jc w:val="left"/>
        <w:rPr>
          <w:rFonts w:ascii="Times New Roman" w:hAnsi="Times New Roman"/>
          <w:sz w:val="20"/>
        </w:rPr>
      </w:pPr>
      <w:r>
        <w:rPr>
          <w:rFonts w:ascii="Times New Roman" w:hAnsi="Times New Roman"/>
          <w:sz w:val="20"/>
        </w:rPr>
        <w:t xml:space="preserve">The debt issuance costs for the RBL Facility and Term Loan are amortized using straight-line method which approximates the effective rate method over the term of the loans. The amortization of debt issuance costs for the Successor three month periods ended March 31, 2024 and 2023, was approximately $3.2 million and $1.0 million, respectively, and is presented in Interest expense on the Condensed Consolidated and Combined Statements of Operations and Other Comprehensive Income (Loss). For the Predecessor 58-day period ended February 27, 2023, there was no amortization of debt issuance costs. </w:t>
      </w:r>
    </w:p>
    <w:p>
      <w:pPr>
        <w:pStyle w:val="TextBody"/>
        <w:bidi w:val="0"/>
        <w:spacing w:before="360" w:after="0"/>
        <w:jc w:val="left"/>
        <w:rPr>
          <w:rFonts w:ascii="Times New Roman" w:hAnsi="Times New Roman"/>
          <w:b/>
          <w:sz w:val="20"/>
        </w:rPr>
      </w:pPr>
      <w:r>
        <w:rPr>
          <w:rFonts w:ascii="Times New Roman" w:hAnsi="Times New Roman"/>
          <w:b/>
          <w:sz w:val="20"/>
        </w:rPr>
        <w:t xml:space="preserve">RBL Facility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March 31, 2024 (Successor) and December 31, 2023 (Successor), Aera LLC had approximately $275 million available for borrowing under the RBL Facility and no outstanding letters of credit.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on the Condensed Consolidated and Combined Statement of Operations and Other Comprehensive Income (Loss) is comprised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24"/>
        <w:gridCol w:w="320"/>
        <w:gridCol w:w="274"/>
        <w:gridCol w:w="1341"/>
        <w:gridCol w:w="155"/>
        <w:gridCol w:w="299"/>
        <w:gridCol w:w="322"/>
        <w:gridCol w:w="1295"/>
        <w:gridCol w:w="60"/>
        <w:gridCol w:w="320"/>
        <w:gridCol w:w="947"/>
        <w:gridCol w:w="949"/>
        <w:gridCol w:w="66"/>
      </w:tblGrid>
      <w:tr>
        <w:trPr/>
        <w:tc>
          <w:tcPr>
            <w:tcW w:w="222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24" w:type="dxa"/>
            <w:tcBorders/>
            <w:vAlign w:val="bottom"/>
          </w:tcPr>
          <w:p>
            <w:pPr>
              <w:pStyle w:val="TableContents"/>
              <w:bidi w:val="0"/>
              <w:spacing w:before="0" w:after="283"/>
              <w:jc w:val="left"/>
              <w:rPr>
                <w:i/>
              </w:rPr>
            </w:pPr>
            <w:r>
              <w:rPr>
                <w:i/>
              </w:rPr>
              <w:t>(in thousands of dollars)</w:t>
            </w:r>
          </w:p>
        </w:tc>
        <w:tc>
          <w:tcPr>
            <w:tcW w:w="320" w:type="dxa"/>
            <w:tcBorders/>
            <w:vAlign w:val="bottom"/>
          </w:tcPr>
          <w:p>
            <w:pPr>
              <w:pStyle w:val="TableContents"/>
              <w:bidi w:val="0"/>
              <w:spacing w:before="0" w:after="283"/>
              <w:jc w:val="left"/>
              <w:rPr/>
            </w:pPr>
            <w:r>
              <w:rPr/>
              <w:t>  </w:t>
            </w:r>
          </w:p>
        </w:tc>
        <w:tc>
          <w:tcPr>
            <w:tcW w:w="36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6" w:type="dxa"/>
            <w:tcBorders/>
            <w:vAlign w:val="bottom"/>
          </w:tcPr>
          <w:p>
            <w:pPr>
              <w:pStyle w:val="TableContents"/>
              <w:bidi w:val="0"/>
              <w:spacing w:before="0" w:after="283"/>
              <w:jc w:val="left"/>
              <w:rPr/>
            </w:pPr>
            <w:r>
              <w:rPr/>
              <w:t> </w:t>
            </w:r>
          </w:p>
        </w:tc>
      </w:tr>
      <w:tr>
        <w:trPr/>
        <w:tc>
          <w:tcPr>
            <w:tcW w:w="222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2024</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 Ended</w:t>
              <w:br/>
              <w:t>February 27, 2023</w:t>
            </w:r>
          </w:p>
        </w:tc>
        <w:tc>
          <w:tcPr>
            <w:tcW w:w="66" w:type="dxa"/>
            <w:tcBorders/>
            <w:vAlign w:val="bottom"/>
          </w:tcPr>
          <w:p>
            <w:pPr>
              <w:pStyle w:val="TableContents"/>
              <w:bidi w:val="0"/>
              <w:spacing w:before="0" w:after="283"/>
              <w:jc w:val="left"/>
              <w:rPr/>
            </w:pPr>
            <w:r>
              <w:rPr/>
              <w:t> </w:t>
            </w:r>
          </w:p>
        </w:tc>
      </w:tr>
      <w:tr>
        <w:trPr/>
        <w:tc>
          <w:tcPr>
            <w:tcW w:w="222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962" w:type="dxa"/>
            <w:gridSpan w:val="10"/>
            <w:tcBorders/>
            <w:vAlign w:val="bottom"/>
          </w:tcPr>
          <w:p>
            <w:pPr>
              <w:pStyle w:val="TableContents"/>
              <w:bidi w:val="0"/>
              <w:spacing w:before="0" w:after="283"/>
              <w:jc w:val="center"/>
              <w:rPr>
                <w:b/>
              </w:rPr>
            </w:pPr>
            <w:r>
              <w:rPr>
                <w:b/>
              </w:rPr>
              <w:t>(in thousands of dollars)</w:t>
            </w:r>
          </w:p>
        </w:tc>
        <w:tc>
          <w:tcPr>
            <w:tcW w:w="66" w:type="dxa"/>
            <w:tcBorders/>
            <w:vAlign w:val="bottom"/>
          </w:tcPr>
          <w:p>
            <w:pPr>
              <w:pStyle w:val="TableContents"/>
              <w:bidi w:val="0"/>
              <w:spacing w:before="0" w:after="283"/>
              <w:jc w:val="left"/>
              <w:rPr/>
            </w:pPr>
            <w:r>
              <w:rPr/>
              <w:t> </w:t>
            </w:r>
          </w:p>
        </w:tc>
      </w:tr>
      <w:tr>
        <w:trPr/>
        <w:tc>
          <w:tcPr>
            <w:tcW w:w="22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2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30,426</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8,708</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22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interest</w:t>
            </w:r>
          </w:p>
        </w:tc>
        <w:tc>
          <w:tcPr>
            <w:tcW w:w="32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(4,114</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2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32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3,164</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963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224" w:type="dxa"/>
            <w:tcBorders/>
          </w:tcPr>
          <w:p>
            <w:pPr>
              <w:pStyle w:val="TableContents"/>
              <w:bidi w:val="0"/>
              <w:spacing w:before="0" w:after="0"/>
              <w:jc w:val="left"/>
              <w:rPr>
                <w:rFonts w:ascii="Times New Roman" w:hAnsi="Times New Roman"/>
                <w:sz w:val="20"/>
              </w:rPr>
            </w:pPr>
            <w:r>
              <w:rPr>
                <w:rFonts w:ascii="Times New Roman" w:hAnsi="Times New Roman"/>
                <w:sz w:val="20"/>
              </w:rPr>
              <w:t>Unused commitment fees</w:t>
            </w:r>
          </w:p>
        </w:tc>
        <w:tc>
          <w:tcPr>
            <w:tcW w:w="32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608</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228</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22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2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p>
        </w:tc>
        <w:tc>
          <w:tcPr>
            <w:tcW w:w="32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30,084</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9,899</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22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Borrowing Base </w:t>
      </w:r>
    </w:p>
    <w:p>
      <w:pPr>
        <w:pStyle w:val="TextBody"/>
        <w:bidi w:val="0"/>
        <w:spacing w:before="120" w:after="0"/>
        <w:jc w:val="left"/>
        <w:rPr>
          <w:rFonts w:ascii="Times New Roman" w:hAnsi="Times New Roman"/>
          <w:sz w:val="20"/>
        </w:rPr>
      </w:pPr>
      <w:r>
        <w:rPr>
          <w:rFonts w:ascii="Times New Roman" w:hAnsi="Times New Roman"/>
          <w:sz w:val="20"/>
        </w:rPr>
        <w:t xml:space="preserve">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There was no scheduled redetermination for the three month period ended March 31, 2024. There was a semi-annual redetermination made in April 2024 resulting in a decrease in the borrowing base to $605 million and became effective April 22, 2024.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and 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(Successor) and December 31, 2023 (Successor), we were in compliance with all financial covenants under the RBL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borrowed $600 million under a six-year Term Loan agreement (Term Loan) secured by a second-priority lien on a substantial majority of the Aera Companies assets. The Term Loan matures in February 2029 and bears interest at a rate of 14.5%. </w:t>
      </w:r>
    </w:p>
    <w:p>
      <w:pPr>
        <w:pStyle w:val="TextBody"/>
        <w:bidi w:val="0"/>
        <w:spacing w:before="240" w:after="0"/>
        <w:jc w:val="left"/>
        <w:rPr>
          <w:rFonts w:ascii="Times New Roman" w:hAnsi="Times New Roman"/>
          <w:sz w:val="20"/>
        </w:rPr>
      </w:pPr>
      <w:r>
        <w:rPr>
          <w:rFonts w:ascii="Times New Roman" w:hAnsi="Times New Roman"/>
          <w:sz w:val="20"/>
        </w:rPr>
        <w:t xml:space="preserve">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As of March 31, 2024 (Successor) and December 31, 2023 (Successor), Aera Companies were in compliance with the Term Loan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74" w:name="ex99_2785486_20"/>
            <w:bookmarkEnd w:id="74"/>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GGRP Companies will receive 21.2 million shares of CRCs common stock, equivalent to approximately 22.9% of CRCs fully diluted shares. The CRC Merger is expected to close in the second half of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TextBody"/>
        <w:bidi w:val="0"/>
        <w:spacing w:before="0" w:after="0"/>
        <w:jc w:val="right"/>
        <w:rPr>
          <w:rFonts w:ascii="Times New Roman" w:hAnsi="Times New Roman"/>
          <w:b/>
          <w:sz w:val="20"/>
        </w:rPr>
      </w:pPr>
      <w:bookmarkStart w:id="75" w:name="d785486dex993.htm"/>
      <w:bookmarkStart w:id="76" w:name="ksd785486dex993"/>
      <w:bookmarkEnd w:id="75"/>
      <w:bookmarkEnd w:id="76"/>
      <w:r>
        <w:rPr>
          <w:rFonts w:ascii="Times New Roman" w:hAnsi="Times New Roman"/>
          <w:b/>
          <w:sz w:val="20"/>
        </w:rPr>
        <w:t xml:space="preserve">Exhibit 99.3 </w:t>
      </w:r>
      <w:r>
        <w:br w:type="page"/>
      </w:r>
    </w:p>
    <w:p>
      <w:pPr>
        <w:pStyle w:val="TextBody"/>
        <w:bidi w:val="0"/>
        <w:spacing w:before="0" w:after="0"/>
        <w:jc w:val="left"/>
        <w:rPr/>
      </w:pPr>
      <w:r>
        <w:rPr/>
        <w:t> </w:t>
      </w:r>
    </w:p>
    <w:tbl>
      <w:tblPr>
        <w:tblW w:w="11491" w:type="dxa"/>
        <w:jc w:val="center"/>
        <w:tblInd w:w="0" w:type="dxa"/>
        <w:tblLayout w:type="fixed"/>
        <w:tblCellMar>
          <w:top w:w="0" w:type="dxa"/>
          <w:left w:w="0" w:type="dxa"/>
          <w:bottom w:w="0" w:type="dxa"/>
          <w:right w:w="0" w:type="dxa"/>
        </w:tblCellMar>
      </w:tblPr>
      <w:tblGrid>
        <w:gridCol w:w="4013"/>
        <w:gridCol w:w="120"/>
        <w:gridCol w:w="23"/>
        <w:gridCol w:w="60"/>
        <w:gridCol w:w="2195"/>
        <w:gridCol w:w="60"/>
        <w:gridCol w:w="2585"/>
        <w:gridCol w:w="60"/>
        <w:gridCol w:w="2375"/>
      </w:tblGrid>
      <w:tr>
        <w:trPr/>
        <w:tc>
          <w:tcPr>
            <w:tcW w:w="40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4013" w:type="dxa"/>
            <w:tcBorders/>
          </w:tcPr>
          <w:p>
            <w:pPr>
              <w:pStyle w:val="TableContents"/>
              <w:bidi w:val="0"/>
              <w:spacing w:before="0" w:after="283"/>
              <w:jc w:val="left"/>
              <w:rPr/>
            </w:pPr>
            <w:r>
              <w:rPr/>
              <w:drawing>
                <wp:inline distT="0" distB="0" distL="0" distR="0">
                  <wp:extent cx="2548255" cy="586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2"/>
                          <a:stretch>
                            <a:fillRect/>
                          </a:stretch>
                        </pic:blipFill>
                        <pic:spPr bwMode="auto">
                          <a:xfrm>
                            <a:off x="0" y="0"/>
                            <a:ext cx="2548255" cy="58674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HAIRMAN</w:t>
            </w:r>
          </w:p>
          <w:p>
            <w:pPr>
              <w:pStyle w:val="TableContents"/>
              <w:bidi w:val="0"/>
              <w:spacing w:before="0" w:after="0"/>
              <w:jc w:val="right"/>
              <w:rPr>
                <w:rFonts w:ascii="Times New Roman" w:hAnsi="Times New Roman"/>
                <w:sz w:val="14"/>
              </w:rPr>
            </w:pPr>
            <w:r>
              <w:rPr>
                <w:rFonts w:ascii="Times New Roman" w:hAnsi="Times New Roman"/>
                <w:sz w:val="14"/>
              </w:rPr>
              <w:t>C.H. (S</w:t>
            </w:r>
            <w:r>
              <w:rPr>
                <w:rFonts w:ascii="Times New Roman" w:hAnsi="Times New Roman"/>
                <w:sz w:val="20"/>
              </w:rPr>
              <w:t>COTT</w:t>
            </w:r>
            <w:r>
              <w:rPr>
                <w:rFonts w:ascii="Times New Roman" w:hAnsi="Times New Roman"/>
                <w:sz w:val="14"/>
              </w:rPr>
              <w:t>) R</w:t>
            </w:r>
            <w:r>
              <w:rPr>
                <w:rFonts w:ascii="Times New Roman" w:hAnsi="Times New Roman"/>
                <w:sz w:val="20"/>
              </w:rPr>
              <w:t>EES</w:t>
            </w:r>
            <w:r>
              <w:rPr>
                <w:rFonts w:ascii="Times New Roman" w:hAnsi="Times New Roman"/>
                <w:sz w:val="14"/>
              </w:rPr>
              <w:t xml:space="preserve"> III</w:t>
            </w:r>
          </w:p>
          <w:p>
            <w:pPr>
              <w:pStyle w:val="TableContents"/>
              <w:bidi w:val="0"/>
              <w:spacing w:before="0" w:after="20"/>
              <w:jc w:val="right"/>
              <w:rPr>
                <w:rFonts w:ascii="Times New Roman" w:hAnsi="Times New Roman"/>
                <w:sz w:val="14"/>
              </w:rPr>
            </w:pPr>
            <w:r>
              <w:rPr>
                <w:rFonts w:ascii="Times New Roman" w:hAnsi="Times New Roman"/>
                <w:sz w:val="14"/>
              </w:rPr>
              <w:t>D</w:t>
            </w:r>
            <w:r>
              <w:rPr>
                <w:rFonts w:ascii="Times New Roman" w:hAnsi="Times New Roman"/>
                <w:sz w:val="20"/>
              </w:rPr>
              <w:t>ANNY</w:t>
            </w:r>
            <w:r>
              <w:rPr>
                <w:rFonts w:ascii="Times New Roman" w:hAnsi="Times New Roman"/>
                <w:sz w:val="14"/>
              </w:rPr>
              <w:t xml:space="preserve"> D. S</w:t>
            </w:r>
            <w:r>
              <w:rPr>
                <w:rFonts w:ascii="Times New Roman" w:hAnsi="Times New Roman"/>
                <w:sz w:val="20"/>
              </w:rPr>
              <w:t>IMMONS</w:t>
            </w:r>
          </w:p>
        </w:tc>
        <w:tc>
          <w:tcPr>
            <w:tcW w:w="60" w:type="dxa"/>
            <w:tcBorders/>
            <w:vAlign w:val="bottom"/>
          </w:tcPr>
          <w:p>
            <w:pPr>
              <w:pStyle w:val="TableContents"/>
              <w:bidi w:val="0"/>
              <w:spacing w:before="0" w:after="283"/>
              <w:jc w:val="left"/>
              <w:rPr/>
            </w:pPr>
            <w:r>
              <w:rPr/>
              <w:t> </w:t>
            </w:r>
          </w:p>
        </w:tc>
        <w:tc>
          <w:tcPr>
            <w:tcW w:w="2585" w:type="dxa"/>
            <w:tcBorders/>
          </w:tcPr>
          <w:p>
            <w:pPr>
              <w:pStyle w:val="TableContents"/>
              <w:bidi w:val="0"/>
              <w:spacing w:before="0" w:after="0"/>
              <w:jc w:val="right"/>
              <w:rPr>
                <w:rFonts w:ascii="Times New Roman" w:hAnsi="Times New Roman"/>
                <w:b/>
                <w:sz w:val="14"/>
              </w:rPr>
            </w:pPr>
            <w:r>
              <w:rPr>
                <w:rFonts w:ascii="Times New Roman" w:hAnsi="Times New Roman"/>
                <w:b/>
                <w:sz w:val="14"/>
              </w:rPr>
              <w:t>C</w:t>
            </w:r>
            <w:r>
              <w:rPr>
                <w:rFonts w:ascii="Times New Roman" w:hAnsi="Times New Roman"/>
                <w:b/>
                <w:sz w:val="20"/>
              </w:rPr>
              <w:t>HIEF</w:t>
            </w:r>
            <w:r>
              <w:rPr>
                <w:rFonts w:ascii="Times New Roman" w:hAnsi="Times New Roman"/>
                <w:b/>
                <w:sz w:val="14"/>
              </w:rPr>
              <w:t> E</w:t>
            </w:r>
            <w:r>
              <w:rPr>
                <w:rFonts w:ascii="Times New Roman" w:hAnsi="Times New Roman"/>
                <w:b/>
                <w:sz w:val="20"/>
              </w:rPr>
              <w:t>XECUTIVE</w:t>
            </w:r>
            <w:r>
              <w:rPr>
                <w:rFonts w:ascii="Times New Roman" w:hAnsi="Times New Roman"/>
                <w:b/>
                <w:sz w:val="14"/>
              </w:rPr>
              <w:t> O</w:t>
            </w:r>
            <w:r>
              <w:rPr>
                <w:rFonts w:ascii="Times New Roman" w:hAnsi="Times New Roman"/>
                <w:b/>
                <w:sz w:val="20"/>
              </w:rPr>
              <w:t>FFICER</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ICHARD</w:t>
            </w:r>
            <w:r>
              <w:rPr>
                <w:rFonts w:ascii="Times New Roman" w:hAnsi="Times New Roman"/>
                <w:sz w:val="14"/>
              </w:rPr>
              <w:t xml:space="preserve"> B. T</w:t>
            </w:r>
            <w:r>
              <w:rPr>
                <w:rFonts w:ascii="Times New Roman" w:hAnsi="Times New Roman"/>
                <w:sz w:val="20"/>
              </w:rPr>
              <w:t>ALLEY</w:t>
            </w:r>
            <w:r>
              <w:rPr>
                <w:rFonts w:ascii="Times New Roman" w:hAnsi="Times New Roman"/>
                <w:sz w:val="14"/>
              </w:rPr>
              <w:t>, J</w:t>
            </w:r>
            <w:r>
              <w:rPr>
                <w:rFonts w:ascii="Times New Roman" w:hAnsi="Times New Roman"/>
                <w:sz w:val="20"/>
              </w:rPr>
              <w:t>R</w:t>
            </w:r>
            <w:r>
              <w:rPr>
                <w:rFonts w:ascii="Times New Roman" w:hAnsi="Times New Roman"/>
                <w:sz w:val="14"/>
              </w:rPr>
              <w:t>.</w:t>
            </w:r>
          </w:p>
          <w:p>
            <w:pPr>
              <w:pStyle w:val="TableContents"/>
              <w:bidi w:val="0"/>
              <w:spacing w:before="0" w:after="0"/>
              <w:jc w:val="right"/>
              <w:rPr>
                <w:rFonts w:ascii="Times New Roman" w:hAnsi="Times New Roman"/>
                <w:b/>
                <w:sz w:val="14"/>
              </w:rPr>
            </w:pPr>
            <w:r>
              <w:rPr>
                <w:rFonts w:ascii="Times New Roman" w:hAnsi="Times New Roman"/>
                <w:b/>
                <w:sz w:val="14"/>
              </w:rPr>
              <w:t>P</w:t>
            </w:r>
            <w:r>
              <w:rPr>
                <w:rFonts w:ascii="Times New Roman" w:hAnsi="Times New Roman"/>
                <w:b/>
                <w:sz w:val="20"/>
              </w:rPr>
              <w:t>RESIDENT</w:t>
            </w:r>
            <w:r>
              <w:rPr>
                <w:rFonts w:ascii="Times New Roman" w:hAnsi="Times New Roman"/>
                <w:b/>
                <w:sz w:val="14"/>
              </w:rPr>
              <w:t xml:space="preserve"> &amp; COO</w:t>
            </w:r>
          </w:p>
          <w:p>
            <w:pPr>
              <w:pStyle w:val="TableContents"/>
              <w:bidi w:val="0"/>
              <w:spacing w:before="0" w:after="20"/>
              <w:jc w:val="right"/>
              <w:rPr>
                <w:rFonts w:ascii="Times New Roman" w:hAnsi="Times New Roman"/>
                <w:sz w:val="14"/>
              </w:rPr>
            </w:pPr>
            <w:r>
              <w:rPr>
                <w:rFonts w:ascii="Times New Roman" w:hAnsi="Times New Roman"/>
                <w:sz w:val="14"/>
              </w:rPr>
              <w:t>E</w:t>
            </w:r>
            <w:r>
              <w:rPr>
                <w:rFonts w:ascii="Times New Roman" w:hAnsi="Times New Roman"/>
                <w:sz w:val="20"/>
              </w:rPr>
              <w:t>RIC</w:t>
            </w:r>
            <w:r>
              <w:rPr>
                <w:rFonts w:ascii="Times New Roman" w:hAnsi="Times New Roman"/>
                <w:sz w:val="14"/>
              </w:rPr>
              <w:t xml:space="preserve"> J. S</w:t>
            </w:r>
            <w:r>
              <w:rPr>
                <w:rFonts w:ascii="Times New Roman" w:hAnsi="Times New Roman"/>
                <w:sz w:val="20"/>
              </w:rPr>
              <w:t>TEVENS</w:t>
            </w:r>
          </w:p>
        </w:tc>
        <w:tc>
          <w:tcPr>
            <w:tcW w:w="60" w:type="dxa"/>
            <w:tcBorders/>
            <w:vAlign w:val="bottom"/>
          </w:tcPr>
          <w:p>
            <w:pPr>
              <w:pStyle w:val="TableContents"/>
              <w:bidi w:val="0"/>
              <w:spacing w:before="0" w:after="283"/>
              <w:jc w:val="left"/>
              <w:rPr/>
            </w:pPr>
            <w:r>
              <w:rPr/>
              <w:t> </w:t>
            </w:r>
          </w:p>
        </w:tc>
        <w:tc>
          <w:tcPr>
            <w:tcW w:w="2375"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OMMITTEE</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OBERT</w:t>
            </w:r>
            <w:r>
              <w:rPr>
                <w:rFonts w:ascii="Times New Roman" w:hAnsi="Times New Roman"/>
                <w:sz w:val="14"/>
              </w:rPr>
              <w:t xml:space="preserve"> C. B</w:t>
            </w:r>
            <w:r>
              <w:rPr>
                <w:rFonts w:ascii="Times New Roman" w:hAnsi="Times New Roman"/>
                <w:sz w:val="20"/>
              </w:rPr>
              <w:t>ARG</w:t>
            </w:r>
          </w:p>
          <w:p>
            <w:pPr>
              <w:pStyle w:val="TableContents"/>
              <w:bidi w:val="0"/>
              <w:spacing w:before="0" w:after="0"/>
              <w:jc w:val="right"/>
              <w:rPr>
                <w:rFonts w:ascii="Times New Roman" w:hAnsi="Times New Roman"/>
                <w:sz w:val="14"/>
              </w:rPr>
            </w:pPr>
            <w:r>
              <w:rPr>
                <w:rFonts w:ascii="Times New Roman" w:hAnsi="Times New Roman"/>
                <w:sz w:val="14"/>
              </w:rPr>
              <w:t>P. S</w:t>
            </w:r>
            <w:r>
              <w:rPr>
                <w:rFonts w:ascii="Times New Roman" w:hAnsi="Times New Roman"/>
                <w:sz w:val="20"/>
              </w:rPr>
              <w:t>COTT</w:t>
            </w:r>
            <w:r>
              <w:rPr>
                <w:rFonts w:ascii="Times New Roman" w:hAnsi="Times New Roman"/>
                <w:sz w:val="14"/>
              </w:rPr>
              <w:t xml:space="preserve"> F</w:t>
            </w:r>
            <w:r>
              <w:rPr>
                <w:rFonts w:ascii="Times New Roman" w:hAnsi="Times New Roman"/>
                <w:sz w:val="20"/>
              </w:rPr>
              <w:t>ROST</w:t>
            </w:r>
          </w:p>
          <w:p>
            <w:pPr>
              <w:pStyle w:val="TableContents"/>
              <w:bidi w:val="0"/>
              <w:spacing w:before="0" w:after="0"/>
              <w:jc w:val="right"/>
              <w:rPr>
                <w:rFonts w:ascii="Times New Roman" w:hAnsi="Times New Roman"/>
                <w:sz w:val="14"/>
              </w:rPr>
            </w:pPr>
            <w:r>
              <w:rPr>
                <w:rFonts w:ascii="Times New Roman" w:hAnsi="Times New Roman"/>
                <w:sz w:val="14"/>
              </w:rPr>
              <w:t>J</w:t>
            </w:r>
            <w:r>
              <w:rPr>
                <w:rFonts w:ascii="Times New Roman" w:hAnsi="Times New Roman"/>
                <w:sz w:val="20"/>
              </w:rPr>
              <w:t>OHN</w:t>
            </w:r>
            <w:r>
              <w:rPr>
                <w:rFonts w:ascii="Times New Roman" w:hAnsi="Times New Roman"/>
                <w:sz w:val="14"/>
              </w:rPr>
              <w:t xml:space="preserve"> G. H</w:t>
            </w:r>
            <w:r>
              <w:rPr>
                <w:rFonts w:ascii="Times New Roman" w:hAnsi="Times New Roman"/>
                <w:sz w:val="20"/>
              </w:rPr>
              <w:t>ATTNER</w:t>
            </w:r>
          </w:p>
          <w:p>
            <w:pPr>
              <w:pStyle w:val="TableContents"/>
              <w:bidi w:val="0"/>
              <w:spacing w:before="0" w:after="20"/>
              <w:jc w:val="right"/>
              <w:rPr>
                <w:rFonts w:ascii="Times New Roman" w:hAnsi="Times New Roman"/>
                <w:sz w:val="14"/>
              </w:rPr>
            </w:pPr>
            <w:r>
              <w:rPr>
                <w:rFonts w:ascii="Times New Roman" w:hAnsi="Times New Roman"/>
                <w:sz w:val="14"/>
              </w:rPr>
              <w:t>J</w:t>
            </w:r>
            <w:r>
              <w:rPr>
                <w:rFonts w:ascii="Times New Roman" w:hAnsi="Times New Roman"/>
                <w:sz w:val="20"/>
              </w:rPr>
              <w:t>OSEPH</w:t>
            </w:r>
            <w:r>
              <w:rPr>
                <w:rFonts w:ascii="Times New Roman" w:hAnsi="Times New Roman"/>
                <w:sz w:val="14"/>
              </w:rPr>
              <w:t xml:space="preserve"> J. S</w:t>
            </w:r>
            <w:r>
              <w:rPr>
                <w:rFonts w:ascii="Times New Roman" w:hAnsi="Times New Roman"/>
                <w:sz w:val="20"/>
              </w:rPr>
              <w:t>PELLMAN</w:t>
            </w:r>
          </w:p>
        </w:tc>
      </w:tr>
    </w:tbl>
    <w:p>
      <w:pPr>
        <w:pStyle w:val="TextBody"/>
        <w:pBdr>
          <w:bottom w:val="single" w:sz="2" w:space="1" w:color="000000"/>
        </w:pBdr>
        <w:bidi w:val="0"/>
        <w:spacing w:lineRule="atLeast" w:line="142" w:before="0" w:after="40"/>
        <w:jc w:val="left"/>
        <w:rPr/>
      </w:pPr>
      <w:r>
        <w:rPr/>
        <w:t> </w:t>
      </w:r>
    </w:p>
    <w:p>
      <w:pPr>
        <w:pStyle w:val="TextBody"/>
        <w:bidi w:val="0"/>
        <w:spacing w:before="360" w:after="0"/>
        <w:jc w:val="center"/>
        <w:rPr>
          <w:rFonts w:ascii="Times New Roman" w:hAnsi="Times New Roman"/>
          <w:sz w:val="20"/>
        </w:rPr>
      </w:pPr>
      <w:r>
        <w:rPr>
          <w:rFonts w:ascii="Times New Roman" w:hAnsi="Times New Roman"/>
          <w:sz w:val="20"/>
        </w:rPr>
        <w:t xml:space="preserve">April 22, 2024 </w:t>
      </w:r>
    </w:p>
    <w:p>
      <w:pPr>
        <w:pStyle w:val="TextBody"/>
        <w:bidi w:val="0"/>
        <w:spacing w:before="240" w:after="0"/>
        <w:jc w:val="left"/>
        <w:rPr>
          <w:rFonts w:ascii="Times New Roman" w:hAnsi="Times New Roman"/>
          <w:sz w:val="20"/>
        </w:rPr>
      </w:pPr>
      <w:r>
        <w:rPr>
          <w:rFonts w:ascii="Times New Roman" w:hAnsi="Times New Roman"/>
          <w:sz w:val="20"/>
        </w:rPr>
        <w:t xml:space="preserve">Ms. Aimee Blaine </w:t>
      </w:r>
    </w:p>
    <w:p>
      <w:pPr>
        <w:pStyle w:val="TextBody"/>
        <w:bidi w:val="0"/>
        <w:spacing w:before="0" w:after="0"/>
        <w:jc w:val="left"/>
        <w:rPr>
          <w:rFonts w:ascii="Times New Roman" w:hAnsi="Times New Roman"/>
          <w:sz w:val="20"/>
        </w:rPr>
      </w:pPr>
      <w:r>
        <w:rPr>
          <w:rFonts w:ascii="Times New Roman" w:hAnsi="Times New Roman"/>
          <w:sz w:val="20"/>
        </w:rPr>
        <w:t xml:space="preserve">Aera Energy LLC </w:t>
      </w:r>
    </w:p>
    <w:p>
      <w:pPr>
        <w:pStyle w:val="TextBody"/>
        <w:bidi w:val="0"/>
        <w:spacing w:before="0" w:after="0"/>
        <w:jc w:val="left"/>
        <w:rPr>
          <w:rFonts w:ascii="Times New Roman" w:hAnsi="Times New Roman"/>
          <w:sz w:val="20"/>
        </w:rPr>
      </w:pPr>
      <w:r>
        <w:rPr>
          <w:rFonts w:ascii="Times New Roman" w:hAnsi="Times New Roman"/>
          <w:sz w:val="20"/>
        </w:rPr>
        <w:t xml:space="preserve">10000 Ming Avenue </w:t>
      </w:r>
    </w:p>
    <w:p>
      <w:pPr>
        <w:pStyle w:val="TextBody"/>
        <w:bidi w:val="0"/>
        <w:spacing w:before="0" w:after="0"/>
        <w:jc w:val="left"/>
        <w:rPr>
          <w:rFonts w:ascii="Times New Roman" w:hAnsi="Times New Roman"/>
          <w:sz w:val="20"/>
        </w:rPr>
      </w:pPr>
      <w:r>
        <w:rPr>
          <w:rFonts w:ascii="Times New Roman" w:hAnsi="Times New Roman"/>
          <w:sz w:val="20"/>
        </w:rPr>
        <w:t xml:space="preserve">Bakersfield, California 93311 </w:t>
      </w:r>
    </w:p>
    <w:p>
      <w:pPr>
        <w:pStyle w:val="TextBody"/>
        <w:bidi w:val="0"/>
        <w:spacing w:before="240" w:after="0"/>
        <w:jc w:val="left"/>
        <w:rPr>
          <w:rFonts w:ascii="Times New Roman" w:hAnsi="Times New Roman"/>
          <w:sz w:val="20"/>
        </w:rPr>
      </w:pPr>
      <w:r>
        <w:rPr>
          <w:rFonts w:ascii="Times New Roman" w:hAnsi="Times New Roman"/>
          <w:sz w:val="20"/>
        </w:rPr>
        <w:t xml:space="preserve">Dear Ms. Blaine: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your request, we have estimated the proved reserves and future revenue, as of December 31, 2023, to the Aera Energy LLC (Aera) interest in certain oil and gas properties located in California. We completed our evaluation on or about March 15, 2024. It is our understanding that the proved reserves estimated in this report constitute all of the proved reserves owned by Aera.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use in filing with the SEC; in our opinion the assumptions, data, methods, and procedures used in the preparation of this report are appropriate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It is our understanding that various local and state governmental entities in the state of California have proposed or recently adopted new policies, such as California Senate Bill 1137 (SB1137), that may affect future production and development of oil and gas reserves within the state; therefore, the estimates shown in this report do not include any volumes associated with undeveloped locations affected by these policies.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net reserves and future net revenue to the Aera interest in these properties, as of December 31, 2023,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9"/>
        <w:gridCol w:w="131"/>
        <w:gridCol w:w="60"/>
        <w:gridCol w:w="1000"/>
        <w:gridCol w:w="60"/>
        <w:gridCol w:w="131"/>
        <w:gridCol w:w="75"/>
        <w:gridCol w:w="720"/>
        <w:gridCol w:w="60"/>
        <w:gridCol w:w="131"/>
        <w:gridCol w:w="60"/>
        <w:gridCol w:w="868"/>
        <w:gridCol w:w="60"/>
        <w:gridCol w:w="131"/>
        <w:gridCol w:w="60"/>
        <w:gridCol w:w="1165"/>
        <w:gridCol w:w="60"/>
        <w:gridCol w:w="131"/>
        <w:gridCol w:w="60"/>
        <w:gridCol w:w="1228"/>
        <w:gridCol w:w="65"/>
      </w:tblGrid>
      <w:tr>
        <w:trPr/>
        <w:tc>
          <w:tcPr>
            <w:tcW w:w="394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bottom"/>
          </w:tcPr>
          <w:p>
            <w:pPr>
              <w:pStyle w:val="TableContents"/>
              <w:bidi w:val="0"/>
              <w:spacing w:before="0" w:after="283"/>
              <w:jc w:val="center"/>
              <w:rPr/>
            </w:pPr>
            <w:r>
              <w:rPr/>
              <w:t>Net Reserves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bottom"/>
          </w:tcPr>
          <w:p>
            <w:pPr>
              <w:pStyle w:val="TableContents"/>
              <w:bidi w:val="0"/>
              <w:spacing w:before="0" w:after="283"/>
              <w:jc w:val="center"/>
              <w:rPr/>
            </w:pPr>
            <w:r>
              <w:rPr/>
              <w:t>Future Net Revenue (M$)</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Category</w:t>
            </w:r>
          </w:p>
        </w:tc>
        <w:tc>
          <w:tcPr>
            <w:tcW w:w="131"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pPr>
            <w:r>
              <w:rPr/>
              <w:t>Oil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pPr>
            <w:r>
              <w:rPr/>
              <w:t>NGL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pPr>
            <w:r>
              <w:rPr/>
              <w:t>Gas(1)</w:t>
              <w:br/>
              <w:t>(MMCF)</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pPr>
            <w:r>
              <w:rPr/>
              <w:t>Present Worth</w:t>
              <w:br/>
              <w:t>at 10%</w:t>
            </w:r>
          </w:p>
        </w:tc>
        <w:tc>
          <w:tcPr>
            <w:tcW w:w="65"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Proved Developed Producing</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212,228.7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64,595.1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4,862,763.3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3,502,804.7</w:t>
            </w:r>
          </w:p>
        </w:tc>
        <w:tc>
          <w:tcPr>
            <w:tcW w:w="65" w:type="dxa"/>
            <w:tcBorders/>
            <w:shd w:fill="CCEEFF" w:val="clear"/>
            <w:vAlign w:val="bottom"/>
          </w:tcPr>
          <w:p>
            <w:pPr>
              <w:pStyle w:val="TableContents"/>
              <w:bidi w:val="0"/>
              <w:spacing w:before="0" w:after="283"/>
              <w:jc w:val="left"/>
              <w:rPr/>
            </w:pPr>
            <w:r>
              <w:rPr/>
              <w:t> </w:t>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Proved Undeveloped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13,748.9</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1,930.3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437,448.8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194,528.8</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Proved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225,977.6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66,525.4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5,300,212.1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3,697,333.5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reserves are inclusive of fuel gas volumes expected to be consumed in field operations; fuel gas volumes are approximately 85 percent of total proved gas reserves.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w:t>
      </w:r>
    </w:p>
    <w:p>
      <w:pPr>
        <w:pStyle w:val="TextBody"/>
        <w:bidi w:val="0"/>
        <w:spacing w:before="240" w:after="0"/>
        <w:jc w:val="left"/>
        <w:rPr>
          <w:rFonts w:ascii="Times New Roman" w:hAnsi="Times New Roman"/>
          <w:sz w:val="20"/>
        </w:rPr>
      </w:pPr>
      <w:r>
        <w:rPr>
          <w:rFonts w:ascii="Times New Roman" w:hAnsi="Times New Roman"/>
          <w:sz w:val="20"/>
        </w:rPr>
        <w:t xml:space="preserve">Reserves categorization conveys the relative degree of certainty; reserves subcategorization is based on development and production status. Our study indicates that as of December 31, 2023, there are no proved developed non-producing reserves for these properties. As requested, probable and possible reserves that may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8471"/>
        <w:gridCol w:w="203"/>
        <w:gridCol w:w="1531"/>
      </w:tblGrid>
      <w:tr>
        <w:trPr/>
        <w:tc>
          <w:tcPr>
            <w:tcW w:w="8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471" w:type="dxa"/>
            <w:tcBorders/>
          </w:tcPr>
          <w:p>
            <w:pPr>
              <w:pStyle w:val="TableContents"/>
              <w:bidi w:val="0"/>
              <w:spacing w:before="0" w:after="0"/>
              <w:jc w:val="left"/>
              <w:rPr>
                <w:rFonts w:ascii="Times New Roman" w:hAnsi="Times New Roman"/>
                <w:sz w:val="16"/>
              </w:rPr>
            </w:pPr>
            <w:r>
              <w:rPr>
                <w:rFonts w:ascii="Times New Roman" w:hAnsi="Times New Roman"/>
                <w:sz w:val="16"/>
              </w:rPr>
              <w:t>2100 R</w:t>
            </w:r>
            <w:r>
              <w:rPr>
                <w:rFonts w:ascii="Times New Roman" w:hAnsi="Times New Roman"/>
                <w:sz w:val="20"/>
              </w:rPr>
              <w:t>OSS</w:t>
            </w:r>
            <w:r>
              <w:rPr>
                <w:rFonts w:ascii="Times New Roman" w:hAnsi="Times New Roman"/>
                <w:sz w:val="16"/>
              </w:rPr>
              <w:t xml:space="preserve"> A</w:t>
            </w:r>
            <w:r>
              <w:rPr>
                <w:rFonts w:ascii="Times New Roman" w:hAnsi="Times New Roman"/>
                <w:sz w:val="20"/>
              </w:rPr>
              <w:t>VENUE</w:t>
            </w:r>
            <w:r>
              <w:rPr>
                <w:rFonts w:ascii="Times New Roman" w:hAnsi="Times New Roman"/>
                <w:sz w:val="16"/>
              </w:rPr>
              <w:t>, S</w:t>
            </w:r>
            <w:r>
              <w:rPr>
                <w:rFonts w:ascii="Times New Roman" w:hAnsi="Times New Roman"/>
                <w:sz w:val="20"/>
              </w:rPr>
              <w:t>UITE</w:t>
            </w:r>
            <w:r>
              <w:rPr>
                <w:rFonts w:ascii="Times New Roman" w:hAnsi="Times New Roman"/>
                <w:sz w:val="16"/>
              </w:rPr>
              <w:t xml:space="preserve"> 2200  D</w:t>
            </w:r>
            <w:r>
              <w:rPr>
                <w:rFonts w:ascii="Times New Roman" w:hAnsi="Times New Roman"/>
                <w:sz w:val="20"/>
              </w:rPr>
              <w:t>ALLAS</w:t>
            </w:r>
            <w:r>
              <w:rPr>
                <w:rFonts w:ascii="Times New Roman" w:hAnsi="Times New Roman"/>
                <w:sz w:val="16"/>
              </w:rPr>
              <w:t>, T</w:t>
            </w:r>
            <w:r>
              <w:rPr>
                <w:rFonts w:ascii="Times New Roman" w:hAnsi="Times New Roman"/>
                <w:sz w:val="20"/>
              </w:rPr>
              <w:t>EXAS</w:t>
            </w:r>
            <w:r>
              <w:rPr>
                <w:rFonts w:ascii="Times New Roman" w:hAnsi="Times New Roman"/>
                <w:sz w:val="16"/>
              </w:rPr>
              <w:t xml:space="preserve"> 75201  P</w:t>
            </w:r>
            <w:r>
              <w:rPr>
                <w:rFonts w:ascii="Times New Roman" w:hAnsi="Times New Roman"/>
                <w:sz w:val="20"/>
              </w:rPr>
              <w:t>H</w:t>
            </w:r>
            <w:r>
              <w:rPr>
                <w:rFonts w:ascii="Times New Roman" w:hAnsi="Times New Roman"/>
                <w:sz w:val="16"/>
              </w:rPr>
              <w:t>: 214-969-5401  F</w:t>
            </w:r>
            <w:r>
              <w:rPr>
                <w:rFonts w:ascii="Times New Roman" w:hAnsi="Times New Roman"/>
                <w:sz w:val="20"/>
              </w:rPr>
              <w:t>AX</w:t>
            </w:r>
            <w:r>
              <w:rPr>
                <w:rFonts w:ascii="Times New Roman" w:hAnsi="Times New Roman"/>
                <w:sz w:val="16"/>
              </w:rPr>
              <w:t>: 214-969-5411</w:t>
            </w:r>
          </w:p>
          <w:p>
            <w:pPr>
              <w:pStyle w:val="TableContents"/>
              <w:bidi w:val="0"/>
              <w:spacing w:before="0" w:after="20"/>
              <w:jc w:val="left"/>
              <w:rPr>
                <w:rFonts w:ascii="Times New Roman" w:hAnsi="Times New Roman"/>
                <w:sz w:val="16"/>
              </w:rPr>
            </w:pPr>
            <w:r>
              <w:rPr>
                <w:rFonts w:ascii="Times New Roman" w:hAnsi="Times New Roman"/>
                <w:sz w:val="16"/>
              </w:rPr>
              <w:t>1301 M</w:t>
            </w:r>
            <w:r>
              <w:rPr>
                <w:rFonts w:ascii="Times New Roman" w:hAnsi="Times New Roman"/>
                <w:sz w:val="20"/>
              </w:rPr>
              <w:t>C</w:t>
            </w:r>
            <w:r>
              <w:rPr>
                <w:rFonts w:ascii="Times New Roman" w:hAnsi="Times New Roman"/>
                <w:sz w:val="16"/>
              </w:rPr>
              <w:t>K</w:t>
            </w:r>
            <w:r>
              <w:rPr>
                <w:rFonts w:ascii="Times New Roman" w:hAnsi="Times New Roman"/>
                <w:sz w:val="20"/>
              </w:rPr>
              <w:t>INNEY</w:t>
            </w:r>
            <w:r>
              <w:rPr>
                <w:rFonts w:ascii="Times New Roman" w:hAnsi="Times New Roman"/>
                <w:sz w:val="16"/>
              </w:rPr>
              <w:t xml:space="preserve"> S</w:t>
            </w:r>
            <w:r>
              <w:rPr>
                <w:rFonts w:ascii="Times New Roman" w:hAnsi="Times New Roman"/>
                <w:sz w:val="20"/>
              </w:rPr>
              <w:t>TREET</w:t>
            </w:r>
            <w:r>
              <w:rPr>
                <w:rFonts w:ascii="Times New Roman" w:hAnsi="Times New Roman"/>
                <w:sz w:val="16"/>
              </w:rPr>
              <w:t>, S</w:t>
            </w:r>
            <w:r>
              <w:rPr>
                <w:rFonts w:ascii="Times New Roman" w:hAnsi="Times New Roman"/>
                <w:sz w:val="20"/>
              </w:rPr>
              <w:t>UITE</w:t>
            </w:r>
            <w:r>
              <w:rPr>
                <w:rFonts w:ascii="Times New Roman" w:hAnsi="Times New Roman"/>
                <w:sz w:val="16"/>
              </w:rPr>
              <w:t xml:space="preserve"> 3200  H</w:t>
            </w:r>
            <w:r>
              <w:rPr>
                <w:rFonts w:ascii="Times New Roman" w:hAnsi="Times New Roman"/>
                <w:sz w:val="20"/>
              </w:rPr>
              <w:t>OUSTON</w:t>
            </w:r>
            <w:r>
              <w:rPr>
                <w:rFonts w:ascii="Times New Roman" w:hAnsi="Times New Roman"/>
                <w:sz w:val="16"/>
              </w:rPr>
              <w:t>, T</w:t>
            </w:r>
            <w:r>
              <w:rPr>
                <w:rFonts w:ascii="Times New Roman" w:hAnsi="Times New Roman"/>
                <w:sz w:val="20"/>
              </w:rPr>
              <w:t>EXAS</w:t>
            </w:r>
            <w:r>
              <w:rPr>
                <w:rFonts w:ascii="Times New Roman" w:hAnsi="Times New Roman"/>
                <w:sz w:val="16"/>
              </w:rPr>
              <w:t xml:space="preserve"> 77010  P</w:t>
            </w:r>
            <w:r>
              <w:rPr>
                <w:rFonts w:ascii="Times New Roman" w:hAnsi="Times New Roman"/>
                <w:sz w:val="20"/>
              </w:rPr>
              <w:t>H</w:t>
            </w:r>
            <w:r>
              <w:rPr>
                <w:rFonts w:ascii="Times New Roman" w:hAnsi="Times New Roman"/>
                <w:sz w:val="16"/>
              </w:rPr>
              <w:t>: 713-654-4950  F</w:t>
            </w:r>
            <w:r>
              <w:rPr>
                <w:rFonts w:ascii="Times New Roman" w:hAnsi="Times New Roman"/>
                <w:sz w:val="20"/>
              </w:rPr>
              <w:t>AX</w:t>
            </w:r>
            <w:r>
              <w:rPr>
                <w:rFonts w:ascii="Times New Roman" w:hAnsi="Times New Roman"/>
                <w:sz w:val="16"/>
              </w:rPr>
              <w:t>: 713-654-4951</w:t>
            </w:r>
          </w:p>
        </w:tc>
        <w:tc>
          <w:tcPr>
            <w:tcW w:w="203"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0"/>
              <w:jc w:val="right"/>
              <w:rPr>
                <w:rFonts w:ascii="Times New Roman" w:hAnsi="Times New Roman"/>
                <w:sz w:val="16"/>
              </w:rPr>
            </w:pPr>
            <w:r>
              <w:rPr>
                <w:rFonts w:ascii="Times New Roman" w:hAnsi="Times New Roman"/>
                <w:sz w:val="16"/>
              </w:rPr>
              <w:t>info@nsai-petro.com</w:t>
            </w:r>
          </w:p>
          <w:p>
            <w:pPr>
              <w:pStyle w:val="TableContents"/>
              <w:bidi w:val="0"/>
              <w:spacing w:before="0" w:after="20"/>
              <w:jc w:val="right"/>
              <w:rPr>
                <w:rFonts w:ascii="Times New Roman" w:hAnsi="Times New Roman"/>
                <w:sz w:val="16"/>
              </w:rPr>
            </w:pPr>
            <w:r>
              <w:rPr>
                <w:rFonts w:ascii="Times New Roman" w:hAnsi="Times New Roman"/>
                <w:sz w:val="16"/>
              </w:rPr>
              <w:t>netherlandsewell.com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072640" cy="273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3"/>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Gross revenue is Aeras share of the gross (100 percent) revenue from the properties prior to any deductions. Future net revenue is after deductions for Aeras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w:t>
      </w:r>
    </w:p>
    <w:p>
      <w:pPr>
        <w:pStyle w:val="TextBody"/>
        <w:bidi w:val="0"/>
        <w:spacing w:before="240" w:after="0"/>
        <w:jc w:val="left"/>
        <w:rPr>
          <w:rFonts w:ascii="Times New Roman" w:hAnsi="Times New Roman"/>
          <w:sz w:val="20"/>
        </w:rPr>
      </w:pPr>
      <w:r>
        <w:rPr>
          <w:rFonts w:ascii="Times New Roman" w:hAnsi="Times New Roman"/>
          <w:sz w:val="20"/>
        </w:rPr>
        <w:t xml:space="preserve">Prices used in this report are based on the 12-month unweighted arithmetic average of the first-day-of-the-month price for each month in the period January through December 2023. For oil and NGL volumes, the average Europe Brent spot price of $82.84 per barrel is adjusted by field for quality, transportation fees, and market differentials. For gas volumes, the average PG&amp;E city-gate spot price of $6.519 per MMBTU is adjusted by field for energy content, transportation fees, and market differentials. All prices are held constant throughout the lives of the properties. The average adjusted product prices weighted by production over the remaining lives of the properties are $79.50 per barrel of oil, $32.31 per barrel of NGL, and $5.019 per MCF of gas. </w:t>
      </w:r>
    </w:p>
    <w:p>
      <w:pPr>
        <w:pStyle w:val="TextBody"/>
        <w:bidi w:val="0"/>
        <w:spacing w:before="240" w:after="0"/>
        <w:jc w:val="left"/>
        <w:rPr>
          <w:rFonts w:ascii="Times New Roman" w:hAnsi="Times New Roman"/>
          <w:sz w:val="20"/>
        </w:rPr>
      </w:pPr>
      <w:r>
        <w:rPr>
          <w:rFonts w:ascii="Times New Roman" w:hAnsi="Times New Roman"/>
          <w:sz w:val="20"/>
        </w:rPr>
        <w:t xml:space="preserve">Operating costs used in this report are based on operating expense records of Aera. For the nonoperated properties, these costs include the per-well overhead expenses allowed under joint operating agreements along with estimates of costs to be incurred at and below the district and field levels. As requested, operating costs for the operated properties are limited to direct lease- and field-level costs and Aeras estimate of the portion of its headquarters general and administrative overhead expenses necessary to operate the properties. Operating costs have been divided into field-level costs, per-well costs, and per-unit-of-production costs and are inclusive of natural gas fuel purchases used to generate steam; the costs associated with steam generation are based on purchasing gas using the price shown above. Operating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Capital costs used in this report were provided by Aera and are based on authorizations for expenditure and actual costs from recent activity. Capital costs are included as required for facilities improvement, water disposal facilities, new development wells, and production equipment; as requested, the facilities improvement capital costs are shown separately herein. Based on our understanding of future development plans, a review of the records provided to us, and our knowledge of similar properties, we regard these estimated capital costs to be reasonable. Abandonment costs used in this report are Aeras estimates of the costs to abandon the wells and production facilities, net of any salvage value. Capital costs and abandonment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investigation of potential volume and value imbalances resulting from overdelivery or underdelivery to the Aera interest. Therefore, our estimates of reserves and future revenue do not include adjustments for the settlement of any such imbalances; our projections are based on Aera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4"/>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Aera,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used technical and economic data including, but not limited to, well logs, geologic maps,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volumetric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w:t>
      </w:r>
    </w:p>
    <w:p>
      <w:pPr>
        <w:pStyle w:val="TextBody"/>
        <w:bidi w:val="0"/>
        <w:spacing w:before="240" w:after="0"/>
        <w:jc w:val="left"/>
        <w:rPr>
          <w:rFonts w:ascii="Times New Roman" w:hAnsi="Times New Roman"/>
          <w:sz w:val="20"/>
        </w:rPr>
      </w:pPr>
      <w:r>
        <w:rPr>
          <w:rFonts w:ascii="Times New Roman" w:hAnsi="Times New Roman"/>
          <w:sz w:val="20"/>
        </w:rPr>
        <w:t xml:space="preserve">The data used in our estimates were obtained from Aera,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persons primarily responsible for preparing the estimates presented herein meet the requirements regarding qualifications, independence, objectivity, and confidentiality set forth in the SPE Standards. Joseph M. Mello, a Licensed Professional Engineer in the State of Texas, has been practicing consulting petroleum engineering at NSAI since 2015 and has over 5 years of prior industry experience. Edward C. Roy III, a Licensed Professional Geologist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
        <w:gridCol w:w="80"/>
        <w:gridCol w:w="3220"/>
        <w:gridCol w:w="80"/>
        <w:gridCol w:w="23"/>
        <w:gridCol w:w="80"/>
        <w:gridCol w:w="462"/>
        <w:gridCol w:w="80"/>
        <w:gridCol w:w="681"/>
        <w:gridCol w:w="106"/>
        <w:gridCol w:w="4610"/>
        <w:gridCol w:w="106"/>
        <w:gridCol w:w="343"/>
      </w:tblGrid>
      <w:tr>
        <w:trPr/>
        <w:tc>
          <w:tcPr>
            <w:tcW w:w="33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283"/>
              <w:jc w:val="left"/>
              <w:rPr/>
            </w:pPr>
            <w:r>
              <w:rPr/>
              <w:t>Sincerely,</w:t>
            </w:r>
          </w:p>
        </w:tc>
        <w:tc>
          <w:tcPr>
            <w:tcW w:w="106" w:type="dxa"/>
            <w:tcBorders/>
            <w:vAlign w:val="bottom"/>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5926" w:type="dxa"/>
            <w:gridSpan w:val="6"/>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b/>
              </w:rPr>
            </w:pPr>
            <w:r>
              <w:rPr>
                <w:b/>
              </w:rPr>
              <w:t>NETHERLAND, SEWELL &amp; ASSOCIATES, INC.</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pPr>
            <w:r>
              <w:rPr/>
              <w:t>Texas Registered Engineering Firm F-2699</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5165"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283"/>
              <w:jc w:val="left"/>
              <w:rPr/>
            </w:pPr>
            <w:r>
              <w:rPr/>
              <w:t>/s/ Richard B. Talley, Jr.</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Richard B. Talley, Jr., P.E.</w:t>
            </w:r>
          </w:p>
          <w:p>
            <w:pPr>
              <w:pStyle w:val="TableContents"/>
              <w:bidi w:val="0"/>
              <w:spacing w:before="0" w:after="20"/>
              <w:jc w:val="left"/>
              <w:rPr>
                <w:rFonts w:ascii="Times New Roman" w:hAnsi="Times New Roman"/>
                <w:sz w:val="20"/>
              </w:rPr>
            </w:pPr>
            <w:r>
              <w:rPr>
                <w:rFonts w:ascii="Times New Roman" w:hAnsi="Times New Roman"/>
                <w:sz w:val="20"/>
              </w:rPr>
              <w:t>Chairman and Chief Executive Officer</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4716" w:type="dxa"/>
            <w:gridSpan w:val="2"/>
            <w:tcBorders/>
            <w:vAlign w:val="center"/>
          </w:tcPr>
          <w:p>
            <w:pPr>
              <w:pStyle w:val="TableContents"/>
              <w:bidi w:val="0"/>
              <w:spacing w:before="0" w:after="283"/>
              <w:jc w:val="left"/>
              <w:rPr>
                <w:sz w:val="4"/>
                <w:szCs w:val="4"/>
              </w:rPr>
            </w:pPr>
            <w:r>
              <w:rPr>
                <w:sz w:val="4"/>
                <w:szCs w:val="4"/>
              </w:rPr>
            </w:r>
          </w:p>
        </w:tc>
        <w:tc>
          <w:tcPr>
            <w:tcW w:w="449"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/s/ Joseph M. Mello</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restart"/>
            <w:tcBorders/>
            <w:vAlign w:val="bottom"/>
          </w:tcPr>
          <w:p>
            <w:pPr>
              <w:pStyle w:val="TableContents"/>
              <w:bidi w:val="0"/>
              <w:spacing w:before="0" w:after="283"/>
              <w:jc w:val="left"/>
              <w:rPr/>
            </w:pPr>
            <w:r>
              <w:rPr/>
              <w:t> </w:t>
            </w:r>
          </w:p>
        </w:tc>
        <w:tc>
          <w:tcPr>
            <w:tcW w:w="462" w:type="dxa"/>
            <w:vMerge w:val="restart"/>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/s/ Edward C. Roy III</w:t>
            </w:r>
          </w:p>
        </w:tc>
        <w:tc>
          <w:tcPr>
            <w:tcW w:w="106" w:type="dxa"/>
            <w:vMerge w:val="restart"/>
            <w:tcBorders/>
            <w:vAlign w:val="bottom"/>
          </w:tcPr>
          <w:p>
            <w:pPr>
              <w:pStyle w:val="TableContents"/>
              <w:bidi w:val="0"/>
              <w:spacing w:before="0" w:after="283"/>
              <w:jc w:val="left"/>
              <w:rPr/>
            </w:pPr>
            <w:r>
              <w:rPr/>
              <w:t> </w:t>
            </w:r>
          </w:p>
        </w:tc>
        <w:tc>
          <w:tcPr>
            <w:tcW w:w="343" w:type="dxa"/>
            <w:vMerge w:val="restart"/>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Joseph M. Mello, P.E. 125699</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Edward C. Roy III, P.G. 2364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Vice President</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Vice President</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JMM:WKE</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sz w:val="4"/>
                <w:szCs w:val="4"/>
              </w:rPr>
            </w:pPr>
            <w:r>
              <w:rPr>
                <w:sz w:val="4"/>
                <w:szCs w:val="4"/>
              </w:rPr>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072640" cy="273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5"/>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Acquisition of properties. </w:t>
      </w:r>
      <w:r>
        <w:rPr>
          <w:rFonts w:ascii="Times New Roman" w:hAnsi="Times New Roman"/>
          <w:sz w:val="20"/>
        </w:rPr>
        <w:t xml:space="preserve">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Analogous reservoir</w:t>
      </w:r>
      <w:r>
        <w:rPr>
          <w:rFonts w:ascii="Times New Roman" w:hAnsi="Times New Roman"/>
          <w:sz w:val="20"/>
        </w:rPr>
        <w:t xml:space="preserve">.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geological formation (but not necessarily in pressure communication with the reservoir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environment of deposition;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geological 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drive mechanism. </w:t>
            </w:r>
          </w:p>
        </w:tc>
      </w:tr>
    </w:tbl>
    <w:p>
      <w:pPr>
        <w:pStyle w:val="TextBody"/>
        <w:bidi w:val="0"/>
        <w:spacing w:before="240" w:after="0"/>
        <w:jc w:val="left"/>
        <w:rPr>
          <w:rFonts w:ascii="Times New Roman" w:hAnsi="Times New Roman"/>
          <w:sz w:val="20"/>
        </w:rPr>
      </w:pPr>
      <w:r>
        <w:rPr>
          <w:rFonts w:ascii="Times New Roman" w:hAnsi="Times New Roman"/>
          <w:i/>
          <w:sz w:val="20"/>
        </w:rPr>
        <w:t>Instruction to paragraph (a)(2)</w:t>
      </w:r>
      <w:r>
        <w:rPr>
          <w:rFonts w:ascii="Times New Roman" w:hAnsi="Times New Roman"/>
          <w:sz w:val="20"/>
        </w:rPr>
        <w:t xml:space="preserve">: Reservoir properties must, in the aggregate, be no more favorable in the analog than in the reservoir of interest.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Bitumen</w:t>
      </w:r>
      <w:r>
        <w:rPr>
          <w:rFonts w:ascii="Times New Roman" w:hAnsi="Times New Roman"/>
          <w:sz w:val="20"/>
        </w:rPr>
        <w:t xml:space="preserve">.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Condensate</w:t>
      </w:r>
      <w:r>
        <w:rPr>
          <w:rFonts w:ascii="Times New Roman" w:hAnsi="Times New Roman"/>
          <w:sz w:val="20"/>
        </w:rPr>
        <w:t xml:space="preserve">. Condensate is a mixture of hydrocarbons that exists in the gaseous phase at original reservoir temperature and pressure, but that, when produced, is in the liquid phase at surface pressure and temperature.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Deterministic estimate</w:t>
      </w:r>
      <w:r>
        <w:rPr>
          <w:rFonts w:ascii="Times New Roman" w:hAnsi="Times New Roman"/>
          <w:sz w:val="20"/>
        </w:rPr>
        <w:t xml:space="preserve">. The method of estimating reserves or resources is called deterministic when a single value for each parameter (from the geoscience, engineering, or economic data) in the reserves calculation is used in the reserves estimation procedure.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Developed oil and gas reserves</w:t>
      </w:r>
      <w:r>
        <w:rPr>
          <w:rFonts w:ascii="Times New Roman" w:hAnsi="Times New Roman"/>
          <w:sz w:val="20"/>
        </w:rPr>
        <w:t xml:space="preserve">. Developed oil and gas reserves are reserves of any category that can be expected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existing wells with existing equipment and operating methods or in which the cost of the required equipment is relatively minor compared to the cost of a new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installed extraction equipment and infrastructure operational at the time of the reserves estimate if the extraction is by means not involving a well.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6"/>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Supplemental definitions from the 2018 Petroleum Resources Management System: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Producing Reserves  Expected quantities to be recovered from completion intervals that are open and producing at the effective date of the estimate. Improved recovery Reserves are considered producing only after the improved recovery project is in operation. </w:t>
      </w:r>
    </w:p>
    <w:p>
      <w:pPr>
        <w:pStyle w:val="TextBody"/>
        <w:pBdr/>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w:t>
      </w:r>
    </w:p>
    <w:p>
      <w:pPr>
        <w:pStyle w:val="TextBody"/>
        <w:bidi w:val="0"/>
        <w:spacing w:before="0" w:after="0"/>
        <w:jc w:val="left"/>
        <w:rPr>
          <w:bdr w:val="single" w:sz="2" w:space="2" w:color="000000"/>
        </w:rPr>
      </w:pPr>
      <w:r>
        <w:rPr>
          <w:bdr w:val="single" w:sz="2" w:space="2"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 xml:space="preserve">Development costs. </w:t>
      </w:r>
      <w:r>
        <w:rPr>
          <w:rFonts w:ascii="Times New Roman" w:hAnsi="Times New Roman"/>
          <w:sz w:val="20"/>
        </w:rPr>
        <w:t xml:space="preserve">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 and equip development wells, development-type stratigraphic test wells, and service wells, including the costs of platforms and of well equipment such as casing, tubing, pumping equipment, and the wellhead assembly.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construct, and install production facilities such as lease flow lines, separators, treaters, heaters, manifolds, measuring devices, and production storage tanks, natural gas cycling and processing plants, and central utility and waste disposal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improved recovery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Development project</w:t>
      </w:r>
      <w:r>
        <w:rPr>
          <w:rFonts w:ascii="Times New Roman" w:hAnsi="Times New Roman"/>
          <w:sz w:val="20"/>
        </w:rPr>
        <w:t xml:space="preserve">.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Development well</w:t>
      </w:r>
      <w:r>
        <w:rPr>
          <w:rFonts w:ascii="Times New Roman" w:hAnsi="Times New Roman"/>
          <w:sz w:val="20"/>
        </w:rPr>
        <w:t xml:space="preserve">. A well drilled within the proved area of an oil or gas reservoir to the depth of a stratigraphic horizon known to be productive.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Economically producible</w:t>
      </w:r>
      <w:r>
        <w:rPr>
          <w:rFonts w:ascii="Times New Roman" w:hAnsi="Times New Roman"/>
          <w:sz w:val="20"/>
        </w:rPr>
        <w:t xml:space="preserv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2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7"/>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Estimated ultimate recovery (EUR)</w:t>
      </w:r>
      <w:r>
        <w:rPr>
          <w:rFonts w:ascii="Times New Roman" w:hAnsi="Times New Roman"/>
          <w:sz w:val="20"/>
        </w:rPr>
        <w:t xml:space="preserve">. Estimated ultimate recovery is the sum of reserves remaining as of a given date and cumulative production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Exploration costs</w:t>
      </w:r>
      <w:r>
        <w:rPr>
          <w:rFonts w:ascii="Times New Roman" w:hAnsi="Times New Roman"/>
          <w:sz w:val="20"/>
        </w:rPr>
        <w:t xml:space="preserve">.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carrying and retaining undeveloped properties, such as delay rentals, ad valorem taxes on properties, legal costs for title defense, and the maintenance of land and lease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 hole contributions and bottom hole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and equipping exploratory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exploratory-type stratigraphic test wells.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Exploratory well</w:t>
      </w:r>
      <w:r>
        <w:rPr>
          <w:rFonts w:ascii="Times New Roman" w:hAnsi="Times New Roman"/>
          <w:sz w:val="20"/>
        </w:rPr>
        <w:t xml:space="preserve">.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Extension well</w:t>
      </w:r>
      <w:r>
        <w:rPr>
          <w:rFonts w:ascii="Times New Roman" w:hAnsi="Times New Roman"/>
          <w:sz w:val="20"/>
        </w:rPr>
        <w:t xml:space="preserve">. An extension well is a well drilled to extend the limits of a known reservoir.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Field</w:t>
      </w:r>
      <w:r>
        <w:rPr>
          <w:rFonts w:ascii="Times New Roman" w:hAnsi="Times New Roman"/>
          <w:sz w:val="20"/>
        </w:rPr>
        <w:t xml:space="preserve">.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Oil and gas producing activities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search for crude oil, including condensate and natural gas liquids, or natural gas (oil and gas) in their natural states and original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property rights or properties for the purpose of further exploration or for the purpose of removing the oil or gas from such properties;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3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8"/>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construction, drilling, and production activities necessary to retrieve oil and gas from their natural reservoirs, including the acquisition, construction, installation, and maintenance of field gathering and storage systems, such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Lifting the oil and gas to the surface;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Gathering, treating, and field processing (as in the case of processing gas to extract liquid hydrocarbons);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Extraction of saleable hydrocarbons, in the solid, liquid, or gaseous state, from oil sands, shale, coalbeds, or other nonrenewable natural resources which are intended to be upgraded into synthetic oil or gas, and activities undertaken with a view to such extraction. </w:t>
            </w:r>
          </w:p>
        </w:tc>
      </w:tr>
    </w:tbl>
    <w:p>
      <w:pPr>
        <w:pStyle w:val="TextBody"/>
        <w:bidi w:val="0"/>
        <w:spacing w:before="120" w:after="0"/>
        <w:jc w:val="left"/>
        <w:rPr>
          <w:rFonts w:ascii="Times New Roman" w:hAnsi="Times New Roman"/>
          <w:sz w:val="20"/>
        </w:rPr>
      </w:pPr>
      <w:r>
        <w:rPr>
          <w:rFonts w:ascii="Times New Roman" w:hAnsi="Times New Roman"/>
          <w:i/>
          <w:sz w:val="20"/>
        </w:rPr>
        <w:t>Instruction 1 to paragraph (a)(16)(i)</w:t>
      </w:r>
      <w:r>
        <w:rPr>
          <w:rFonts w:ascii="Times New Roman" w:hAnsi="Times New Roman"/>
          <w:sz w:val="20"/>
        </w:rPr>
        <w:t xml:space="preserve">: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point at which oil, gas, or gas liquids, natural or synthetic, are delivered to a main pipeline, a common carrier, a refinery, or a marine terminal;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w:t>
            </w:r>
          </w:p>
        </w:tc>
      </w:tr>
    </w:tbl>
    <w:p>
      <w:pPr>
        <w:pStyle w:val="TextBody"/>
        <w:bidi w:val="0"/>
        <w:spacing w:before="120" w:after="0"/>
        <w:jc w:val="left"/>
        <w:rPr>
          <w:rFonts w:ascii="Times New Roman" w:hAnsi="Times New Roman"/>
          <w:sz w:val="20"/>
        </w:rPr>
      </w:pPr>
      <w:r>
        <w:rPr>
          <w:rFonts w:ascii="Times New Roman" w:hAnsi="Times New Roman"/>
          <w:i/>
          <w:sz w:val="20"/>
        </w:rPr>
        <w:t>Instruction 2 to paragraph (a)(16)(i):</w:t>
      </w:r>
      <w:r>
        <w:rPr>
          <w:rFonts w:ascii="Times New Roman" w:hAnsi="Times New Roman"/>
          <w:sz w:val="20"/>
        </w:rPr>
        <w:t xml:space="preserve"> For purposes of this paragraph (a)(16), the term </w:t>
      </w:r>
      <w:r>
        <w:rPr>
          <w:rFonts w:ascii="Times New Roman" w:hAnsi="Times New Roman"/>
          <w:i/>
          <w:sz w:val="20"/>
        </w:rPr>
        <w:t>saleable hydrocarbons</w:t>
      </w:r>
      <w:r>
        <w:rPr>
          <w:rFonts w:ascii="Times New Roman" w:hAnsi="Times New Roman"/>
          <w:sz w:val="20"/>
        </w:rPr>
        <w:t xml:space="preserve"> means hydrocarbons that are saleable in the state in which the hydrocarbons are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do not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Transporting, refining, or marketing oil and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Processing of produced oil, gas, or natural resources that can be upgraded into synthetic oil or gas by a registrant that does not have the legal right to produce or a revenue interest in such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Activities relating to the production of natural resources other than oil, gas, or natural resources from which synthetic oil and gas can be extracted;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of geothermal steam.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Possible reserves. </w:t>
      </w:r>
      <w:r>
        <w:rPr>
          <w:rFonts w:ascii="Times New Roman" w:hAnsi="Times New Roman"/>
          <w:sz w:val="20"/>
        </w:rPr>
        <w:t xml:space="preserve">Possible reserves are those additional reserves that are less certain to be recovered than probable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4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9"/>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also include incremental quantities associated with a greater percentage recovery of the hydrocarbons in place than the recovery quantities assumed for probable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 xml:space="preserve">Probable reserves. </w:t>
      </w:r>
      <w:r>
        <w:rPr>
          <w:rFonts w:ascii="Times New Roman" w:hAnsi="Times New Roman"/>
          <w:sz w:val="20"/>
        </w:rPr>
        <w:t xml:space="preserve">Probable reserves are those additional reserves that are less certain to be recovered than proved reserves but which, together with proved reserves, are as likely as not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estimates also include potential incremental quantities associated with a greater percentage recovery of the hydrocarbons in place than assumed for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also guidelines in paragraphs (a)(17)(iv) and (a)(17)(vi) of this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 xml:space="preserve">Probabilistic estimate. </w:t>
      </w:r>
      <w:r>
        <w:rPr>
          <w:rFonts w:ascii="Times New Roman" w:hAnsi="Times New Roman"/>
          <w:sz w:val="20"/>
        </w:rPr>
        <w:t xml:space="preserve">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5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0"/>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Production costs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labor to operate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Repairs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Materials, supplies, and fuel consumed and supplies utilized in operating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taxes and insurance applicable to proved properties and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 xml:space="preserve">Proved area. </w:t>
      </w:r>
      <w:r>
        <w:rPr>
          <w:rFonts w:ascii="Times New Roman" w:hAnsi="Times New Roman"/>
          <w:sz w:val="20"/>
        </w:rPr>
        <w:t xml:space="preserve">The part of a property to which proved reserves have been specifically attributed.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 xml:space="preserve">Proved oil and gas reserves. </w:t>
      </w:r>
      <w:r>
        <w:rPr>
          <w:rFonts w:ascii="Times New Roman" w:hAnsi="Times New Roman"/>
          <w:sz w:val="20"/>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of the reservoir considered as proved includes: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identified by drilling and limited by fluid contacts,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Adjacent undrilled portions of the reservoir that can, with reasonable certainty, be judged to be continuous with it and to contain economically producible oil or gas on the basis of available geoscience and engineering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6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1"/>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which can be produced economically through application of improved recovery techniques (including, but not limited to, fluid injection) are included in the proved classification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 has been approved for development by all necessary parties and entities, including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Proved properties.</w:t>
      </w:r>
      <w:r>
        <w:rPr>
          <w:rFonts w:ascii="Times New Roman" w:hAnsi="Times New Roman"/>
          <w:sz w:val="20"/>
        </w:rPr>
        <w:t xml:space="preserve"> Properties with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rPr>
        <w:t>Reasonable certainty.</w:t>
      </w:r>
      <w:r>
        <w:rPr>
          <w:rFonts w:ascii="Times New Roman" w:hAnsi="Times New Roman"/>
          <w:sz w:val="20"/>
        </w:rPr>
        <w:t xml:space="preserve">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rPr>
        <w:t xml:space="preserve">Reliable technology. </w:t>
      </w:r>
      <w:r>
        <w:rPr>
          <w:rFonts w:ascii="Times New Roman" w:hAnsi="Times New Roman"/>
          <w:sz w:val="20"/>
        </w:rPr>
        <w:t xml:space="preserve">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rPr>
        <w:t xml:space="preserve">Reserves. </w:t>
      </w:r>
      <w:r>
        <w:rPr>
          <w:rFonts w:ascii="Times New Roman" w:hAnsi="Times New Roman"/>
          <w:sz w:val="20"/>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240" w:after="0"/>
        <w:jc w:val="left"/>
        <w:rPr>
          <w:rFonts w:ascii="Times New Roman" w:hAnsi="Times New Roman"/>
          <w:sz w:val="20"/>
        </w:rPr>
      </w:pPr>
      <w:r>
        <w:rPr>
          <w:rFonts w:ascii="Times New Roman" w:hAnsi="Times New Roman"/>
          <w:i/>
          <w:sz w:val="20"/>
        </w:rPr>
        <w:t>Note to paragraph (a)(26)</w:t>
      </w:r>
      <w:r>
        <w:rPr>
          <w:rFonts w:ascii="Times New Roman" w:hAnsi="Times New Roman"/>
          <w:sz w:val="20"/>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7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2"/>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Excerpted from the FASB Accounting Standards Codification Topic 932, Extractive ActivitiesOil and Gas: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932-235-50-30 A standardized measure of discounted future net cash flows relating to an entitys interests in both of the following shall be disclosed as of the end of the year: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Proved oil and gas reserves (see paragraphs 932-235-50-3 through 50-11B)</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The standardized measure of discounted future net cash flows relating to those two types of interests in reserves may be combined for reporting purposes.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932-235-50-31 All of the following information shall be disclosed in the aggregate and for each geographic area for which reserve quantities are disclosed in accordance with paragraphs 932-235-50-3 through 50-11B: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net cash flows. These amounts are the result of subtracting future development and production costs and future income tax expenses from future cash inflows.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Discount. This amount shall be derived from using a discount rate of 10 percent a year to reflect the timing of the future net cash flows relating to proved oil and gas reserves.</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Standardized measure of discounted future net cash flows. This amount is the future net cash flows less the computed discount.</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rPr>
        <w:t>Reservoir.</w:t>
      </w:r>
      <w:r>
        <w:rPr>
          <w:rFonts w:ascii="Times New Roman" w:hAnsi="Times New Roman"/>
          <w:sz w:val="20"/>
        </w:rPr>
        <w:t xml:space="preserve"> A porous and permeable underground formation containing a natural accumulation of producible oil and/or gas that is confined by impermeable rock or water barriers and is individual and separate from other reservoirs.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rPr>
        <w:t>Resources.</w:t>
      </w:r>
      <w:r>
        <w:rPr>
          <w:rFonts w:ascii="Times New Roman" w:hAnsi="Times New Roman"/>
          <w:sz w:val="20"/>
        </w:rPr>
        <w:t xml:space="preserve">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8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3"/>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rPr>
        <w:t>Service well.</w:t>
      </w:r>
      <w:r>
        <w:rPr>
          <w:rFonts w:ascii="Times New Roman" w:hAnsi="Times New Roman"/>
          <w:sz w:val="20"/>
        </w:rPr>
        <w:t xml:space="preserve">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w:t>
      </w:r>
    </w:p>
    <w:p>
      <w:pPr>
        <w:pStyle w:val="TextBody"/>
        <w:bidi w:val="0"/>
        <w:spacing w:before="240" w:after="0"/>
        <w:jc w:val="left"/>
        <w:rPr>
          <w:rFonts w:ascii="Times New Roman" w:hAnsi="Times New Roman"/>
          <w:sz w:val="20"/>
        </w:rPr>
      </w:pPr>
      <w:r>
        <w:rPr>
          <w:rFonts w:ascii="Times New Roman" w:hAnsi="Times New Roman"/>
          <w:sz w:val="20"/>
        </w:rPr>
        <w:t xml:space="preserve">(30) </w:t>
      </w:r>
      <w:r>
        <w:rPr>
          <w:rFonts w:ascii="Times New Roman" w:hAnsi="Times New Roman"/>
          <w:i/>
          <w:sz w:val="20"/>
        </w:rPr>
        <w:t>Stratigraphic test well.</w:t>
      </w:r>
      <w:r>
        <w:rPr>
          <w:rFonts w:ascii="Times New Roman" w:hAnsi="Times New Roman"/>
          <w:sz w:val="20"/>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rPr>
        <w:t>Undeveloped oil and gas reserves.</w:t>
      </w:r>
      <w:r>
        <w:rPr>
          <w:rFonts w:ascii="Times New Roman" w:hAnsi="Times New Roman"/>
          <w:sz w:val="20"/>
        </w:rPr>
        <w:t xml:space="preserve"> 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Undrilled locations can be classified as having undeveloped reserves only if a development plan has been adopted indicating that they are scheduled to be drilled within five years, unless the specific circumstances, justify a longer time. </w:t>
            </w:r>
          </w:p>
        </w:tc>
      </w:tr>
    </w:tbl>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From the SECs Compliance and Disclosure Interpretations (October 26, 2009):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Factors that a company should consider in determining whether or not circumstances justify recognizing reserves even though development may extend past five years include, but are not limited to, the following: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level of ongoing significant development activities in the area to be developed (for example, drilling only the minimum number of wells necessary to maintain the lease generally would not constitute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historical record at completing development of comparable long-term projects;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time in which the company has maintained the leases, or booked the reserves, without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0"/>
        <w:gridCol w:w="96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1"/>
        <w:gridCol w:w="9636"/>
        <w:gridCol w:w="61"/>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r>
              <w:rPr>
                <w:rFonts w:ascii="Times New Roman" w:hAnsi="Times New Roman"/>
                <w:sz w:val="20"/>
              </w:rPr>
              <w:t xml:space="preserve">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9 of 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72640" cy="2730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4"/>
                    <a:stretch>
                      <a:fillRect/>
                    </a:stretch>
                  </pic:blipFill>
                  <pic:spPr bwMode="auto">
                    <a:xfrm>
                      <a:off x="0" y="0"/>
                      <a:ext cx="2072640" cy="273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rPr>
        <w:t>Unproved properties.</w:t>
      </w:r>
      <w:r>
        <w:rPr>
          <w:rFonts w:ascii="Times New Roman" w:hAnsi="Times New Roman"/>
          <w:sz w:val="20"/>
        </w:rPr>
        <w:t xml:space="preserve"> Properties with no proved reserves.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10 of 10 </w:t>
      </w:r>
    </w:p>
    <w:p>
      <w:pPr>
        <w:pStyle w:val="TextBody"/>
        <w:bidi w:val="0"/>
        <w:spacing w:before="0" w:after="0"/>
        <w:jc w:val="right"/>
        <w:rPr>
          <w:rFonts w:ascii="Times New Roman" w:hAnsi="Times New Roman"/>
          <w:b/>
          <w:sz w:val="20"/>
          <w:shd w:fill="FFFFFF" w:val="clear"/>
        </w:rPr>
      </w:pPr>
      <w:bookmarkStart w:id="77" w:name="d785486dexfilingfees.htm"/>
      <w:bookmarkStart w:id="78" w:name="ksd785486dexfilingfees"/>
      <w:bookmarkEnd w:id="77"/>
      <w:bookmarkEnd w:id="78"/>
      <w:r>
        <w:rPr>
          <w:rFonts w:ascii="Times New Roman" w:hAnsi="Times New Roman"/>
          <w:b/>
          <w:sz w:val="20"/>
          <w:shd w:fill="FFFFFF" w:val="clear"/>
        </w:rPr>
        <w:t xml:space="preserve">Exhibit 107 </w:t>
      </w:r>
      <w:r>
        <w:br w:type="page"/>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Calculation of Filing Fee Tables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Form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S-3ASR</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(Form Type)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California Resources Corporation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(Exact Name of Registrant as Specified in its Charter) </w:t>
      </w:r>
    </w:p>
    <w:p>
      <w:pPr>
        <w:pStyle w:val="TextBody"/>
        <w:bidi w:val="0"/>
        <w:spacing w:before="240" w:after="0"/>
        <w:jc w:val="center"/>
        <w:rPr>
          <w:rFonts w:ascii="Times New Roman" w:hAnsi="Times New Roman"/>
          <w:spacing w:val="0"/>
          <w:sz w:val="20"/>
          <w:u w:val="single"/>
          <w:shd w:fill="FFFFFF" w:val="clear"/>
        </w:rPr>
      </w:pPr>
      <w:r>
        <w:rPr>
          <w:rFonts w:ascii="Times New Roman" w:hAnsi="Times New Roman"/>
          <w:spacing w:val="0"/>
          <w:sz w:val="20"/>
          <w:u w:val="single"/>
          <w:shd w:fill="FFFFFF" w:val="clear"/>
        </w:rPr>
        <w:t xml:space="preserve">Table 1: Newly Registered and Carry Forward Securities </w:t>
      </w:r>
    </w:p>
    <w:p>
      <w:pPr>
        <w:pStyle w:val="TextBody"/>
        <w:bidi w:val="0"/>
        <w:spacing w:before="0" w:after="0"/>
        <w:jc w:val="left"/>
        <w:rPr>
          <w:shd w:fill="FFFFFF" w:val="clear"/>
        </w:rPr>
      </w:pPr>
      <w:r>
        <w:rPr>
          <w:shd w:fill="FFFFFF" w:val="clear"/>
        </w:rPr>
        <w:t> </w:t>
      </w:r>
    </w:p>
    <w:tbl>
      <w:tblPr>
        <w:tblW w:w="13625" w:type="dxa"/>
        <w:jc w:val="left"/>
        <w:tblInd w:w="0" w:type="dxa"/>
        <w:tblLayout w:type="fixed"/>
        <w:tblCellMar>
          <w:top w:w="0" w:type="dxa"/>
          <w:left w:w="0" w:type="dxa"/>
          <w:bottom w:w="0" w:type="dxa"/>
          <w:right w:w="0" w:type="dxa"/>
        </w:tblCellMar>
      </w:tblPr>
      <w:tblGrid>
        <w:gridCol w:w="905"/>
        <w:gridCol w:w="60"/>
        <w:gridCol w:w="800"/>
        <w:gridCol w:w="60"/>
        <w:gridCol w:w="845"/>
        <w:gridCol w:w="60"/>
        <w:gridCol w:w="1145"/>
        <w:gridCol w:w="60"/>
        <w:gridCol w:w="1355"/>
        <w:gridCol w:w="60"/>
        <w:gridCol w:w="755"/>
        <w:gridCol w:w="60"/>
        <w:gridCol w:w="1340"/>
        <w:gridCol w:w="60"/>
        <w:gridCol w:w="1160"/>
        <w:gridCol w:w="60"/>
        <w:gridCol w:w="1220"/>
        <w:gridCol w:w="60"/>
        <w:gridCol w:w="875"/>
        <w:gridCol w:w="60"/>
        <w:gridCol w:w="875"/>
        <w:gridCol w:w="60"/>
        <w:gridCol w:w="875"/>
        <w:gridCol w:w="60"/>
        <w:gridCol w:w="755"/>
      </w:tblGrid>
      <w:tr>
        <w:trPr/>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Security</w:t>
              <w:br/>
              <w:t>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Fee</w:t>
              <w:br/>
              <w:t>Calculation </w:t>
              <w:br/>
              <w:t>or Carry</w:t>
              <w:br/>
              <w:t>Forward</w:t>
              <w:br/>
              <w:t>Rule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Amount</w:t>
            </w:r>
          </w:p>
          <w:p>
            <w:pPr>
              <w:pStyle w:val="TableContents"/>
              <w:bidi w:val="0"/>
              <w:spacing w:before="0" w:after="20"/>
              <w:jc w:val="center"/>
              <w:rPr>
                <w:rFonts w:ascii="Times New Roman" w:hAnsi="Times New Roman"/>
                <w:sz w:val="14"/>
              </w:rPr>
            </w:pPr>
            <w:r>
              <w:rPr>
                <w:rFonts w:ascii="Times New Roman" w:hAnsi="Times New Roman"/>
                <w:sz w:val="14"/>
              </w:rPr>
              <w:t>Registered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Proposed</w:t>
              <w:br/>
              <w:t>Maximum</w:t>
              <w:br/>
              <w:t>Offering</w:t>
            </w:r>
          </w:p>
          <w:p>
            <w:pPr>
              <w:pStyle w:val="TableContents"/>
              <w:bidi w:val="0"/>
              <w:spacing w:before="0" w:after="0"/>
              <w:jc w:val="center"/>
              <w:rPr>
                <w:rFonts w:ascii="Times New Roman" w:hAnsi="Times New Roman"/>
                <w:sz w:val="14"/>
              </w:rPr>
            </w:pPr>
            <w:r>
              <w:rPr>
                <w:rFonts w:ascii="Times New Roman" w:hAnsi="Times New Roman"/>
                <w:sz w:val="14"/>
              </w:rPr>
              <w:t>Price Per</w:t>
            </w:r>
          </w:p>
          <w:p>
            <w:pPr>
              <w:pStyle w:val="TableContents"/>
              <w:bidi w:val="0"/>
              <w:spacing w:before="0" w:after="20"/>
              <w:jc w:val="center"/>
              <w:rPr>
                <w:rFonts w:ascii="Times New Roman" w:hAnsi="Times New Roman"/>
                <w:sz w:val="14"/>
              </w:rPr>
            </w:pPr>
            <w:r>
              <w:rPr>
                <w:rFonts w:ascii="Times New Roman" w:hAnsi="Times New Roman"/>
                <w:sz w:val="14"/>
              </w:rPr>
              <w:t>Unit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Amount of</w:t>
              <w:br/>
              <w:t>Registration</w:t>
            </w:r>
          </w:p>
          <w:p>
            <w:pPr>
              <w:pStyle w:val="TableContents"/>
              <w:bidi w:val="0"/>
              <w:spacing w:before="0" w:after="20"/>
              <w:jc w:val="center"/>
              <w:rPr>
                <w:rFonts w:ascii="Times New Roman" w:hAnsi="Times New Roman"/>
                <w:sz w:val="14"/>
              </w:rPr>
            </w:pPr>
            <w:r>
              <w:rPr>
                <w:rFonts w:ascii="Times New Roman" w:hAnsi="Times New Roman"/>
                <w:sz w:val="14"/>
              </w:rPr>
              <w:t>Fee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 </w:t>
              <w:br/>
              <w:t>Form</w:t>
              <w:br/>
              <w:t>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 </w:t>
              <w:br/>
              <w:t>File</w:t>
              <w:br/>
              <w:t>Number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Carry</w:t>
              <w:br/>
              <w:t>Forward </w:t>
              <w:br/>
              <w:t>Initial</w:t>
              <w:br/>
              <w:t>effective </w:t>
              <w:br/>
              <w:t>date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0"/>
              <w:jc w:val="center"/>
              <w:rPr>
                <w:rFonts w:ascii="Times New Roman" w:hAnsi="Times New Roman"/>
                <w:sz w:val="14"/>
              </w:rPr>
            </w:pPr>
            <w:r>
              <w:rPr>
                <w:rFonts w:ascii="Times New Roman" w:hAnsi="Times New Roman"/>
                <w:sz w:val="14"/>
              </w:rPr>
              <w:t>Filing Fee</w:t>
              <w:br/>
              <w:t>Previously</w:t>
              <w:br/>
              <w:t>Paid In</w:t>
              <w:br/>
              <w:t>Connection</w:t>
              <w:br/>
              <w:t>with Unsold</w:t>
              <w:br/>
              <w:t>Securities to</w:t>
            </w:r>
          </w:p>
          <w:p>
            <w:pPr>
              <w:pStyle w:val="TableContents"/>
              <w:bidi w:val="0"/>
              <w:spacing w:before="0" w:after="0"/>
              <w:jc w:val="center"/>
              <w:rPr>
                <w:rFonts w:ascii="Times New Roman" w:hAnsi="Times New Roman"/>
                <w:sz w:val="14"/>
              </w:rPr>
            </w:pPr>
            <w:r>
              <w:rPr>
                <w:rFonts w:ascii="Times New Roman" w:hAnsi="Times New Roman"/>
                <w:sz w:val="14"/>
              </w:rPr>
              <w:t>be Carried</w:t>
            </w:r>
          </w:p>
          <w:p>
            <w:pPr>
              <w:pStyle w:val="TableContents"/>
              <w:bidi w:val="0"/>
              <w:spacing w:before="0" w:after="20"/>
              <w:jc w:val="center"/>
              <w:rPr>
                <w:rFonts w:ascii="Times New Roman" w:hAnsi="Times New Roman"/>
                <w:sz w:val="14"/>
              </w:rPr>
            </w:pPr>
            <w:r>
              <w:rPr>
                <w:rFonts w:ascii="Times New Roman" w:hAnsi="Times New Roman"/>
                <w:sz w:val="14"/>
              </w:rPr>
              <w:t>Forward</w:t>
            </w:r>
          </w:p>
        </w:tc>
      </w:tr>
      <w:tr>
        <w:trPr/>
        <w:tc>
          <w:tcPr>
            <w:tcW w:w="13625" w:type="dxa"/>
            <w:gridSpan w:val="25"/>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625" w:type="dxa"/>
            <w:gridSpan w:val="25"/>
            <w:tcBorders>
              <w:left w:val="single" w:sz="6" w:space="0" w:color="000000"/>
              <w:right w:val="single" w:sz="6" w:space="0" w:color="000000"/>
            </w:tcBorders>
            <w:tcMar>
              <w:left w:w="160" w:type="dxa"/>
              <w:right w:w="40" w:type="dxa"/>
            </w:tcMar>
            <w:vAlign w:val="center"/>
          </w:tcPr>
          <w:p>
            <w:pPr>
              <w:pStyle w:val="TableContents"/>
              <w:bidi w:val="0"/>
              <w:spacing w:before="0" w:after="283"/>
              <w:jc w:val="center"/>
              <w:rPr/>
            </w:pPr>
            <w:r>
              <w:rPr/>
              <w:t>Newly Registered Securities</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to Be </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Class A common stock, par value $0.01 per share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457(c)</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21,315,707 (1)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$44.92(2)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$957,501,558</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0.00014760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$141,327.23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w:t>
            </w:r>
          </w:p>
          <w:p>
            <w:pPr>
              <w:pStyle w:val="TableContents"/>
              <w:bidi w:val="0"/>
              <w:spacing w:before="0" w:after="0"/>
              <w:jc w:val="center"/>
              <w:rPr>
                <w:rFonts w:ascii="Times New Roman" w:hAnsi="Times New Roman"/>
                <w:sz w:val="20"/>
              </w:rPr>
            </w:pPr>
            <w:r>
              <w:rPr>
                <w:rFonts w:ascii="Times New Roman" w:hAnsi="Times New Roman"/>
                <w:sz w:val="20"/>
              </w:rPr>
              <w:t>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3625" w:type="dxa"/>
            <w:gridSpan w:val="25"/>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625" w:type="dxa"/>
            <w:gridSpan w:val="25"/>
            <w:tcBorders>
              <w:left w:val="single" w:sz="6" w:space="0" w:color="000000"/>
              <w:right w:val="single" w:sz="6" w:space="0" w:color="000000"/>
            </w:tcBorders>
            <w:tcMar>
              <w:left w:w="160" w:type="dxa"/>
              <w:right w:w="40" w:type="dxa"/>
            </w:tcMar>
            <w:vAlign w:val="center"/>
          </w:tcPr>
          <w:p>
            <w:pPr>
              <w:pStyle w:val="TableContents"/>
              <w:bidi w:val="0"/>
              <w:spacing w:before="0" w:after="283"/>
              <w:jc w:val="center"/>
              <w:rPr/>
            </w:pPr>
            <w:r>
              <w:rPr/>
              <w:t>Carry Forward Securities</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20"/>
              <w:jc w:val="center"/>
              <w:rPr>
                <w:rFonts w:ascii="Times New Roman" w:hAnsi="Times New Roman"/>
                <w:sz w:val="20"/>
              </w:rPr>
            </w:pPr>
            <w:r>
              <w:rPr>
                <w:rFonts w:ascii="Times New Roman" w:hAnsi="Times New Roman"/>
                <w:sz w:val="20"/>
              </w:rPr>
              <w:t>Forward 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38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325" w:type="dxa"/>
            <w:gridSpan w:val="7"/>
            <w:tcBorders/>
            <w:vAlign w:val="center"/>
          </w:tcPr>
          <w:p>
            <w:pPr>
              <w:pStyle w:val="TableContents"/>
              <w:bidi w:val="0"/>
              <w:spacing w:before="0" w:after="283"/>
              <w:jc w:val="center"/>
              <w:rPr/>
            </w:pPr>
            <w:r>
              <w:rPr/>
              <w:t>Total Offering Amounts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$141,327.23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38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325" w:type="dxa"/>
            <w:gridSpan w:val="7"/>
            <w:tcBorders/>
            <w:vAlign w:val="center"/>
          </w:tcPr>
          <w:p>
            <w:pPr>
              <w:pStyle w:val="TableContents"/>
              <w:bidi w:val="0"/>
              <w:spacing w:before="0" w:after="283"/>
              <w:jc w:val="center"/>
              <w:rPr/>
            </w:pPr>
            <w:r>
              <w:rPr/>
              <w:t>Total Fees Previously Paid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38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325" w:type="dxa"/>
            <w:gridSpan w:val="7"/>
            <w:tcBorders/>
            <w:vAlign w:val="center"/>
          </w:tcPr>
          <w:p>
            <w:pPr>
              <w:pStyle w:val="TableContents"/>
              <w:bidi w:val="0"/>
              <w:spacing w:before="0" w:after="283"/>
              <w:jc w:val="center"/>
              <w:rPr/>
            </w:pPr>
            <w:r>
              <w:rPr/>
              <w:t>Total Fee Offsets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5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0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385"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3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0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325" w:type="dxa"/>
            <w:gridSpan w:val="7"/>
            <w:tcBorders>
              <w:bottom w:val="single" w:sz="6" w:space="0" w:color="000000"/>
            </w:tcBorders>
            <w:tcMar>
              <w:bottom w:w="28" w:type="dxa"/>
            </w:tcMar>
            <w:vAlign w:val="center"/>
          </w:tcPr>
          <w:p>
            <w:pPr>
              <w:pStyle w:val="TableContents"/>
              <w:bidi w:val="0"/>
              <w:spacing w:before="0" w:after="283"/>
              <w:jc w:val="center"/>
              <w:rPr/>
            </w:pPr>
            <w:r>
              <w:rPr/>
              <w:t>Net Fee Due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$141,327.23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 under the Securities Act of 1933 (the “Securities Act”), the shares being registered hereunder include such indeterminate number of shares of common stock as may be issuable with respect to the shares being registered hereunder as a result of stock splits, stock dividends or similar transactions. This Registration Statement also covers an indeterminate amount of securities as may be issued in exchange for, or upon conversion or exercise of, as the case may be, the securities issued hereunder.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457(c) of the Securities Act, and solely for the purpose of calculating the registration fee, the proposed maximum offering price per share is $44.92, which is the average of the high and low sale prices of the common stock on August 5, 2024, as reported on the New York Stock Exchange.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609253/000160925324000043/crc-20231231.htm" TargetMode="External"/><Relationship Id="rId3" Type="http://schemas.openxmlformats.org/officeDocument/2006/relationships/hyperlink" Target="http://www.sec.gov/Archives/edgar/data/../../../ix?doc=/Archives/edgar/data/1609253/000095017024034816/crc-20240319.htm" TargetMode="External"/><Relationship Id="rId4" Type="http://schemas.openxmlformats.org/officeDocument/2006/relationships/hyperlink" Target="http://www.sec.gov/Archives/edgar/data/../../../ix?doc=/Archives/edgar/data/1609253/000160925324000080/crc-20240331.htm" TargetMode="External"/><Relationship Id="rId5" Type="http://schemas.openxmlformats.org/officeDocument/2006/relationships/hyperlink" Target="http://www.sec.gov/Archives/edgar/data/../../../ix?doc=/Archives/edgar/data/1609253/000160925324000020/crc-20240207.htm" TargetMode="External"/><Relationship Id="rId6" Type="http://schemas.openxmlformats.org/officeDocument/2006/relationships/hyperlink" Target="http://www.sec.gov/Archives/edgar/data/../../../ix?doc=/Archives/edgar/data/1609253/000160925324000022/crc-20240209.htm" TargetMode="External"/><Relationship Id="rId7" Type="http://schemas.openxmlformats.org/officeDocument/2006/relationships/hyperlink" Target="http://www.sec.gov/Archives/edgar/data/../../../ix?doc=/Archives/edgar/data/1609253/000160925324000048/crc-20240308.htm" TargetMode="External"/><Relationship Id="rId8" Type="http://schemas.openxmlformats.org/officeDocument/2006/relationships/hyperlink" Target="http://www.sec.gov/Archives/edgar/data/../../../ix?doc=/Archives/edgar/data/1609253/000160925324000053/crc-20240325.htm" TargetMode="External"/><Relationship Id="rId9" Type="http://schemas.openxmlformats.org/officeDocument/2006/relationships/hyperlink" Target="http://www.sec.gov/Archives/edgar/data/../../../ix?doc=/Archives/edgar/data/1609253/000160925324000059/crc-20240503.htm" TargetMode="External"/><Relationship Id="rId10" Type="http://schemas.openxmlformats.org/officeDocument/2006/relationships/hyperlink" Target="http://www.sec.gov/Archives/edgar/data/../../../ix?doc=/Archives/edgar/data/1609253/000119312524142231/d828680d8k.htm" TargetMode="External"/><Relationship Id="rId11" Type="http://schemas.openxmlformats.org/officeDocument/2006/relationships/hyperlink" Target="http://www.sec.gov/Archives/edgar/data/../../../ix?doc=/Archives/edgar/data/1609253/000160925324000090/crc-20240521.htm" TargetMode="External"/><Relationship Id="rId12" Type="http://schemas.openxmlformats.org/officeDocument/2006/relationships/hyperlink" Target="http://www.sec.gov/Archives/edgar/data/../../../ix?doc=/Archives/edgar/data/1609253/000119312524155155/d844238d8k.htm" TargetMode="External"/><Relationship Id="rId13" Type="http://schemas.openxmlformats.org/officeDocument/2006/relationships/hyperlink" Target="http://www.sec.gov/Archives/edgar/data/../../../ix?doc=/Archives/edgar/data/1609253/000160925324000097/crc-20240626.htm" TargetMode="External"/><Relationship Id="rId14" Type="http://schemas.openxmlformats.org/officeDocument/2006/relationships/hyperlink" Target="http://www.sec.gov/Archives/edgar/data/../../../ix?doc=/Archives/edgar/data/1609253/000119312524173343/d845209d8k.htm" TargetMode="External"/><Relationship Id="rId15" Type="http://schemas.openxmlformats.org/officeDocument/2006/relationships/hyperlink" Target="http://www.sec.gov/Archives/edgar/data/1609253/000160925320000137/form8-a.htm" TargetMode="External"/><Relationship Id="rId16" Type="http://schemas.openxmlformats.org/officeDocument/2006/relationships/hyperlink" Target="http://www.sec.gov/Archives/edgar/data/1609253/000160925321000047/a2020yeex41descriptionofca.htm" TargetMode="External"/><Relationship Id="rId17" Type="http://schemas.openxmlformats.org/officeDocument/2006/relationships/hyperlink" Target="http://www.sec.gov/Archives/edgar/data/1609253/000160925324000020/a20240207exhibit101.htm" TargetMode="External"/><Relationship Id="rId18" Type="http://schemas.openxmlformats.org/officeDocument/2006/relationships/hyperlink" Target="http://www.sec.gov/Archives/edgar/data/1609253/000110465914084170/a14-25233_1ex2d1.htm" TargetMode="External"/><Relationship Id="rId19" Type="http://schemas.openxmlformats.org/officeDocument/2006/relationships/hyperlink" Target="http://www.sec.gov/Archives/edgar/data/1609253/000160925320000133/a20201013exhibit991.htm" TargetMode="External"/><Relationship Id="rId20" Type="http://schemas.openxmlformats.org/officeDocument/2006/relationships/hyperlink" Target="http://www.sec.gov/Archives/edgar/data/1609253/000160925321000010/a20200120ex41.htm" TargetMode="External"/><Relationship Id="rId21" Type="http://schemas.openxmlformats.org/officeDocument/2006/relationships/hyperlink" Target="http://www.sec.gov/Archives/edgar/data/1609253/000160925321000010/a20200120ex42.htm" TargetMode="External"/><Relationship Id="rId22" Type="http://schemas.openxmlformats.org/officeDocument/2006/relationships/hyperlink" Target="http://www.sec.gov/Archives/edgar/data/1609253/000119312524173343/d845209dex106.htm" TargetMode="External"/><Relationship Id="rId23" Type="http://schemas.openxmlformats.org/officeDocument/2006/relationships/hyperlink" Target="http://www.sec.gov/Archives/edgar/data/1609253/000119312524155155/d844238dex41.htm" TargetMode="External"/><Relationship Id="rId24" Type="http://schemas.openxmlformats.org/officeDocument/2006/relationships/hyperlink" Target="http://www.sec.gov/Archives/edgar/data/1609253/000119312524173343/d845209dex107.htm" TargetMode="External"/><Relationship Id="rId25" Type="http://schemas.openxmlformats.org/officeDocument/2006/relationships/hyperlink" Target="http://www.sec.gov/Archives/edgar/data/1609253/000119312524173343/d845209dex101.htm" TargetMode="External"/><Relationship Id="rId26" Type="http://schemas.openxmlformats.org/officeDocument/2006/relationships/hyperlink" Target="http://www.sec.gov/Archives/edgar/data/1609253/000119312524173343/d845209dex102.htm" TargetMode="External"/><Relationship Id="rId27" Type="http://schemas.openxmlformats.org/officeDocument/2006/relationships/hyperlink" Target="http://www.sec.gov/Archives/edgar/data/1609253/000119312524173343/d845209dex103.htm" TargetMode="External"/><Relationship Id="rId28" Type="http://schemas.openxmlformats.org/officeDocument/2006/relationships/image" Target="media/image1.jpeg"/><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5.jpeg"/><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5.jpeg"/><Relationship Id="rId40" Type="http://schemas.openxmlformats.org/officeDocument/2006/relationships/image" Target="media/image5.jpeg"/><Relationship Id="rId41" Type="http://schemas.openxmlformats.org/officeDocument/2006/relationships/image" Target="media/image5.jpeg"/><Relationship Id="rId42" Type="http://schemas.openxmlformats.org/officeDocument/2006/relationships/image" Target="media/image5.jpeg"/><Relationship Id="rId43" Type="http://schemas.openxmlformats.org/officeDocument/2006/relationships/image" Target="media/image5.jpeg"/><Relationship Id="rId44" Type="http://schemas.openxmlformats.org/officeDocument/2006/relationships/image" Target="media/image5.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115</Pages>
  <Words>50486</Words>
  <Characters>267076</Characters>
  <CharactersWithSpaces>326964</CharactersWithSpaces>
  <Paragraphs>19367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