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576580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3"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5, 2022</w:t>
      </w:r>
    </w:p>
    <w:p>
      <w:pPr>
        <w:spacing w:after="0" w:line="17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391" w:right="49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6"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6"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color w:val="auto"/>
        </w:rPr>
        <w:t>(Commission</w:t>
      </w:r>
    </w:p>
    <w:p>
      <w:pPr>
        <w:spacing w:after="0" w:line="4"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1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0" w:lineRule="exact"/>
        <w:rPr>
          <w:sz w:val="24"/>
          <w:szCs w:val="24"/>
          <w:color w:val="auto"/>
        </w:rPr>
      </w:pPr>
    </w:p>
    <w:p>
      <w:pPr>
        <w:sectPr>
          <w:pgSz w:w="11900" w:h="16838" w:orient="portrait"/>
          <w:cols w:equalWidth="0" w:num="3">
            <w:col w:w="4380" w:space="720"/>
            <w:col w:w="2880" w:space="720"/>
            <w:col w:w="2380"/>
          </w:cols>
          <w:pgMar w:left="320" w:top="1391" w:right="49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1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1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1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6"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color w:val="auto"/>
        </w:rPr>
        <w:t>(Zip Code)</w:t>
      </w:r>
    </w:p>
    <w:p>
      <w:pPr>
        <w:spacing w:after="0" w:line="167" w:lineRule="exact"/>
        <w:rPr>
          <w:sz w:val="24"/>
          <w:szCs w:val="24"/>
          <w:color w:val="auto"/>
        </w:rPr>
      </w:pPr>
    </w:p>
    <w:p>
      <w:pPr>
        <w:sectPr>
          <w:pgSz w:w="11900" w:h="16838" w:orient="portrait"/>
          <w:cols w:equalWidth="0" w:num="2">
            <w:col w:w="7300" w:space="720"/>
            <w:col w:w="3060"/>
          </w:cols>
          <w:pgMar w:left="320" w:top="1391"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27200 Tourney Road, Suite 200, Santa Clarita, California 91355</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7"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4"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7" w:lineRule="exact"/>
        <w:rPr>
          <w:rFonts w:ascii="MS PGothic" w:cs="MS PGothic" w:eastAsia="MS PGothic" w:hAnsi="MS PGothic"/>
          <w:sz w:val="19"/>
          <w:szCs w:val="19"/>
          <w:color w:val="auto"/>
        </w:rPr>
      </w:pPr>
    </w:p>
    <w:p>
      <w:pPr>
        <w:ind w:left="360" w:hanging="354"/>
        <w:spacing w:after="0"/>
        <w:tabs>
          <w:tab w:leader="none" w:pos="3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391" w:right="499" w:bottom="1440" w:gutter="0" w:footer="0" w:header="0"/>
          <w:type w:val="continuous"/>
        </w:sectPr>
      </w:pPr>
    </w:p>
    <w:p>
      <w:pPr>
        <w:spacing w:after="0" w:line="12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58" w:lineRule="exact"/>
        <w:rPr>
          <w:sz w:val="24"/>
          <w:szCs w:val="24"/>
          <w:color w:val="auto"/>
        </w:rPr>
      </w:pPr>
    </w:p>
    <w:p>
      <w:pPr>
        <w:sectPr>
          <w:pgSz w:w="11900" w:h="16838" w:orient="portrait"/>
          <w:cols w:equalWidth="0" w:num="3">
            <w:col w:w="3500" w:space="720"/>
            <w:col w:w="2260" w:space="720"/>
            <w:col w:w="3880"/>
          </w:cols>
          <w:pgMar w:left="320" w:top="1391" w:right="499" w:bottom="1440" w:gutter="0" w:footer="0" w:header="0"/>
          <w:type w:val="continuous"/>
        </w:sect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15" w:lineRule="exact"/>
        <w:rPr>
          <w:sz w:val="24"/>
          <w:szCs w:val="24"/>
          <w:color w:val="auto"/>
        </w:rPr>
      </w:pPr>
    </w:p>
    <w:p>
      <w:pPr>
        <w:ind w:right="20"/>
        <w:spacing w:after="0" w:line="24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761365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210185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235585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80"/>
          </w:cols>
          <w:pgMar w:left="320" w:top="1391" w:right="499" w:bottom="1440" w:gutter="0" w:footer="0" w:header="0"/>
          <w:type w:val="continuous"/>
        </w:sectPr>
      </w:pPr>
    </w:p>
    <w:bookmarkStart w:id="1" w:name="page2"/>
    <w:bookmarkEnd w:id="1"/>
    <w:p>
      <w:pPr>
        <w:spacing w:after="0" w:line="29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May 5, 2022, California Resources Corporation (the “Company”) issued a press release announcing its financial condition and results of operations for the three months ended March 31, 2022. A copy of the press release is furnished as Exhibit 99.1 to this report on Form 8-K, and is incorporated herein by reference.</w:t>
      </w:r>
    </w:p>
    <w:p>
      <w:pPr>
        <w:spacing w:after="0" w:line="13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38"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54"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8"/>
          <w:szCs w:val="18"/>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30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71"/>
        </w:trPr>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320" w:type="dxa"/>
            <w:vAlign w:val="bottom"/>
          </w:tcPr>
          <w:p>
            <w:pPr>
              <w:spacing w:after="0"/>
              <w:rPr>
                <w:sz w:val="24"/>
                <w:szCs w:val="24"/>
                <w:color w:val="auto"/>
              </w:rPr>
            </w:pPr>
          </w:p>
        </w:tc>
        <w:tc>
          <w:tcPr>
            <w:tcW w:w="264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r>
        <w:trPr>
          <w:trHeight w:val="224"/>
        </w:trPr>
        <w:tc>
          <w:tcPr>
            <w:tcW w:w="218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99.1</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5, 2022.</w:t>
            </w:r>
          </w:p>
        </w:tc>
      </w:tr>
      <w:tr>
        <w:trPr>
          <w:trHeight w:val="20"/>
        </w:trPr>
        <w:tc>
          <w:tcPr>
            <w:tcW w:w="218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61" w:lineRule="exact"/>
        <w:rPr>
          <w:sz w:val="20"/>
          <w:szCs w:val="20"/>
          <w:color w:val="auto"/>
        </w:rPr>
      </w:pPr>
    </w:p>
    <w:p>
      <w:pPr>
        <w:ind w:left="2180" w:hanging="1346"/>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9" w:lineRule="exact"/>
        <w:rPr>
          <w:sz w:val="20"/>
          <w:szCs w:val="20"/>
          <w:color w:val="auto"/>
        </w:rPr>
      </w:pPr>
    </w:p>
    <w:p>
      <w:pPr>
        <w:ind w:right="520"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13"/>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5"/>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Executive Vice President, Chief Administrative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2022</w:t>
      </w:r>
    </w:p>
    <w:p>
      <w:pPr>
        <w:sectPr>
          <w:pgSz w:w="11900" w:h="16838" w:orient="portrait"/>
          <w:cols w:equalWidth="0" w:num="1">
            <w:col w:w="11240"/>
          </w:cols>
          <w:pgMar w:left="320" w:top="139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5726430</wp:posOffset>
            </wp:positionH>
            <wp:positionV relativeFrom="page">
              <wp:posOffset>720090</wp:posOffset>
            </wp:positionV>
            <wp:extent cx="1615440"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15440" cy="47117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NEWS RELEASE</w:t>
      </w:r>
    </w:p>
    <w:p>
      <w:pPr>
        <w:spacing w:after="0" w:line="249" w:lineRule="exact"/>
        <w:rPr>
          <w:sz w:val="20"/>
          <w:szCs w:val="20"/>
          <w:color w:val="auto"/>
        </w:rPr>
      </w:pPr>
    </w:p>
    <w:p>
      <w:pPr>
        <w:jc w:val="center"/>
        <w:spacing w:after="0" w:line="300" w:lineRule="auto"/>
        <w:rPr>
          <w:sz w:val="20"/>
          <w:szCs w:val="20"/>
          <w:color w:val="auto"/>
        </w:rPr>
      </w:pPr>
      <w:r>
        <w:rPr>
          <w:rFonts w:ascii="Arial" w:cs="Arial" w:eastAsia="Arial" w:hAnsi="Arial"/>
          <w:sz w:val="21"/>
          <w:szCs w:val="21"/>
          <w:b w:val="1"/>
          <w:bCs w:val="1"/>
          <w:u w:val="single" w:color="auto"/>
          <w:color w:val="auto"/>
        </w:rPr>
        <w:t>California Resources Reports First Quarter 2022 Results, Increases and Extends its Share Repurchase Program, Raises 2022 Guidance and Provides an Update on its Carbon Management Business</w:t>
      </w:r>
    </w:p>
    <w:p>
      <w:pPr>
        <w:spacing w:after="0" w:line="36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21"/>
          <w:szCs w:val="21"/>
          <w:color w:val="auto"/>
        </w:rPr>
        <w:t>Santa Clarita, May 5, 2022 - California Resources Corporation (NYSE: CRC), an independent oil and natural gas company committed to energy transition in the sector, today reported first quarter 2022 operational and financial results.</w:t>
      </w:r>
    </w:p>
    <w:p>
      <w:pPr>
        <w:spacing w:after="0" w:line="14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21"/>
          <w:szCs w:val="21"/>
          <w:color w:val="auto"/>
        </w:rPr>
        <w:t>"CRC began 2022 on a good note as we continued to deliver strong operational results. Given our continued robust free cash flow generation and pristine balance sheet, we are increasing our share repurchase program by $300 million to $650 million in total, adding one drilling rig at our Wilmington Field and raising our full year guidance," said Mac McFarland, President and Chief Executive Officer.</w:t>
      </w:r>
    </w:p>
    <w:p>
      <w:pPr>
        <w:spacing w:after="0" w:line="190" w:lineRule="exact"/>
        <w:rPr>
          <w:sz w:val="20"/>
          <w:szCs w:val="20"/>
          <w:color w:val="auto"/>
        </w:rPr>
      </w:pPr>
    </w:p>
    <w:p>
      <w:pPr>
        <w:jc w:val="both"/>
        <w:ind w:firstLine="318"/>
        <w:spacing w:after="0"/>
        <w:rPr>
          <w:sz w:val="20"/>
          <w:szCs w:val="20"/>
          <w:color w:val="auto"/>
        </w:rPr>
      </w:pPr>
      <w:r>
        <w:rPr>
          <w:rFonts w:ascii="Arial" w:cs="Arial" w:eastAsia="Arial" w:hAnsi="Arial"/>
          <w:sz w:val="21"/>
          <w:szCs w:val="21"/>
          <w:color w:val="auto"/>
        </w:rPr>
        <w:t xml:space="preserve">Mr. McFarland continued, "We are further advancing our energy transition efforts by filing additional EPA Class VI permits on 80 million metric tons of carbon dioxide (CO </w:t>
      </w:r>
      <w:r>
        <w:rPr>
          <w:rFonts w:ascii="Arial" w:cs="Arial" w:eastAsia="Arial" w:hAnsi="Arial"/>
          <w:sz w:val="11"/>
          <w:szCs w:val="11"/>
          <w:color w:val="auto"/>
        </w:rPr>
        <w:t>2</w:t>
      </w:r>
      <w:r>
        <w:rPr>
          <w:rFonts w:ascii="Arial" w:cs="Arial" w:eastAsia="Arial" w:hAnsi="Arial"/>
          <w:sz w:val="21"/>
          <w:szCs w:val="21"/>
          <w:color w:val="auto"/>
        </w:rPr>
        <w:t>) permanent storage and expanding our carbon storage network to the San Francisco Bay Area. Additionally, we are pleased to announce that we are progressing our CalCapture project. We have engaged Next Carbon Solutions to conduct a second front-end engineering and design study to explore the decarbonization of our Elk Hills power plant and the potential to produce California's first "Net Zero" barrel. This project is estimated to capture up to 28 million metric tons of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over its 20 year project life, the equivalent emissions of more than 300,000 gas-fueled passenger vehicles per year. This opportunity further highlights our continued focus on lowering our emissions and advancing our ESG goals to demonstrate leadership in the energy transition."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Primary Highlights</w:t>
      </w:r>
    </w:p>
    <w:p>
      <w:pPr>
        <w:spacing w:after="0" w:line="251" w:lineRule="exact"/>
        <w:rPr>
          <w:sz w:val="20"/>
          <w:szCs w:val="20"/>
          <w:color w:val="auto"/>
        </w:rPr>
      </w:pPr>
    </w:p>
    <w:p>
      <w:pPr>
        <w:ind w:left="260" w:hanging="135"/>
        <w:spacing w:after="0"/>
        <w:tabs>
          <w:tab w:leader="none" w:pos="26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Increasing full year 2022 production, adjusted EBITDAX and free cash flow guidance</w:t>
      </w:r>
    </w:p>
    <w:p>
      <w:pPr>
        <w:spacing w:after="0" w:line="30" w:lineRule="exact"/>
        <w:rPr>
          <w:rFonts w:ascii="Arial" w:cs="Arial" w:eastAsia="Arial" w:hAnsi="Arial"/>
          <w:sz w:val="21"/>
          <w:szCs w:val="21"/>
          <w:color w:val="auto"/>
        </w:rPr>
      </w:pPr>
    </w:p>
    <w:p>
      <w:pPr>
        <w:ind w:left="320" w:hanging="195"/>
        <w:spacing w:after="0" w:line="256"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Expanding the drilling program to add a fifth drilling rig at CRC's Wilmington Field which is expected to add ~1,000 net barrels of oil per day to CRC's full year 2022 production for approximately $25 million in capital</w:t>
      </w:r>
    </w:p>
    <w:p>
      <w:pPr>
        <w:spacing w:after="0" w:line="1" w:lineRule="exact"/>
        <w:rPr>
          <w:rFonts w:ascii="Arial" w:cs="Arial" w:eastAsia="Arial" w:hAnsi="Arial"/>
          <w:sz w:val="21"/>
          <w:szCs w:val="21"/>
          <w:color w:val="auto"/>
        </w:rPr>
      </w:pPr>
    </w:p>
    <w:p>
      <w:pPr>
        <w:ind w:left="320" w:hanging="195"/>
        <w:spacing w:after="0" w:line="194"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Filed an additional 80 million metric tons (MMT)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permanent storage with the EPA for Class VI permits and opened a second network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storage in the Sacramento basin</w:t>
      </w:r>
    </w:p>
    <w:p>
      <w:pPr>
        <w:spacing w:after="0" w:line="1" w:lineRule="exact"/>
        <w:rPr>
          <w:rFonts w:ascii="Arial" w:cs="Arial" w:eastAsia="Arial" w:hAnsi="Arial"/>
          <w:sz w:val="21"/>
          <w:szCs w:val="21"/>
          <w:color w:val="auto"/>
        </w:rPr>
      </w:pPr>
    </w:p>
    <w:p>
      <w:pPr>
        <w:jc w:val="both"/>
        <w:ind w:left="320" w:hanging="195"/>
        <w:spacing w:after="0" w:line="265"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Reached an agreement with Next Carbon Solutions to conduct a second front-end engineering and design (FEED) study for CRC's CalCapture CCS+ project which could potentially produce the first "Net Zero" barrel of oil in California</w:t>
      </w:r>
    </w:p>
    <w:p>
      <w:pPr>
        <w:spacing w:after="0" w:line="230" w:lineRule="exact"/>
        <w:rPr>
          <w:rFonts w:ascii="Arial" w:cs="Arial" w:eastAsia="Arial" w:hAnsi="Arial"/>
          <w:sz w:val="21"/>
          <w:szCs w:val="21"/>
          <w:color w:val="auto"/>
        </w:rPr>
      </w:pPr>
    </w:p>
    <w:p>
      <w:pPr>
        <w:ind w:left="320" w:hanging="195"/>
        <w:spacing w:after="0" w:line="252"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Successfully completed the 10-year maintenance turnaround at CRC's cryogenic gas plant, or CGP1 safely, ahead of schedule and within the $15 million budget</w:t>
      </w:r>
    </w:p>
    <w:p>
      <w:pPr>
        <w:spacing w:after="0" w:line="1" w:lineRule="exact"/>
        <w:rPr>
          <w:rFonts w:ascii="Arial" w:cs="Arial" w:eastAsia="Arial" w:hAnsi="Arial"/>
          <w:sz w:val="21"/>
          <w:szCs w:val="21"/>
          <w:color w:val="auto"/>
        </w:rPr>
      </w:pPr>
    </w:p>
    <w:p>
      <w:pPr>
        <w:ind w:left="320" w:hanging="195"/>
        <w:spacing w:after="0" w:line="268" w:lineRule="auto"/>
        <w:tabs>
          <w:tab w:leader="none" w:pos="262"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Repurchased $71 million of shares during the first quarter; repurchased an aggregate 6,210,479 shares for $239 million since inception through April 29, 2022 for an average price of $38.40 per share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jc w:val="both"/>
        <w:ind w:left="320" w:hanging="195"/>
        <w:spacing w:after="0" w:line="259"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Increased the Share Repurchase Program by $300 million to $650 million and extended the term of the program through June 30, 2023. After the repurchases through April 29, 2022, and the $300 million increase, CRC has $411 million available for future repurchases</w:t>
      </w:r>
    </w:p>
    <w:p>
      <w:pPr>
        <w:spacing w:after="0" w:line="1" w:lineRule="exact"/>
        <w:rPr>
          <w:rFonts w:ascii="Arial" w:cs="Arial" w:eastAsia="Arial" w:hAnsi="Arial"/>
          <w:sz w:val="21"/>
          <w:szCs w:val="21"/>
          <w:color w:val="auto"/>
        </w:rPr>
      </w:pPr>
    </w:p>
    <w:p>
      <w:pPr>
        <w:ind w:left="320" w:hanging="195"/>
        <w:spacing w:after="0" w:line="252"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Amended the Revolving Credit Facility to, among other things, modify minimum hedge requirements and restricted payment and investment covenants</w:t>
      </w:r>
    </w:p>
    <w:p>
      <w:pPr>
        <w:spacing w:after="0" w:line="1" w:lineRule="exact"/>
        <w:rPr>
          <w:rFonts w:ascii="Arial" w:cs="Arial" w:eastAsia="Arial" w:hAnsi="Arial"/>
          <w:sz w:val="21"/>
          <w:szCs w:val="21"/>
          <w:color w:val="auto"/>
        </w:rPr>
      </w:pPr>
    </w:p>
    <w:p>
      <w:pPr>
        <w:jc w:val="both"/>
        <w:ind w:left="320" w:hanging="195"/>
        <w:spacing w:after="0" w:line="259" w:lineRule="auto"/>
        <w:tabs>
          <w:tab w:leader="none" w:pos="262" w:val="left"/>
        </w:tabs>
        <w:numPr>
          <w:ilvl w:val="0"/>
          <w:numId w:val="4"/>
        </w:numPr>
        <w:rPr>
          <w:rFonts w:ascii="Arial" w:cs="Arial" w:eastAsia="Arial" w:hAnsi="Arial"/>
          <w:sz w:val="21"/>
          <w:szCs w:val="21"/>
          <w:color w:val="auto"/>
        </w:rPr>
      </w:pPr>
      <w:r>
        <w:rPr>
          <w:rFonts w:ascii="Arial" w:cs="Arial" w:eastAsia="Arial" w:hAnsi="Arial"/>
          <w:sz w:val="21"/>
          <w:szCs w:val="21"/>
          <w:color w:val="auto"/>
        </w:rPr>
        <w:t>Declared a quarterly dividend of $0.17 per share of common stock, totaling $13 million payable on June 16, 2022, to shareholders of record on June 1, 2022, with subsequent quarterly dividends subject to final determination and Board approval</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First Quarter 2022 Highlights</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Financial</w:t>
      </w:r>
    </w:p>
    <w:p>
      <w:pPr>
        <w:spacing w:after="0" w:line="30" w:lineRule="exact"/>
        <w:rPr>
          <w:sz w:val="20"/>
          <w:szCs w:val="20"/>
          <w:color w:val="auto"/>
        </w:rPr>
      </w:pPr>
    </w:p>
    <w:p>
      <w:pPr>
        <w:jc w:val="both"/>
        <w:ind w:left="320" w:hanging="195"/>
        <w:spacing w:after="0" w:line="228"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Reported net loss attributable to common stock of $175 million, or a loss of $2.23 per diluted share. When adjusted for items analysts typically exclude from estimates including noncash mark-to-market losses and gains on asset divestitures, the Company’s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$91 million, or $1.13 per diluted share</w:t>
      </w:r>
    </w:p>
    <w:p>
      <w:pPr>
        <w:spacing w:after="0" w:line="1" w:lineRule="exact"/>
        <w:rPr>
          <w:rFonts w:ascii="Arial" w:cs="Arial" w:eastAsia="Arial" w:hAnsi="Arial"/>
          <w:sz w:val="21"/>
          <w:szCs w:val="21"/>
          <w:color w:val="auto"/>
        </w:rPr>
      </w:pPr>
    </w:p>
    <w:p>
      <w:pPr>
        <w:ind w:left="320" w:hanging="195"/>
        <w:spacing w:after="0" w:line="199"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$160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$206 million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$61 million</w:t>
      </w:r>
    </w:p>
    <w:p>
      <w:pPr>
        <w:spacing w:after="0" w:line="1" w:lineRule="exact"/>
        <w:rPr>
          <w:rFonts w:ascii="Arial" w:cs="Arial" w:eastAsia="Arial" w:hAnsi="Arial"/>
          <w:sz w:val="21"/>
          <w:szCs w:val="21"/>
          <w:color w:val="auto"/>
        </w:rPr>
      </w:pPr>
    </w:p>
    <w:p>
      <w:pPr>
        <w:ind w:left="320" w:hanging="195"/>
        <w:spacing w:after="0" w:line="273" w:lineRule="auto"/>
        <w:tabs>
          <w:tab w:leader="none" w:pos="262" w:val="left"/>
        </w:tabs>
        <w:numPr>
          <w:ilvl w:val="0"/>
          <w:numId w:val="5"/>
        </w:numPr>
        <w:rPr>
          <w:rFonts w:ascii="Arial" w:cs="Arial" w:eastAsia="Arial" w:hAnsi="Arial"/>
          <w:sz w:val="21"/>
          <w:szCs w:val="21"/>
          <w:color w:val="auto"/>
        </w:rPr>
      </w:pPr>
      <w:r>
        <w:rPr>
          <w:rFonts w:ascii="Arial" w:cs="Arial" w:eastAsia="Arial" w:hAnsi="Arial"/>
          <w:sz w:val="21"/>
          <w:szCs w:val="21"/>
          <w:color w:val="auto"/>
        </w:rPr>
        <w:t>Closed the quarter with $328 million of cash on hand, $23 million more than at the end of 2021, an undrawn credit facility and $744 million of liquidity</w:t>
      </w:r>
      <w:r>
        <w:rPr>
          <w:rFonts w:ascii="Arial" w:cs="Arial" w:eastAsia="Arial" w:hAnsi="Arial"/>
          <w:sz w:val="27"/>
          <w:szCs w:val="27"/>
          <w:color w:val="auto"/>
          <w:vertAlign w:val="superscript"/>
        </w:rPr>
        <w:t>2</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Operations</w:t>
      </w:r>
    </w:p>
    <w:p>
      <w:pPr>
        <w:spacing w:after="0" w:line="30" w:lineRule="exact"/>
        <w:rPr>
          <w:sz w:val="20"/>
          <w:szCs w:val="20"/>
          <w:color w:val="auto"/>
        </w:rPr>
      </w:pPr>
    </w:p>
    <w:p>
      <w:pPr>
        <w:ind w:left="320" w:hanging="195"/>
        <w:spacing w:after="0" w:line="256" w:lineRule="auto"/>
        <w:tabs>
          <w:tab w:leader="none" w:pos="262" w:val="left"/>
        </w:tabs>
        <w:numPr>
          <w:ilvl w:val="0"/>
          <w:numId w:val="6"/>
        </w:numPr>
        <w:rPr>
          <w:rFonts w:ascii="Arial" w:cs="Arial" w:eastAsia="Arial" w:hAnsi="Arial"/>
          <w:sz w:val="21"/>
          <w:szCs w:val="21"/>
          <w:color w:val="auto"/>
        </w:rPr>
      </w:pPr>
      <w:r>
        <w:rPr>
          <w:rFonts w:ascii="Arial" w:cs="Arial" w:eastAsia="Arial" w:hAnsi="Arial"/>
          <w:sz w:val="21"/>
          <w:szCs w:val="21"/>
          <w:color w:val="auto"/>
        </w:rPr>
        <w:t>Produced an average of 88,000 net barrels of oil equivalent (BOE) per day, including 56,000 barrels per day of oil, with capital expenditures of $99 million during the quarter</w:t>
      </w:r>
    </w:p>
    <w:p>
      <w:pPr>
        <w:spacing w:after="0" w:line="1" w:lineRule="exact"/>
        <w:rPr>
          <w:rFonts w:ascii="Arial" w:cs="Arial" w:eastAsia="Arial" w:hAnsi="Arial"/>
          <w:sz w:val="21"/>
          <w:szCs w:val="21"/>
          <w:color w:val="auto"/>
        </w:rPr>
      </w:pPr>
    </w:p>
    <w:p>
      <w:pPr>
        <w:ind w:left="320" w:hanging="195"/>
        <w:spacing w:after="0" w:line="250" w:lineRule="auto"/>
        <w:tabs>
          <w:tab w:leader="none" w:pos="262" w:val="left"/>
        </w:tabs>
        <w:numPr>
          <w:ilvl w:val="0"/>
          <w:numId w:val="6"/>
        </w:numPr>
        <w:rPr>
          <w:rFonts w:ascii="Arial" w:cs="Arial" w:eastAsia="Arial" w:hAnsi="Arial"/>
          <w:sz w:val="21"/>
          <w:szCs w:val="21"/>
          <w:color w:val="auto"/>
        </w:rPr>
      </w:pPr>
      <w:r>
        <w:rPr>
          <w:rFonts w:ascii="Arial" w:cs="Arial" w:eastAsia="Arial" w:hAnsi="Arial"/>
          <w:sz w:val="21"/>
          <w:szCs w:val="21"/>
          <w:color w:val="auto"/>
        </w:rPr>
        <w:t>Operated three drilling rigs in the San Joaquin Basin and one drilling rig in the Los Angeles Basin; drilled 42 wells (40 online in 1Q22)</w:t>
      </w:r>
    </w:p>
    <w:p>
      <w:pPr>
        <w:ind w:left="260" w:hanging="135"/>
        <w:spacing w:after="0"/>
        <w:tabs>
          <w:tab w:leader="none" w:pos="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Operated 32 maintenance rigs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2022 Production Guidance &amp; Capital Program Update</w:t>
      </w:r>
      <w:r>
        <w:rPr>
          <w:rFonts w:ascii="Times New Roman" w:cs="Times New Roman" w:eastAsia="Times New Roman" w:hAnsi="Times New Roman"/>
          <w:sz w:val="11"/>
          <w:szCs w:val="11"/>
          <w:color w:val="auto"/>
        </w:rPr>
        <w:t>3</w:t>
      </w:r>
    </w:p>
    <w:p>
      <w:pPr>
        <w:spacing w:after="0" w:line="251" w:lineRule="exact"/>
        <w:rPr>
          <w:sz w:val="20"/>
          <w:szCs w:val="20"/>
          <w:color w:val="auto"/>
        </w:rPr>
      </w:pPr>
    </w:p>
    <w:p>
      <w:pPr>
        <w:jc w:val="both"/>
        <w:ind w:firstLine="318"/>
        <w:spacing w:after="0"/>
        <w:rPr>
          <w:sz w:val="20"/>
          <w:szCs w:val="20"/>
          <w:color w:val="auto"/>
        </w:rPr>
      </w:pPr>
      <w:r>
        <w:rPr>
          <w:rFonts w:ascii="Arial" w:cs="Arial" w:eastAsia="Arial" w:hAnsi="Arial"/>
          <w:sz w:val="21"/>
          <w:szCs w:val="21"/>
          <w:color w:val="auto"/>
        </w:rPr>
        <w:t>CRC is increasing its 2022 capital program to a range of $340 to $385 million from $330 million to $375 million. For CRC's oil and natural gas operations, in response to the continued strong commodity environment, CRC increased its capital program to add one rig at its Wilmington Field. This additional rig is expected to generate IRR's of above 160% and paybacks of approximately one year. For CRC’s carbon management activities, CRC decreased its capital program to remove approximately $20 million for purchases of properties, land easements and leases. These amounts will be reported separately from its 2022 capital program in its condensed consolidated financial statements. This level of expected spending is consistent with CRC's strategy of investing up to 50% of its operating cash flow back into its oil and gas operations and targeting investing approximately 25% of its operating cash flow in carbon management projects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82" w:right="339" w:bottom="1440" w:gutter="0" w:footer="0" w:header="0"/>
        </w:sectPr>
      </w:pPr>
    </w:p>
    <w:bookmarkStart w:id="5" w:name="page6"/>
    <w:bookmarkEnd w:id="5"/>
    <w:p>
      <w:pPr>
        <w:jc w:val="both"/>
        <w:ind w:firstLine="318"/>
        <w:spacing w:after="0" w:line="249" w:lineRule="auto"/>
        <w:rPr>
          <w:sz w:val="20"/>
          <w:szCs w:val="20"/>
          <w:color w:val="auto"/>
        </w:rPr>
      </w:pPr>
      <w:r>
        <w:rPr>
          <w:rFonts w:ascii="Arial" w:cs="Arial" w:eastAsia="Arial" w:hAnsi="Arial"/>
          <w:sz w:val="21"/>
          <w:szCs w:val="21"/>
          <w:color w:val="auto"/>
        </w:rPr>
        <w:t>With this capital program, CRC expects to maintain oil production flat from exit to exit and is increasing its production guidance to 91,000 to 94,000 BOE per day. CRC plans to run five drilling rigs in the Mount Poso, Elk Hills, Buena Vista and Wilmington fields, and will focus on high return oil opportunities and continue to build off of the success of the 2021 drilling program.</w:t>
      </w:r>
    </w:p>
    <w:p>
      <w:pPr>
        <w:spacing w:after="0" w:line="186" w:lineRule="exact"/>
        <w:rPr>
          <w:sz w:val="20"/>
          <w:szCs w:val="20"/>
          <w:color w:val="auto"/>
        </w:rPr>
      </w:pPr>
    </w:p>
    <w:p>
      <w:pPr>
        <w:jc w:val="both"/>
        <w:ind w:firstLine="318"/>
        <w:spacing w:after="0" w:line="227" w:lineRule="auto"/>
        <w:rPr>
          <w:sz w:val="20"/>
          <w:szCs w:val="20"/>
          <w:color w:val="auto"/>
        </w:rPr>
      </w:pPr>
      <w:r>
        <w:rPr>
          <w:rFonts w:ascii="Arial" w:cs="Arial" w:eastAsia="Arial" w:hAnsi="Arial"/>
          <w:sz w:val="21"/>
          <w:szCs w:val="21"/>
          <w:color w:val="auto"/>
        </w:rPr>
        <w:t>In addition, CRC is raising its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by 17% and 11% at the midpoint, respectively, to $330 to $410 million and $860 to $960 million.</w:t>
      </w:r>
    </w:p>
    <w:p>
      <w:pPr>
        <w:spacing w:after="0" w:line="185"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21"/>
          <w:szCs w:val="21"/>
          <w:color w:val="auto"/>
        </w:rPr>
        <w:t>As a result of higher prices for purchased natural gas, which CRC uses to generate electricity for its operations, and for purchased electricity, the company is also raising its operating cost guidance to $680 to $720 million from $640 to $670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417830</wp:posOffset>
            </wp:positionV>
            <wp:extent cx="7067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3</w:t>
            </w:r>
          </w:p>
        </w:tc>
        <w:tc>
          <w:tcPr>
            <w:tcW w:w="2620" w:type="dxa"/>
            <w:vAlign w:val="bottom"/>
            <w:tcBorders>
              <w:top w:val="single" w:sz="8" w:color="auto"/>
            </w:tcBorders>
            <w:gridSpan w:val="3"/>
            <w:vMerge w:val="restart"/>
          </w:tcPr>
          <w:p>
            <w:pPr>
              <w:jc w:val="center"/>
              <w:ind w:left="709"/>
              <w:spacing w:after="0"/>
              <w:rPr>
                <w:sz w:val="20"/>
                <w:szCs w:val="20"/>
                <w:color w:val="auto"/>
              </w:rPr>
            </w:pPr>
            <w:r>
              <w:rPr>
                <w:rFonts w:ascii="Arial" w:cs="Arial" w:eastAsia="Arial" w:hAnsi="Arial"/>
                <w:sz w:val="14"/>
                <w:szCs w:val="14"/>
                <w:b w:val="1"/>
                <w:bCs w:val="1"/>
                <w:color w:val="auto"/>
                <w:w w:val="98"/>
              </w:rPr>
              <w:t>2022E</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CMB</w:t>
            </w:r>
          </w:p>
        </w:tc>
        <w:tc>
          <w:tcPr>
            <w:tcW w:w="9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2022E</w:t>
            </w:r>
          </w:p>
        </w:tc>
        <w:tc>
          <w:tcPr>
            <w:tcW w:w="16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E&amp;P, Corp. &amp; Other</w:t>
            </w:r>
          </w:p>
        </w:tc>
        <w:tc>
          <w:tcPr>
            <w:tcW w:w="0" w:type="dxa"/>
            <w:vAlign w:val="bottom"/>
          </w:tcPr>
          <w:p>
            <w:pPr>
              <w:spacing w:after="0"/>
              <w:rPr>
                <w:sz w:val="1"/>
                <w:szCs w:val="1"/>
                <w:color w:val="auto"/>
              </w:rPr>
            </w:pPr>
          </w:p>
        </w:tc>
      </w:tr>
      <w:tr>
        <w:trPr>
          <w:trHeight w:val="182"/>
        </w:trPr>
        <w:tc>
          <w:tcPr>
            <w:tcW w:w="5180" w:type="dxa"/>
            <w:vAlign w:val="bottom"/>
            <w:vMerge w:val="continue"/>
          </w:tcPr>
          <w:p>
            <w:pPr>
              <w:spacing w:after="0"/>
              <w:rPr>
                <w:sz w:val="15"/>
                <w:szCs w:val="15"/>
                <w:color w:val="auto"/>
              </w:rPr>
            </w:pPr>
          </w:p>
        </w:tc>
        <w:tc>
          <w:tcPr>
            <w:tcW w:w="262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2022E</w:t>
            </w:r>
          </w:p>
        </w:tc>
        <w:tc>
          <w:tcPr>
            <w:tcW w:w="0" w:type="dxa"/>
            <w:vAlign w:val="bottom"/>
          </w:tcPr>
          <w:p>
            <w:pPr>
              <w:spacing w:after="0"/>
              <w:rPr>
                <w:sz w:val="1"/>
                <w:szCs w:val="1"/>
                <w:color w:val="auto"/>
              </w:rPr>
            </w:pPr>
          </w:p>
        </w:tc>
      </w:tr>
      <w:tr>
        <w:trPr>
          <w:trHeight w:val="188"/>
        </w:trPr>
        <w:tc>
          <w:tcPr>
            <w:tcW w:w="51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Total Production (MBoe/d)</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- 57</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- 57</w:t>
            </w:r>
          </w:p>
        </w:tc>
        <w:tc>
          <w:tcPr>
            <w:tcW w:w="0" w:type="dxa"/>
            <w:vAlign w:val="bottom"/>
          </w:tcPr>
          <w:p>
            <w:pPr>
              <w:spacing w:after="0"/>
              <w:rPr>
                <w:sz w:val="1"/>
                <w:szCs w:val="1"/>
                <w:color w:val="auto"/>
              </w:rPr>
            </w:pPr>
          </w:p>
        </w:tc>
      </w:tr>
      <w:tr>
        <w:trPr>
          <w:trHeight w:val="194"/>
        </w:trPr>
        <w:tc>
          <w:tcPr>
            <w:tcW w:w="518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$680</w:t>
            </w:r>
          </w:p>
        </w:tc>
        <w:tc>
          <w:tcPr>
            <w:tcW w:w="860" w:type="dxa"/>
            <w:vAlign w:val="bottom"/>
          </w:tcPr>
          <w:p>
            <w:pPr>
              <w:ind w:left="20"/>
              <w:spacing w:after="0"/>
              <w:rPr>
                <w:sz w:val="20"/>
                <w:szCs w:val="20"/>
                <w:color w:val="auto"/>
              </w:rPr>
            </w:pPr>
            <w:r>
              <w:rPr>
                <w:rFonts w:ascii="Arial" w:cs="Arial" w:eastAsia="Arial" w:hAnsi="Arial"/>
                <w:sz w:val="14"/>
                <w:szCs w:val="14"/>
                <w:color w:val="auto"/>
              </w:rPr>
              <w:t>- $720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$680</w:t>
            </w:r>
          </w:p>
        </w:tc>
        <w:tc>
          <w:tcPr>
            <w:tcW w:w="860" w:type="dxa"/>
            <w:vAlign w:val="bottom"/>
          </w:tcPr>
          <w:p>
            <w:pPr>
              <w:ind w:left="20"/>
              <w:spacing w:after="0"/>
              <w:rPr>
                <w:sz w:val="20"/>
                <w:szCs w:val="20"/>
                <w:color w:val="auto"/>
              </w:rPr>
            </w:pPr>
            <w:r>
              <w:rPr>
                <w:rFonts w:ascii="Arial" w:cs="Arial" w:eastAsia="Arial" w:hAnsi="Arial"/>
                <w:sz w:val="14"/>
                <w:szCs w:val="14"/>
                <w:color w:val="auto"/>
              </w:rPr>
              <w:t>- $720</w:t>
            </w: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140"/>
              <w:spacing w:after="0" w:line="203" w:lineRule="exact"/>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80" w:type="dxa"/>
            <w:vAlign w:val="bottom"/>
          </w:tcPr>
          <w:p>
            <w:pPr>
              <w:ind w:left="140"/>
              <w:spacing w:after="0" w:line="199"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$165</w:t>
            </w:r>
          </w:p>
        </w:tc>
        <w:tc>
          <w:tcPr>
            <w:tcW w:w="860" w:type="dxa"/>
            <w:vAlign w:val="bottom"/>
          </w:tcPr>
          <w:p>
            <w:pPr>
              <w:ind w:left="20"/>
              <w:spacing w:after="0"/>
              <w:rPr>
                <w:sz w:val="20"/>
                <w:szCs w:val="20"/>
                <w:color w:val="auto"/>
              </w:rPr>
            </w:pPr>
            <w:r>
              <w:rPr>
                <w:rFonts w:ascii="Arial" w:cs="Arial" w:eastAsia="Arial" w:hAnsi="Arial"/>
                <w:sz w:val="14"/>
                <w:szCs w:val="14"/>
                <w:color w:val="auto"/>
              </w:rPr>
              <w:t>- $190</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60" w:type="dxa"/>
            <w:vAlign w:val="bottom"/>
          </w:tcPr>
          <w:p>
            <w:pPr>
              <w:ind w:left="20"/>
              <w:spacing w:after="0"/>
              <w:rPr>
                <w:sz w:val="20"/>
                <w:szCs w:val="20"/>
                <w:color w:val="auto"/>
              </w:rPr>
            </w:pPr>
            <w:r>
              <w:rPr>
                <w:rFonts w:ascii="Arial" w:cs="Arial" w:eastAsia="Arial" w:hAnsi="Arial"/>
                <w:sz w:val="14"/>
                <w:szCs w:val="14"/>
                <w:color w:val="auto"/>
              </w:rPr>
              <w:t>- $15</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w:t>
            </w:r>
          </w:p>
        </w:tc>
        <w:tc>
          <w:tcPr>
            <w:tcW w:w="860" w:type="dxa"/>
            <w:vAlign w:val="bottom"/>
          </w:tcPr>
          <w:p>
            <w:pPr>
              <w:ind w:left="20"/>
              <w:spacing w:after="0"/>
              <w:rPr>
                <w:sz w:val="20"/>
                <w:szCs w:val="20"/>
                <w:color w:val="auto"/>
              </w:rPr>
            </w:pPr>
            <w:r>
              <w:rPr>
                <w:rFonts w:ascii="Arial" w:cs="Arial" w:eastAsia="Arial" w:hAnsi="Arial"/>
                <w:sz w:val="14"/>
                <w:szCs w:val="14"/>
                <w:color w:val="auto"/>
              </w:rPr>
              <w:t>- $175</w:t>
            </w:r>
          </w:p>
        </w:tc>
        <w:tc>
          <w:tcPr>
            <w:tcW w:w="0" w:type="dxa"/>
            <w:vAlign w:val="bottom"/>
          </w:tcPr>
          <w:p>
            <w:pPr>
              <w:spacing w:after="0"/>
              <w:rPr>
                <w:sz w:val="1"/>
                <w:szCs w:val="1"/>
                <w:color w:val="auto"/>
              </w:rPr>
            </w:pPr>
          </w:p>
        </w:tc>
      </w:tr>
      <w:tr>
        <w:trPr>
          <w:trHeight w:val="199"/>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Total Capital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$385</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$360</w:t>
            </w:r>
          </w:p>
        </w:tc>
        <w:tc>
          <w:tcPr>
            <w:tcW w:w="0" w:type="dxa"/>
            <w:vAlign w:val="bottom"/>
          </w:tcPr>
          <w:p>
            <w:pPr>
              <w:spacing w:after="0"/>
              <w:rPr>
                <w:sz w:val="1"/>
                <w:szCs w:val="1"/>
                <w:color w:val="auto"/>
              </w:rPr>
            </w:pPr>
          </w:p>
        </w:tc>
      </w:tr>
      <w:tr>
        <w:trPr>
          <w:trHeight w:val="194"/>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Drilling &amp; Completions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$240</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$250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$240</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$250</w:t>
            </w: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Workovers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$35</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$35</w:t>
            </w:r>
          </w:p>
        </w:tc>
        <w:tc>
          <w:tcPr>
            <w:tcW w:w="0" w:type="dxa"/>
            <w:vAlign w:val="bottom"/>
          </w:tcPr>
          <w:p>
            <w:pPr>
              <w:spacing w:after="0"/>
              <w:rPr>
                <w:sz w:val="1"/>
                <w:szCs w:val="1"/>
                <w:color w:val="auto"/>
              </w:rPr>
            </w:pPr>
          </w:p>
        </w:tc>
      </w:tr>
      <w:tr>
        <w:trPr>
          <w:trHeight w:val="194"/>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Facilities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$65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$65</w:t>
            </w: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Corporate &amp; Other</w:t>
            </w:r>
          </w:p>
        </w:tc>
        <w:tc>
          <w:tcPr>
            <w:tcW w:w="2520" w:type="dxa"/>
            <w:vAlign w:val="bottom"/>
            <w:gridSpan w:val="2"/>
            <w:shd w:val="clear" w:color="auto" w:fill="DBDBDB"/>
          </w:tcPr>
          <w:p>
            <w:pPr>
              <w:jc w:val="right"/>
              <w:ind w:right="489"/>
              <w:spacing w:after="0"/>
              <w:rPr>
                <w:sz w:val="20"/>
                <w:szCs w:val="20"/>
                <w:color w:val="auto"/>
              </w:rPr>
            </w:pPr>
            <w:r>
              <w:rPr>
                <w:rFonts w:ascii="Arial" w:cs="Arial" w:eastAsia="Arial" w:hAnsi="Arial"/>
                <w:sz w:val="14"/>
                <w:szCs w:val="14"/>
                <w:i w:val="1"/>
                <w:iCs w:val="1"/>
                <w:color w:val="auto"/>
              </w:rPr>
              <w:t>$5 - $10</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center"/>
              <w:spacing w:after="0"/>
              <w:rPr>
                <w:sz w:val="20"/>
                <w:szCs w:val="20"/>
                <w:color w:val="auto"/>
              </w:rPr>
            </w:pPr>
            <w:r>
              <w:rPr>
                <w:rFonts w:ascii="Arial" w:cs="Arial" w:eastAsia="Arial" w:hAnsi="Arial"/>
                <w:sz w:val="14"/>
                <w:szCs w:val="14"/>
                <w:i w:val="1"/>
                <w:iCs w:val="1"/>
                <w:color w:val="auto"/>
              </w:rPr>
              <w:t>$5 - $10</w:t>
            </w:r>
          </w:p>
        </w:tc>
        <w:tc>
          <w:tcPr>
            <w:tcW w:w="0" w:type="dxa"/>
            <w:vAlign w:val="bottom"/>
          </w:tcPr>
          <w:p>
            <w:pPr>
              <w:spacing w:after="0"/>
              <w:rPr>
                <w:sz w:val="1"/>
                <w:szCs w:val="1"/>
                <w:color w:val="auto"/>
              </w:rPr>
            </w:pPr>
          </w:p>
        </w:tc>
      </w:tr>
      <w:tr>
        <w:trPr>
          <w:trHeight w:val="194"/>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Carbon Management Business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$15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DBDBDB"/>
          </w:tcPr>
          <w:p>
            <w:pPr>
              <w:ind w:left="140"/>
              <w:spacing w:after="0" w:line="203"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$960</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($70)</w:t>
            </w:r>
          </w:p>
        </w:tc>
        <w:tc>
          <w:tcPr>
            <w:tcW w:w="10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$930 -- $1,015</w:t>
            </w:r>
          </w:p>
        </w:tc>
        <w:tc>
          <w:tcPr>
            <w:tcW w:w="0" w:type="dxa"/>
            <w:vAlign w:val="bottom"/>
          </w:tcPr>
          <w:p>
            <w:pPr>
              <w:spacing w:after="0"/>
              <w:rPr>
                <w:sz w:val="1"/>
                <w:szCs w:val="1"/>
                <w:color w:val="auto"/>
              </w:rPr>
            </w:pPr>
          </w:p>
        </w:tc>
      </w:tr>
      <w:tr>
        <w:trPr>
          <w:trHeight w:val="245"/>
        </w:trPr>
        <w:tc>
          <w:tcPr>
            <w:tcW w:w="5180" w:type="dxa"/>
            <w:vAlign w:val="bottom"/>
          </w:tcPr>
          <w:p>
            <w:pPr>
              <w:ind w:left="14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$330</w:t>
            </w:r>
          </w:p>
        </w:tc>
        <w:tc>
          <w:tcPr>
            <w:tcW w:w="860" w:type="dxa"/>
            <w:vAlign w:val="bottom"/>
          </w:tcPr>
          <w:p>
            <w:pPr>
              <w:ind w:left="20"/>
              <w:spacing w:after="0"/>
              <w:rPr>
                <w:sz w:val="20"/>
                <w:szCs w:val="20"/>
                <w:color w:val="auto"/>
              </w:rPr>
            </w:pPr>
            <w:r>
              <w:rPr>
                <w:rFonts w:ascii="Arial" w:cs="Arial" w:eastAsia="Arial" w:hAnsi="Arial"/>
                <w:sz w:val="14"/>
                <w:szCs w:val="14"/>
                <w:color w:val="auto"/>
              </w:rPr>
              <w:t>- $410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860" w:type="dxa"/>
            <w:vAlign w:val="bottom"/>
          </w:tcPr>
          <w:p>
            <w:pPr>
              <w:ind w:left="20"/>
              <w:spacing w:after="0"/>
              <w:rPr>
                <w:sz w:val="20"/>
                <w:szCs w:val="20"/>
                <w:color w:val="auto"/>
              </w:rPr>
            </w:pPr>
            <w:r>
              <w:rPr>
                <w:rFonts w:ascii="Arial" w:cs="Arial" w:eastAsia="Arial" w:hAnsi="Arial"/>
                <w:sz w:val="14"/>
                <w:szCs w:val="14"/>
                <w:color w:val="auto"/>
              </w:rPr>
              <w:t>- ($95)</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$425</w:t>
            </w:r>
          </w:p>
        </w:tc>
        <w:tc>
          <w:tcPr>
            <w:tcW w:w="860" w:type="dxa"/>
            <w:vAlign w:val="bottom"/>
          </w:tcPr>
          <w:p>
            <w:pPr>
              <w:ind w:left="20"/>
              <w:spacing w:after="0"/>
              <w:rPr>
                <w:sz w:val="20"/>
                <w:szCs w:val="20"/>
                <w:color w:val="auto"/>
              </w:rPr>
            </w:pPr>
            <w:r>
              <w:rPr>
                <w:rFonts w:ascii="Arial" w:cs="Arial" w:eastAsia="Arial" w:hAnsi="Arial"/>
                <w:sz w:val="14"/>
                <w:szCs w:val="14"/>
                <w:color w:val="auto"/>
              </w:rPr>
              <w:t>- $480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Carbon Management Business (CMB) Update</w:t>
      </w:r>
    </w:p>
    <w:p>
      <w:pPr>
        <w:spacing w:after="0" w:line="152" w:lineRule="exact"/>
        <w:rPr>
          <w:sz w:val="20"/>
          <w:szCs w:val="20"/>
          <w:color w:val="auto"/>
        </w:rPr>
      </w:pPr>
    </w:p>
    <w:p>
      <w:pPr>
        <w:jc w:val="both"/>
        <w:ind w:firstLine="318"/>
        <w:spacing w:after="0"/>
        <w:rPr>
          <w:sz w:val="20"/>
          <w:szCs w:val="20"/>
          <w:color w:val="auto"/>
        </w:rPr>
      </w:pPr>
      <w:r>
        <w:rPr>
          <w:rFonts w:ascii="Arial" w:cs="Arial" w:eastAsia="Arial" w:hAnsi="Arial"/>
          <w:sz w:val="21"/>
          <w:szCs w:val="21"/>
          <w:color w:val="auto"/>
        </w:rPr>
        <w:t>In May 2022, CRC applied for two Class VI permits for an additional 80 million metric tons of permanent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storage for two new Carbon TerraVault carbon capture and storage (CCS) projects in the Sacramento basin, which, subject to approval, brings its total potential permitted storage to 120 million metric tons. This puts CRC over halfway to its target of applying for 200 million metric tons of permanent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storage for Carbon TerraVault CCS projects by the end of 2022.</w:t>
      </w:r>
    </w:p>
    <w:p>
      <w:pPr>
        <w:spacing w:after="0" w:line="200" w:lineRule="exact"/>
        <w:rPr>
          <w:sz w:val="20"/>
          <w:szCs w:val="20"/>
          <w:color w:val="auto"/>
        </w:rPr>
      </w:pPr>
    </w:p>
    <w:p>
      <w:pPr>
        <w:spacing w:after="0" w:line="212"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21"/>
          <w:szCs w:val="21"/>
          <w:color w:val="auto"/>
        </w:rPr>
        <w:t>During the first quarter of 2022, CRC spent approximately $2 million for CMB expenses related to Carbon TerraVault projects and approximately $1 million of capital on these projects. In addition, CRC acquired properties and land easements for carbon management activities. Total spend for these carbon-related acquisitions was $17 million.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868"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u w:val="single" w:color="auto"/>
          <w:color w:val="auto"/>
        </w:rPr>
        <w:t>CalCapture CCS+ Update</w:t>
      </w:r>
    </w:p>
    <w:p>
      <w:pPr>
        <w:spacing w:after="0" w:line="23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21"/>
          <w:szCs w:val="21"/>
          <w:color w:val="auto"/>
        </w:rPr>
        <w:t>In April 2022, CRC entered into an agreement with NEXT Carbon Solutions (NCS), a subsidiary of NextDecade Corporation, to further explore the decarbonization of CRC’s Elk Hills power plant through the application of NCS' proprietary post-combustion carbon capture processes for its CalCapture CCS+ project. Pursuant to this agreement, NCS will perform a FEED study for the post combustion capture and compression of up to 95% of the CO</w:t>
      </w:r>
      <w:r>
        <w:rPr>
          <w:rFonts w:ascii="Arial" w:cs="Arial" w:eastAsia="Arial" w:hAnsi="Arial"/>
          <w:sz w:val="11"/>
          <w:szCs w:val="11"/>
          <w:color w:val="auto"/>
        </w:rPr>
        <w:t>2</w:t>
      </w:r>
      <w:r>
        <w:rPr>
          <w:rFonts w:ascii="Arial" w:cs="Arial" w:eastAsia="Arial" w:hAnsi="Arial"/>
          <w:sz w:val="21"/>
          <w:szCs w:val="21"/>
          <w:color w:val="auto"/>
        </w:rPr>
        <w:t xml:space="preserve"> produced at the Elk Hills power plant. CRC expects this FEED study to commence in the second quarter of 2022 and it is projected to take approximately six months to complete. NCS previously delivered a front-end loading stage 2 analysis (FEL-2) to CRC which provided improved project prospects from technical and economic perspectives for the CalCapture CCS+ project. CRC and NCS expect to finalize definitive commercial documents allowing the CalCapture CCS+ project to proceed with a final investment decision following the completion and the review of the FEED. The CalCapture CCS+ project targets initial injection of 1.4 million metric tons of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per year and is projected to average approximately 7,000 incremental barrels of "Net Zero" oil per day over the life of project.</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Sustainability Update</w:t>
      </w:r>
    </w:p>
    <w:p>
      <w:pPr>
        <w:spacing w:after="0" w:line="23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21"/>
          <w:szCs w:val="21"/>
          <w:color w:val="auto"/>
        </w:rPr>
        <w:t>CRC continues to prioritize its Environmental, Social, and Governance (ESG) initiatives and make progress toward its Full-Scope Net Zero goal by 2045. CRC defines Full-Scope Net Zero as achieving permanent storage of captured or removed carbon emissions in a volume equal to all of its scope 1, 2, and 3 emissions by 2045 through a variety of opportunities with an “all-of-the-above” strategy which includes CalCapture CCS+, Carbon TerraVault and other emissions reduction projects.</w:t>
      </w:r>
    </w:p>
    <w:p>
      <w:pPr>
        <w:spacing w:after="0" w:line="193"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21"/>
          <w:szCs w:val="21"/>
          <w:color w:val="auto"/>
        </w:rPr>
        <w:t>In April 2022, CRC updated and expanded its ESG goals that build upon CRC’s long-standing commitment to sustainability. CRC’s ESG goals focus on providing low carbon intensity fuel today and net zero fuel for the future that meets or exceeds California’s unparalleled sustainability standards – not only related to lowering greenhouse gas (GHG) emissions, but also to further decreasing methane emissions, reducing freshwater consumption, expanding leadership diversity, enhancing community engagement, and increasing accountability by linking executive compensation to ESG performance.</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"CRC's ESG goals demonstrate our commitment to the energy transition, and we are proud that CRC successfully continues on a path to provide safe and reliable low carbon intensity fuel and develop carbon capture and storage and other emissions reducing projects," said Mac McFarland, CRC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66"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1"/>
          <w:szCs w:val="21"/>
          <w:b w:val="1"/>
          <w:bCs w:val="1"/>
          <w:u w:val="single" w:color="auto"/>
          <w:color w:val="auto"/>
        </w:rPr>
        <w:t>First Quarter 2022 E&amp;P Operational Results</w:t>
      </w:r>
    </w:p>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21"/>
          <w:szCs w:val="21"/>
          <w:color w:val="auto"/>
        </w:rPr>
        <w:t>Total daily net production for the first quarter of 2022, compared to the fourth quarter of 2021, decreased by approximately 9,000 BOE per day, or 9%. During the first quarter of 2022, a planned 10-year maintenance turnaround occurred at a cryogenic gas processing facility, and was completed safely, successfully and ahead of schedule. This maintenance reduced total daily net natural gas and NGL production for the first quarter of 2022 by approximately 5,000 BOE per day. Production was also affected by the divestiture of CRC's remaining 50% working interest in certain zones in the Lost Hills field in February 2022 and CRC's divestiture of its Ventura basin operations beginning in the fourth quarter of 2021 which reduced CRC's total net production by approximately 3,000 BOE per day for the first quarter of 2022 compared to the fourth quarter of 2021. CRC's production also decreased as a result of natural decline, which was partially offset by improved operational results from its developmental drilling. CRC's production-sharing contracts (PSCs) had a similar impact on its net oil production in the first quarter of 2022 compared to the fourth quarter of 2021.</w:t>
      </w:r>
    </w:p>
    <w:p>
      <w:pPr>
        <w:spacing w:after="0" w:line="19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21"/>
          <w:szCs w:val="21"/>
          <w:color w:val="auto"/>
        </w:rPr>
        <w:t>During the first quarter of 2022, CRC operated an average of three drilling rigs in the San Joaquin Basin and one drilling rig in the Los Angeles Basin. CRC's drilling program continues to see IRR's of above 100%. During the quarter, CRC drilled 42 net wells and brought online 40 wells. See Attachment 3 for further information on CRC's production results by basin and Attachment 5 for further information on CRC's drilling activity.</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First Quarter 2022 Financial Results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DBDBDB"/>
            </w:tcBorders>
            <w:shd w:val="clear" w:color="auto" w:fill="DBDBDB"/>
          </w:tcPr>
          <w:p>
            <w:pPr>
              <w:spacing w:after="0"/>
              <w:rPr>
                <w:sz w:val="18"/>
                <w:szCs w:val="18"/>
                <w:color w:val="auto"/>
              </w:rPr>
            </w:pPr>
          </w:p>
        </w:tc>
        <w:tc>
          <w:tcPr>
            <w:tcW w:w="660" w:type="dxa"/>
            <w:vAlign w:val="bottom"/>
            <w:tcBorders>
              <w:top w:val="single" w:sz="8" w:color="DBDBDB"/>
            </w:tcBorders>
            <w:shd w:val="clear" w:color="auto" w:fill="DBDBDB"/>
          </w:tcPr>
          <w:p>
            <w:pPr>
              <w:spacing w:after="0"/>
              <w:rPr>
                <w:sz w:val="18"/>
                <w:szCs w:val="18"/>
                <w:color w:val="auto"/>
              </w:rPr>
            </w:pPr>
          </w:p>
        </w:tc>
        <w:tc>
          <w:tcPr>
            <w:tcW w:w="698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9"/>
              </w:rPr>
              <w:t>1st Quarter</w:t>
            </w: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6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shd w:val="clear" w:color="auto" w:fill="DBDBDB"/>
          </w:tcPr>
          <w:p>
            <w:pPr>
              <w:spacing w:after="0"/>
              <w:rPr>
                <w:sz w:val="17"/>
                <w:szCs w:val="17"/>
                <w:color w:val="auto"/>
              </w:rPr>
            </w:pPr>
          </w:p>
        </w:tc>
        <w:tc>
          <w:tcPr>
            <w:tcW w:w="874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DBDBDB"/>
            </w:tcBorders>
          </w:tcPr>
          <w:p>
            <w:pPr>
              <w:spacing w:after="0"/>
              <w:rPr>
                <w:sz w:val="18"/>
                <w:szCs w:val="18"/>
                <w:color w:val="auto"/>
              </w:rPr>
            </w:pPr>
          </w:p>
        </w:tc>
        <w:tc>
          <w:tcPr>
            <w:tcW w:w="176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69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DBDBDB"/>
              <w:right w:val="single" w:sz="8" w:color="auto"/>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BDBDB"/>
          </w:tcPr>
          <w:p>
            <w:pPr>
              <w:spacing w:after="0"/>
              <w:rPr>
                <w:sz w:val="16"/>
                <w:szCs w:val="16"/>
                <w:color w:val="auto"/>
              </w:rPr>
            </w:pPr>
          </w:p>
        </w:tc>
        <w:tc>
          <w:tcPr>
            <w:tcW w:w="874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153</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284"/>
        </w:trPr>
        <w:tc>
          <w:tcPr>
            <w:tcW w:w="20" w:type="dxa"/>
            <w:vAlign w:val="bottom"/>
            <w:tcBorders>
              <w:bottom w:val="single" w:sz="8" w:color="DBDBDB"/>
            </w:tcBorders>
          </w:tcPr>
          <w:p>
            <w:pPr>
              <w:spacing w:after="0"/>
              <w:rPr>
                <w:sz w:val="24"/>
                <w:szCs w:val="24"/>
                <w:color w:val="auto"/>
              </w:rPr>
            </w:pPr>
          </w:p>
        </w:tc>
        <w:tc>
          <w:tcPr>
            <w:tcW w:w="87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b w:val="1"/>
                <w:bCs w:val="1"/>
                <w:color w:val="auto"/>
              </w:rPr>
              <w:t>Operating Expenses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DBDBDB"/>
              <w:right w:val="single" w:sz="8" w:color="auto"/>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DBDBDB"/>
          </w:tcPr>
          <w:p>
            <w:pPr>
              <w:spacing w:after="0"/>
              <w:rPr>
                <w:sz w:val="16"/>
                <w:szCs w:val="16"/>
                <w:color w:val="auto"/>
              </w:rPr>
            </w:pPr>
          </w:p>
        </w:tc>
        <w:tc>
          <w:tcPr>
            <w:tcW w:w="874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396</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91"/>
        </w:trPr>
        <w:tc>
          <w:tcPr>
            <w:tcW w:w="20" w:type="dxa"/>
            <w:vAlign w:val="bottom"/>
            <w:tcBorders>
              <w:bottom w:val="single" w:sz="8" w:color="DBDBDB"/>
            </w:tcBorders>
          </w:tcPr>
          <w:p>
            <w:pPr>
              <w:spacing w:after="0"/>
              <w:rPr>
                <w:sz w:val="16"/>
                <w:szCs w:val="16"/>
                <w:color w:val="auto"/>
              </w:rPr>
            </w:pPr>
          </w:p>
        </w:tc>
        <w:tc>
          <w:tcPr>
            <w:tcW w:w="87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Gain on asset divestitures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8"/>
        </w:trPr>
        <w:tc>
          <w:tcPr>
            <w:tcW w:w="20" w:type="dxa"/>
            <w:vAlign w:val="bottom"/>
            <w:tcBorders>
              <w:bottom w:val="single" w:sz="8" w:color="DBDBDB"/>
            </w:tcBorders>
            <w:shd w:val="clear" w:color="auto" w:fill="DBDBDB"/>
          </w:tcPr>
          <w:p>
            <w:pPr>
              <w:spacing w:after="0"/>
              <w:rPr>
                <w:sz w:val="18"/>
                <w:szCs w:val="18"/>
                <w:color w:val="auto"/>
              </w:rPr>
            </w:pPr>
          </w:p>
        </w:tc>
        <w:tc>
          <w:tcPr>
            <w:tcW w:w="8740" w:type="dxa"/>
            <w:vAlign w:val="bottom"/>
            <w:tcBorders>
              <w:bottom w:val="single" w:sz="8" w:color="DBDBDB"/>
            </w:tcBorders>
            <w:gridSpan w:val="3"/>
            <w:shd w:val="clear" w:color="auto" w:fill="DBDBDB"/>
          </w:tcPr>
          <w:p>
            <w:pPr>
              <w:spacing w:after="0"/>
              <w:rPr>
                <w:sz w:val="20"/>
                <w:szCs w:val="20"/>
                <w:color w:val="auto"/>
              </w:rPr>
            </w:pPr>
            <w:r>
              <w:rPr>
                <w:rFonts w:ascii="Arial" w:cs="Arial" w:eastAsia="Arial" w:hAnsi="Arial"/>
                <w:sz w:val="14"/>
                <w:szCs w:val="14"/>
                <w:b w:val="1"/>
                <w:bCs w:val="1"/>
                <w:color w:val="auto"/>
              </w:rPr>
              <w:t>Operating Income (Loss)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(189)</w:t>
            </w:r>
          </w:p>
        </w:tc>
        <w:tc>
          <w:tcPr>
            <w:tcW w:w="120" w:type="dxa"/>
            <w:vAlign w:val="bottom"/>
            <w:tcBorders>
              <w:bottom w:val="single" w:sz="8" w:color="DBDBDB"/>
              <w:right w:val="single" w:sz="8" w:color="auto"/>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8740" w:type="dxa"/>
            <w:vAlign w:val="bottom"/>
            <w:tcBorders>
              <w:top w:val="single" w:sz="8" w:color="DBDBDB"/>
              <w:bottom w:val="single" w:sz="8" w:color="DBDBDB"/>
            </w:tcBorders>
            <w:gridSpan w:val="3"/>
            <w:vMerge w:val="restart"/>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gridSpan w:val="3"/>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Adjusted net income (loss)</w:t>
            </w:r>
            <w:r>
              <w:rPr>
                <w:rFonts w:ascii="Arial" w:cs="Arial" w:eastAsia="Arial" w:hAnsi="Arial"/>
                <w:sz w:val="9"/>
                <w:szCs w:val="9"/>
                <w:color w:val="auto"/>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91</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Adjusted net income (loss)</w:t>
            </w:r>
            <w:r>
              <w:rPr>
                <w:rFonts w:ascii="Arial" w:cs="Arial" w:eastAsia="Arial" w:hAnsi="Arial"/>
                <w:sz w:val="9"/>
                <w:szCs w:val="9"/>
                <w:color w:val="auto"/>
              </w:rPr>
              <w:t>1</w:t>
            </w:r>
            <w:r>
              <w:rPr>
                <w:rFonts w:ascii="Arial" w:cs="Arial" w:eastAsia="Arial" w:hAnsi="Arial"/>
                <w:sz w:val="14"/>
                <w:szCs w:val="14"/>
                <w:color w:val="auto"/>
              </w:rPr>
              <w:t xml:space="preserv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78.5</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78.5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Adjusted EBITDAX</w:t>
            </w:r>
            <w:r>
              <w:rPr>
                <w:rFonts w:ascii="Arial" w:cs="Arial" w:eastAsia="Arial" w:hAnsi="Arial"/>
                <w:sz w:val="9"/>
                <w:szCs w:val="9"/>
                <w:color w:val="auto"/>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206</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358"/>
        </w:trPr>
        <w:tc>
          <w:tcPr>
            <w:tcW w:w="2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spacing w:after="0"/>
              <w:rPr>
                <w:sz w:val="24"/>
                <w:szCs w:val="24"/>
                <w:color w:val="auto"/>
              </w:rPr>
            </w:pPr>
          </w:p>
        </w:tc>
        <w:tc>
          <w:tcPr>
            <w:tcW w:w="698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69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20" w:type="dxa"/>
            <w:vAlign w:val="bottom"/>
            <w:tcBorders>
              <w:right w:val="single" w:sz="8" w:color="auto"/>
            </w:tcBorders>
            <w:gridSpan w:val="2"/>
            <w:shd w:val="clear" w:color="auto" w:fill="DBDBDB"/>
          </w:tcPr>
          <w:p>
            <w:pPr>
              <w:jc w:val="center"/>
              <w:ind w:right="260"/>
              <w:spacing w:after="0"/>
              <w:rPr>
                <w:sz w:val="20"/>
                <w:szCs w:val="20"/>
                <w:color w:val="auto"/>
              </w:rPr>
            </w:pPr>
            <w:r>
              <w:rPr>
                <w:rFonts w:ascii="Arial" w:cs="Arial" w:eastAsia="Arial" w:hAnsi="Arial"/>
                <w:sz w:val="14"/>
                <w:szCs w:val="14"/>
                <w:b w:val="1"/>
                <w:bCs w:val="1"/>
                <w:color w:val="auto"/>
                <w:w w:val="99"/>
              </w:rPr>
              <w:t>1st Quarter</w:t>
            </w: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ind w:right="89"/>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shd w:val="clear" w:color="auto" w:fill="DBDBDB"/>
          </w:tcPr>
          <w:p>
            <w:pPr>
              <w:spacing w:after="0"/>
              <w:rPr>
                <w:sz w:val="17"/>
                <w:szCs w:val="17"/>
                <w:color w:val="auto"/>
              </w:rPr>
            </w:pPr>
          </w:p>
        </w:tc>
        <w:tc>
          <w:tcPr>
            <w:tcW w:w="874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Cash Flow Data:</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99"/>
        </w:trPr>
        <w:tc>
          <w:tcPr>
            <w:tcW w:w="20" w:type="dxa"/>
            <w:vAlign w:val="bottom"/>
            <w:shd w:val="clear" w:color="auto" w:fill="DBDBDB"/>
          </w:tcPr>
          <w:p>
            <w:pPr>
              <w:spacing w:after="0"/>
              <w:rPr>
                <w:sz w:val="17"/>
                <w:szCs w:val="17"/>
                <w:color w:val="auto"/>
              </w:rPr>
            </w:pPr>
          </w:p>
        </w:tc>
        <w:tc>
          <w:tcPr>
            <w:tcW w:w="874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66"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u w:val="single" w:color="auto"/>
          <w:color w:val="auto"/>
        </w:rPr>
        <w:t>Review of First Quarter 2022 Financial Results</w:t>
      </w:r>
    </w:p>
    <w:p>
      <w:pPr>
        <w:spacing w:after="0" w:line="238" w:lineRule="exact"/>
        <w:rPr>
          <w:sz w:val="20"/>
          <w:szCs w:val="20"/>
          <w:color w:val="auto"/>
        </w:rPr>
      </w:pPr>
    </w:p>
    <w:p>
      <w:pPr>
        <w:jc w:val="both"/>
        <w:ind w:right="100" w:firstLine="318"/>
        <w:spacing w:after="0"/>
        <w:rPr>
          <w:sz w:val="20"/>
          <w:szCs w:val="20"/>
          <w:color w:val="auto"/>
        </w:rPr>
      </w:pPr>
      <w:r>
        <w:rPr>
          <w:rFonts w:ascii="Arial" w:cs="Arial" w:eastAsia="Arial" w:hAnsi="Arial"/>
          <w:sz w:val="21"/>
          <w:szCs w:val="21"/>
          <w:color w:val="auto"/>
        </w:rPr>
        <w:t>Realized oil prices, excluding the effects of cash settlements on CRC's commodity derivative contracts, increased by $17.14 per barrel from $78.99 per barrel in the fourth quarter of 2021 to $96.13 per barrel in the first quarter of 2022. Realized oil prices were higher in the first quarter of 2022 compared to the fourth quarter of 2021 as the effects of the COVID-19 pandemic have subsided leaving crude oil production and product inventories at historically low levels. As demand has rebounded, producers have generally maintained capital discipline, OPEC+ members have failed to produce at stepped-up quotas, and the conflict between Russia and Ukraine has created a disconnect between buyers and sellers of Russian produced crude oil. Realized oil prices, including the effects of cash settlements on CRC's commodity derivative contracts, decreased by $0.70 from $61.00 to $60.30. The reason for the decrease is due to higher settlement payments on CRC's commodity derivative contracts caused by the higher commodity price environment in the first quarter of 2022 compared to the fourth quarter of 2021. See Attachment 4 for further information on prices.</w:t>
      </w:r>
    </w:p>
    <w:p>
      <w:pPr>
        <w:spacing w:after="0" w:line="200" w:lineRule="exact"/>
        <w:rPr>
          <w:sz w:val="20"/>
          <w:szCs w:val="20"/>
          <w:color w:val="auto"/>
        </w:rPr>
      </w:pPr>
    </w:p>
    <w:p>
      <w:pPr>
        <w:spacing w:after="0" w:line="234" w:lineRule="exact"/>
        <w:rPr>
          <w:sz w:val="20"/>
          <w:szCs w:val="20"/>
          <w:color w:val="auto"/>
        </w:rPr>
      </w:pPr>
    </w:p>
    <w:p>
      <w:pPr>
        <w:jc w:val="both"/>
        <w:ind w:right="100" w:firstLine="318"/>
        <w:spacing w:after="0" w:line="237" w:lineRule="auto"/>
        <w:rPr>
          <w:sz w:val="20"/>
          <w:szCs w:val="20"/>
          <w:color w:val="auto"/>
        </w:rPr>
      </w:pPr>
      <w:r>
        <w:rPr>
          <w:rFonts w:ascii="Arial" w:cs="Arial" w:eastAsia="Arial" w:hAnsi="Arial"/>
          <w:sz w:val="21"/>
          <w:szCs w:val="21"/>
          <w:color w:val="auto"/>
        </w:rPr>
        <w:t>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first quarter of 2022 was $206 million. See table below for the Company's net cash provided by operating activities, capital investments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during the same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98425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123825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8"/>
          <w:szCs w:val="18"/>
          <w:b w:val="1"/>
          <w:bCs w:val="1"/>
          <w:color w:val="auto"/>
          <w:vertAlign w:val="superscript"/>
        </w:rPr>
        <w:t>1</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w:t>
      </w:r>
    </w:p>
    <w:p>
      <w:pPr>
        <w:ind w:left="340" w:right="20"/>
        <w:spacing w:after="0" w:line="226" w:lineRule="auto"/>
        <w:rPr>
          <w:sz w:val="20"/>
          <w:szCs w:val="20"/>
          <w:color w:val="auto"/>
        </w:rPr>
      </w:pPr>
      <w:r>
        <w:rPr>
          <w:rFonts w:ascii="Arial" w:cs="Arial" w:eastAsia="Arial" w:hAnsi="Arial"/>
          <w:sz w:val="14"/>
          <w:szCs w:val="14"/>
          <w:color w:val="auto"/>
        </w:rPr>
        <w:t>presents a reconciliation of our net cash provided by operating activities to free cash flow. We have excluded one-time costs for bankruptcy related fees during 2021 and 2020 a supplemental measure of free cash flow.</w:t>
      </w:r>
    </w:p>
    <w:p>
      <w:pPr>
        <w:spacing w:after="0" w:line="9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846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1st Quarter</w:t>
            </w: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4th Quarter</w:t>
            </w:r>
          </w:p>
        </w:tc>
      </w:tr>
      <w:tr>
        <w:trPr>
          <w:trHeight w:val="199"/>
        </w:trPr>
        <w:tc>
          <w:tcPr>
            <w:tcW w:w="84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rPr>
              <w:t>2021</w:t>
            </w:r>
          </w:p>
        </w:tc>
      </w:tr>
      <w:tr>
        <w:trPr>
          <w:trHeight w:val="391"/>
        </w:trPr>
        <w:tc>
          <w:tcPr>
            <w:tcW w:w="84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84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Capital investments</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(99)</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tcPr>
          <w:p>
            <w:pPr>
              <w:ind w:left="20"/>
              <w:spacing w:after="0" w:line="192"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40"/>
          </w:cols>
          <w:pgMar w:left="320" w:top="866" w:right="239" w:bottom="1440" w:gutter="0" w:footer="0" w:header="0"/>
        </w:sectPr>
      </w:pPr>
    </w:p>
    <w:bookmarkStart w:id="9" w:name="page10"/>
    <w:bookmarkEnd w:id="9"/>
    <w:p>
      <w:pPr>
        <w:jc w:val="both"/>
        <w:ind w:right="100" w:firstLine="318"/>
        <w:spacing w:after="0" w:line="253" w:lineRule="auto"/>
        <w:rPr>
          <w:sz w:val="20"/>
          <w:szCs w:val="20"/>
          <w:color w:val="auto"/>
        </w:rPr>
      </w:pPr>
      <w:r>
        <w:rPr>
          <w:rFonts w:ascii="Arial" w:cs="Arial" w:eastAsia="Arial" w:hAnsi="Arial"/>
          <w:sz w:val="21"/>
          <w:szCs w:val="21"/>
          <w:color w:val="auto"/>
        </w:rPr>
        <w:t>The following table presents key operating data for CRC's oil and gas operations, on a per BOE basis, for the periods presented below. Energy operating costs consist of purchases of natural gas used to generate electricity, purchased electricity and internal costs to generate electricity used in CRC's operations. Non-energy operating costs equal total operating costs less energy and gas processing costs. However, non-energy operating costs include the costs of purchasing natural gas to generate steam for its steamfloods.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151130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175895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OPERATING COSTS PER BOE</w:t>
      </w:r>
    </w:p>
    <w:p>
      <w:pPr>
        <w:spacing w:after="0" w:line="131" w:lineRule="exact"/>
        <w:rPr>
          <w:sz w:val="20"/>
          <w:szCs w:val="20"/>
          <w:color w:val="auto"/>
        </w:rPr>
      </w:pPr>
    </w:p>
    <w:p>
      <w:pPr>
        <w:ind w:left="340" w:right="200"/>
        <w:spacing w:after="0" w:line="254" w:lineRule="auto"/>
        <w:rPr>
          <w:sz w:val="20"/>
          <w:szCs w:val="20"/>
          <w:color w:val="auto"/>
        </w:rPr>
      </w:pPr>
      <w:r>
        <w:rPr>
          <w:rFonts w:ascii="Arial" w:cs="Arial" w:eastAsia="Arial" w:hAnsi="Arial"/>
          <w:sz w:val="14"/>
          <w:szCs w:val="14"/>
          <w:color w:val="auto"/>
        </w:rPr>
        <w:t>The reporting of our PSCs creates a difference between reported operating costs, which are for the full field, and reported volumes, which are only our net share, inflating the per barrel operating costs. The following table presents operating costs after adjusting for the excess costs attributable to PSCs.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826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b w:val="1"/>
                <w:bCs w:val="1"/>
                <w:color w:val="auto"/>
              </w:rPr>
              <w:t>1st Quarter</w:t>
            </w:r>
          </w:p>
        </w:tc>
        <w:tc>
          <w:tcPr>
            <w:tcW w:w="100" w:type="dxa"/>
            <w:vAlign w:val="bottom"/>
            <w:tcBorders>
              <w:top w:val="single" w:sz="8" w:color="DBDBDB"/>
              <w:right w:val="single" w:sz="8" w:color="auto"/>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rPr>
              <w:t>4th Quarter</w:t>
            </w:r>
          </w:p>
        </w:tc>
      </w:tr>
      <w:tr>
        <w:trPr>
          <w:trHeight w:val="200"/>
        </w:trPr>
        <w:tc>
          <w:tcPr>
            <w:tcW w:w="82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per Boe)</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369"/>
              <w:spacing w:after="0"/>
              <w:rPr>
                <w:sz w:val="20"/>
                <w:szCs w:val="20"/>
                <w:color w:val="auto"/>
              </w:rPr>
            </w:pPr>
            <w:r>
              <w:rPr>
                <w:rFonts w:ascii="Arial" w:cs="Arial" w:eastAsia="Arial" w:hAnsi="Arial"/>
                <w:sz w:val="14"/>
                <w:szCs w:val="14"/>
                <w:color w:val="auto"/>
              </w:rPr>
              <w:t>2021</w:t>
            </w:r>
          </w:p>
        </w:tc>
      </w:tr>
      <w:tr>
        <w:trPr>
          <w:trHeight w:val="192"/>
        </w:trPr>
        <w:tc>
          <w:tcPr>
            <w:tcW w:w="8260" w:type="dxa"/>
            <w:vAlign w:val="bottom"/>
          </w:tcPr>
          <w:p>
            <w:pPr>
              <w:ind w:left="20"/>
              <w:spacing w:after="0"/>
              <w:rPr>
                <w:sz w:val="20"/>
                <w:szCs w:val="20"/>
                <w:color w:val="auto"/>
              </w:rPr>
            </w:pPr>
            <w:r>
              <w:rPr>
                <w:rFonts w:ascii="Arial" w:cs="Arial" w:eastAsia="Arial" w:hAnsi="Arial"/>
                <w:sz w:val="14"/>
                <w:szCs w:val="14"/>
                <w:color w:val="auto"/>
              </w:rPr>
              <w:t>Energy operating costs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6.68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99"/>
        </w:trPr>
        <w:tc>
          <w:tcPr>
            <w:tcW w:w="82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Gas processing costs</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0.56</w:t>
            </w:r>
          </w:p>
        </w:tc>
        <w:tc>
          <w:tcPr>
            <w:tcW w:w="10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0.41</w:t>
            </w:r>
          </w:p>
        </w:tc>
      </w:tr>
      <w:tr>
        <w:trPr>
          <w:trHeight w:val="198"/>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Non-energy operating costs</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15.63</w:t>
            </w:r>
          </w:p>
        </w:tc>
        <w:tc>
          <w:tcPr>
            <w:tcW w:w="100" w:type="dxa"/>
            <w:vAlign w:val="bottom"/>
            <w:tcBorders>
              <w:bottom w:val="single" w:sz="8" w:color="DBDBDB"/>
              <w:right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w:t>
            </w:r>
          </w:p>
        </w:tc>
      </w:tr>
      <w:tr>
        <w:trPr>
          <w:trHeight w:val="193"/>
        </w:trPr>
        <w:tc>
          <w:tcPr>
            <w:tcW w:w="82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costs</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22.87</w:t>
            </w:r>
          </w:p>
        </w:tc>
        <w:tc>
          <w:tcPr>
            <w:tcW w:w="10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20.45</w:t>
            </w:r>
          </w:p>
        </w:tc>
      </w:tr>
      <w:tr>
        <w:trPr>
          <w:trHeight w:val="198"/>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Excess costs attributable to PSCs</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w:t>
            </w:r>
          </w:p>
        </w:tc>
        <w:tc>
          <w:tcPr>
            <w:tcW w:w="100" w:type="dxa"/>
            <w:vAlign w:val="bottom"/>
            <w:tcBorders>
              <w:bottom w:val="single" w:sz="8" w:color="DBDBDB"/>
              <w:right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r>
      <w:tr>
        <w:trPr>
          <w:trHeight w:val="213"/>
        </w:trPr>
        <w:tc>
          <w:tcPr>
            <w:tcW w:w="8260" w:type="dxa"/>
            <w:vAlign w:val="bottom"/>
            <w:shd w:val="clear" w:color="auto" w:fill="DBDBDB"/>
          </w:tcPr>
          <w:p>
            <w:pPr>
              <w:ind w:left="20"/>
              <w:spacing w:after="0" w:line="193" w:lineRule="exact"/>
              <w:rPr>
                <w:sz w:val="20"/>
                <w:szCs w:val="20"/>
                <w:color w:val="auto"/>
              </w:rPr>
            </w:pPr>
            <w:r>
              <w:rPr>
                <w:rFonts w:ascii="Arial" w:cs="Arial" w:eastAsia="Arial" w:hAnsi="Arial"/>
                <w:sz w:val="14"/>
                <w:szCs w:val="14"/>
                <w:color w:val="auto"/>
              </w:rPr>
              <w:t xml:space="preserve">Operating costs, excluding effects of PSCs </w:t>
            </w:r>
            <w:r>
              <w:rPr>
                <w:rFonts w:ascii="Arial" w:cs="Arial" w:eastAsia="Arial" w:hAnsi="Arial"/>
                <w:sz w:val="18"/>
                <w:szCs w:val="18"/>
                <w:color w:val="auto"/>
                <w:vertAlign w:val="superscript"/>
              </w:rPr>
              <w:t>(a)</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20.57</w:t>
            </w:r>
          </w:p>
        </w:tc>
        <w:tc>
          <w:tcPr>
            <w:tcW w:w="10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18.32</w:t>
            </w:r>
          </w:p>
        </w:tc>
      </w:tr>
      <w:tr>
        <w:trPr>
          <w:trHeight w:val="20"/>
        </w:trPr>
        <w:tc>
          <w:tcPr>
            <w:tcW w:w="82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Operating costs, excluding effects of PSCs is a non-GAAP measure.</w:t>
      </w:r>
    </w:p>
    <w:p>
      <w:pPr>
        <w:spacing w:after="0" w:line="339"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21"/>
          <w:szCs w:val="21"/>
          <w:color w:val="auto"/>
        </w:rPr>
        <w:t>Energy operating costs for the first quarter of 2022 were $53 million, or $6.68 per BOE, which was an increase of $5 million or 10% from $48 million, or $5.47 per BOE, for the fourth quarter of 2021. This increase was primarily a result of higher prices for purchased natural gas, which CRC used to generate electricity for its operations, and for purchased electricity. Energy operating costs were also higher on a per BOE basis as a result of lower production volumes between periods.</w:t>
      </w:r>
    </w:p>
    <w:p>
      <w:pPr>
        <w:spacing w:after="0" w:line="205"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21"/>
          <w:szCs w:val="21"/>
          <w:color w:val="auto"/>
        </w:rPr>
        <w:t>Non-energy operating costs for the first quarter of 2022 were $124 million, or $15.63 per BOE, which was a decrease of $6 million or 5% from $130 million, or $14.57 per BOE, for the fourth quarter of 2021. This decrease was primarily a result of reduced downhole maintenance activity and reduced volumes of natural gas purchased for use in CRC's steamflood operations. The per BOE increase was primarily due to lower production volumes between periods.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38"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21"/>
          <w:szCs w:val="21"/>
          <w:color w:val="auto"/>
        </w:rPr>
        <w:t>CRC's aggregate commitment under the Revolving Credit Facility was $552 million as of March 31, 2022. This amount includes $60 million of additional commitments from new lenders that CRC obtained in February 2022. The borrowing base for the Revolving Credit Facility is redetermined semi-annually and was reaffirmed at $1.2 billion on April 29, 2022.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40"/>
          </w:cols>
          <w:pgMar w:left="320" w:top="868" w:right="239" w:bottom="1440" w:gutter="0" w:footer="0" w:header="0"/>
        </w:sectPr>
      </w:pPr>
    </w:p>
    <w:bookmarkStart w:id="10" w:name="page11"/>
    <w:bookmarkEnd w:id="10"/>
    <w:p>
      <w:pPr>
        <w:jc w:val="both"/>
        <w:ind w:firstLine="318"/>
        <w:spacing w:after="0"/>
        <w:rPr>
          <w:sz w:val="20"/>
          <w:szCs w:val="20"/>
          <w:color w:val="auto"/>
        </w:rPr>
      </w:pPr>
      <w:r>
        <w:rPr>
          <w:rFonts w:ascii="Arial" w:cs="Arial" w:eastAsia="Arial" w:hAnsi="Arial"/>
          <w:sz w:val="21"/>
          <w:szCs w:val="21"/>
          <w:color w:val="auto"/>
        </w:rPr>
        <w:t xml:space="preserve">On April 29, 2022, CRC amended its Revolving Credit Facility to, among other things, modify the minimum hedge requirement and the restricted payment contained in the Revolving Credit Facility. As a result of this amendment, the rolling hedge requirement as described in </w:t>
      </w:r>
      <w:r>
        <w:rPr>
          <w:rFonts w:ascii="Arial" w:cs="Arial" w:eastAsia="Arial" w:hAnsi="Arial"/>
          <w:sz w:val="21"/>
          <w:szCs w:val="21"/>
          <w:i w:val="1"/>
          <w:iCs w:val="1"/>
          <w:color w:val="auto"/>
        </w:rPr>
        <w:t>Part II, Item 8 – Financial Statements and Supplementary Data, Note 4 Debt</w:t>
      </w:r>
      <w:r>
        <w:rPr>
          <w:rFonts w:ascii="Arial" w:cs="Arial" w:eastAsia="Arial" w:hAnsi="Arial"/>
          <w:sz w:val="21"/>
          <w:szCs w:val="21"/>
          <w:color w:val="auto"/>
        </w:rPr>
        <w:t xml:space="preserve"> in CRC's 2021 Annual Report has been modified. Furthermore, the restricted payment and investments covenants were modified to permit unlimited restricted payments and/or investments so long as (i) no Default, Event of Default or Borrowing Base Deficiency shall have occurred and be continuing under the Revolving Credit Facility at the time of such investment or restricted payment, (ii) the undrawn availability under the Revolving Credit Facility is not less than 30.0% at such time and (iii) the Consolidated Total Net Leverage Ratio is less than or equal to 1.50 to 1.00.</w:t>
      </w:r>
    </w:p>
    <w:p>
      <w:pPr>
        <w:spacing w:after="0" w:line="201"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21"/>
          <w:szCs w:val="21"/>
          <w:color w:val="auto"/>
        </w:rPr>
        <w:t>As of March 31, 2022, CRC had liquidity of $744 million, which consisted of $328 million in cash and $416 million of available borrowing capacity under its Revolving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Acquisitions and Divestitures</w:t>
      </w:r>
    </w:p>
    <w:p>
      <w:pPr>
        <w:spacing w:after="0" w:line="251"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21"/>
          <w:szCs w:val="21"/>
          <w:color w:val="auto"/>
        </w:rPr>
        <w:t>During the first quarter of 2022, CRC recorded a gain of $6 million related to the sale of certain Ventura basin assets. CRC expects to divest its remaining assets in the Ventura basin during the second half of 2022, pending final approval from the State Lands Commission.</w:t>
      </w:r>
    </w:p>
    <w:p>
      <w:pPr>
        <w:spacing w:after="0" w:line="177" w:lineRule="exact"/>
        <w:rPr>
          <w:sz w:val="20"/>
          <w:szCs w:val="20"/>
          <w:color w:val="auto"/>
        </w:rPr>
      </w:pPr>
    </w:p>
    <w:p>
      <w:pPr>
        <w:jc w:val="both"/>
        <w:ind w:firstLine="318"/>
        <w:spacing w:after="0"/>
        <w:rPr>
          <w:sz w:val="20"/>
          <w:szCs w:val="20"/>
          <w:color w:val="auto"/>
        </w:rPr>
      </w:pPr>
      <w:r>
        <w:rPr>
          <w:rFonts w:ascii="Arial" w:cs="Arial" w:eastAsia="Arial" w:hAnsi="Arial"/>
          <w:sz w:val="21"/>
          <w:szCs w:val="21"/>
          <w:color w:val="auto"/>
        </w:rPr>
        <w:t>On February 1, 2022, CRC sold its 50% non-operated working interest in certain horizons within its Lost Hills field, located in the San Joaquin basin, recognizing a gain of $49 million. CRC retained an option to capture, transport and store 100% of the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from steam generators across the Lost Hills field for future carbon management projects. CRC also retained 100% of the deep rights and related seismic data</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Returns Strategy</w:t>
      </w:r>
    </w:p>
    <w:p>
      <w:pPr>
        <w:spacing w:after="0" w:line="2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21"/>
          <w:szCs w:val="21"/>
          <w:color w:val="auto"/>
        </w:rPr>
        <w:t>CRC continues to prioritize shareholder returns and is committed to delivering approximately 25% of operating cash flow to shareholders. In light of this strategy, CRC increased the Share Repurchase Program by $300 million to $650 million and extended the term of the program through June 30, 2023. After the repurchases through April 29, 2022, and the $300 million increase, CRC has $411 million available for future potential share repurchases.</w:t>
      </w:r>
    </w:p>
    <w:p>
      <w:pPr>
        <w:spacing w:after="0" w:line="184"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21"/>
          <w:szCs w:val="21"/>
          <w:color w:val="auto"/>
        </w:rPr>
        <w:t>During the first quarter of 2022, CRC repurchased approximately 1.7 million shares of its common stock for $71 million. Since the inception of Share Repurchase Program through April 29, 2022, CRC has repurchased 6.2 million shares for $239 million.</w:t>
      </w:r>
    </w:p>
    <w:p>
      <w:pPr>
        <w:spacing w:after="0" w:line="17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21"/>
          <w:szCs w:val="21"/>
          <w:color w:val="auto"/>
        </w:rPr>
        <w:t>On May 4, 2022, CRC's Board of Directors declared a quarterly dividend of $0.17 per share of common stock. The dividend is payable to shareholders of record on June 1, 2022, and will be paid on June 16, 2022.</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CRC's executives will be participating in the following virtual and in-person events in May 2022 and June 2022:</w:t>
      </w:r>
    </w:p>
    <w:p>
      <w:pPr>
        <w:spacing w:after="0" w:line="236" w:lineRule="exact"/>
        <w:rPr>
          <w:sz w:val="20"/>
          <w:szCs w:val="20"/>
          <w:color w:val="auto"/>
        </w:rPr>
      </w:pPr>
    </w:p>
    <w:p>
      <w:pPr>
        <w:ind w:left="580" w:hanging="256"/>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 2022 Global Energy, Utilities and Climate Technology Conference on May 10 - May 11, 2022, in Boston, MA</w:t>
      </w:r>
    </w:p>
    <w:p>
      <w:pPr>
        <w:spacing w:after="0" w:line="17" w:lineRule="exact"/>
        <w:rPr>
          <w:rFonts w:ascii="Arial" w:cs="Arial" w:eastAsia="Arial" w:hAnsi="Arial"/>
          <w:sz w:val="21"/>
          <w:szCs w:val="21"/>
          <w:color w:val="auto"/>
        </w:rPr>
      </w:pPr>
    </w:p>
    <w:p>
      <w:pPr>
        <w:ind w:left="580" w:hanging="256"/>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BofA Securities 2022 Virtual Energy Transition &amp; ESG Conference on May 11 - May 12,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868" w:right="339" w:bottom="1440" w:gutter="0" w:footer="0" w:header="0"/>
        </w:sectPr>
      </w:pPr>
    </w:p>
    <w:bookmarkStart w:id="11" w:name="page12"/>
    <w:bookmarkEnd w:id="11"/>
    <w:p>
      <w:pPr>
        <w:ind w:left="580" w:hanging="256"/>
        <w:spacing w:after="0"/>
        <w:tabs>
          <w:tab w:leader="none" w:pos="580" w:val="left"/>
        </w:tabs>
        <w:numPr>
          <w:ilvl w:val="0"/>
          <w:numId w:val="8"/>
        </w:numPr>
        <w:rPr>
          <w:rFonts w:ascii="Arial" w:cs="Arial" w:eastAsia="Arial" w:hAnsi="Arial"/>
          <w:sz w:val="21"/>
          <w:szCs w:val="21"/>
          <w:color w:val="auto"/>
        </w:rPr>
      </w:pPr>
      <w:r>
        <w:rPr>
          <w:rFonts w:ascii="Arial" w:cs="Arial" w:eastAsia="Arial" w:hAnsi="Arial"/>
          <w:sz w:val="21"/>
          <w:szCs w:val="21"/>
          <w:color w:val="auto"/>
        </w:rPr>
        <w:t>Wells Fargo 2022 Energy Conference on June 1 - June 2, 2022 in Irving, TX</w:t>
      </w:r>
    </w:p>
    <w:p>
      <w:pPr>
        <w:spacing w:after="0" w:line="17" w:lineRule="exact"/>
        <w:rPr>
          <w:rFonts w:ascii="Arial" w:cs="Arial" w:eastAsia="Arial" w:hAnsi="Arial"/>
          <w:sz w:val="21"/>
          <w:szCs w:val="21"/>
          <w:color w:val="auto"/>
        </w:rPr>
      </w:pPr>
    </w:p>
    <w:p>
      <w:pPr>
        <w:ind w:left="640" w:hanging="316"/>
        <w:spacing w:after="0" w:line="237" w:lineRule="auto"/>
        <w:tabs>
          <w:tab w:leader="none" w:pos="582" w:val="left"/>
        </w:tabs>
        <w:numPr>
          <w:ilvl w:val="0"/>
          <w:numId w:val="8"/>
        </w:numPr>
        <w:rPr>
          <w:rFonts w:ascii="Arial" w:cs="Arial" w:eastAsia="Arial" w:hAnsi="Arial"/>
          <w:sz w:val="21"/>
          <w:szCs w:val="21"/>
          <w:color w:val="auto"/>
        </w:rPr>
      </w:pPr>
      <w:r>
        <w:rPr>
          <w:rFonts w:ascii="Arial" w:cs="Arial" w:eastAsia="Arial" w:hAnsi="Arial"/>
          <w:sz w:val="21"/>
          <w:szCs w:val="21"/>
          <w:color w:val="auto"/>
        </w:rPr>
        <w:t>RBC Capital Markets Global Energy and Power Infrastructure Conference on June 7 - June 8, 2022, in New York City, NY</w:t>
      </w:r>
    </w:p>
    <w:p>
      <w:pPr>
        <w:ind w:left="580" w:hanging="256"/>
        <w:spacing w:after="0" w:line="237" w:lineRule="auto"/>
        <w:tabs>
          <w:tab w:leader="none" w:pos="580" w:val="left"/>
        </w:tabs>
        <w:numPr>
          <w:ilvl w:val="0"/>
          <w:numId w:val="8"/>
        </w:numPr>
        <w:rPr>
          <w:rFonts w:ascii="Arial" w:cs="Arial" w:eastAsia="Arial" w:hAnsi="Arial"/>
          <w:sz w:val="21"/>
          <w:szCs w:val="21"/>
          <w:color w:val="auto"/>
        </w:rPr>
      </w:pPr>
      <w:r>
        <w:rPr>
          <w:rFonts w:ascii="Arial" w:cs="Arial" w:eastAsia="Arial" w:hAnsi="Arial"/>
          <w:sz w:val="21"/>
          <w:szCs w:val="21"/>
          <w:color w:val="auto"/>
        </w:rPr>
        <w:t>BofA Securities 2022 Energy Credit Conference on June 8 - June 9, 2022, in New York City, NY</w:t>
      </w:r>
    </w:p>
    <w:p>
      <w:pPr>
        <w:ind w:left="580" w:hanging="256"/>
        <w:spacing w:after="0" w:line="237" w:lineRule="auto"/>
        <w:tabs>
          <w:tab w:leader="none" w:pos="580" w:val="left"/>
        </w:tabs>
        <w:numPr>
          <w:ilvl w:val="0"/>
          <w:numId w:val="8"/>
        </w:numPr>
        <w:rPr>
          <w:rFonts w:ascii="Arial" w:cs="Arial" w:eastAsia="Arial" w:hAnsi="Arial"/>
          <w:sz w:val="21"/>
          <w:szCs w:val="21"/>
          <w:color w:val="auto"/>
        </w:rPr>
      </w:pPr>
      <w:r>
        <w:rPr>
          <w:rFonts w:ascii="Arial" w:cs="Arial" w:eastAsia="Arial" w:hAnsi="Arial"/>
          <w:sz w:val="21"/>
          <w:szCs w:val="21"/>
          <w:color w:val="auto"/>
        </w:rPr>
        <w:t>J.P. Morgan 2022 Energy, Power &amp; Renewables Conference on June 22 - June 23, 2022, in New York City, NY</w:t>
      </w:r>
    </w:p>
    <w:p>
      <w:pPr>
        <w:ind w:left="580" w:hanging="256"/>
        <w:spacing w:after="0"/>
        <w:tabs>
          <w:tab w:leader="none" w:pos="580" w:val="left"/>
        </w:tabs>
        <w:numPr>
          <w:ilvl w:val="0"/>
          <w:numId w:val="8"/>
        </w:numPr>
        <w:rPr>
          <w:rFonts w:ascii="Arial" w:cs="Arial" w:eastAsia="Arial" w:hAnsi="Arial"/>
          <w:sz w:val="21"/>
          <w:szCs w:val="21"/>
          <w:color w:val="auto"/>
        </w:rPr>
      </w:pPr>
      <w:r>
        <w:rPr>
          <w:rFonts w:ascii="Arial" w:cs="Arial" w:eastAsia="Arial" w:hAnsi="Arial"/>
          <w:sz w:val="21"/>
          <w:szCs w:val="21"/>
          <w:color w:val="auto"/>
        </w:rPr>
        <w:t>Pickering Energy Partners CCUS Mini-Conference on June 28 - June 29, 2022, in Houston, TX</w:t>
      </w:r>
    </w:p>
    <w:p>
      <w:pPr>
        <w:spacing w:after="0" w:line="202"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21"/>
          <w:szCs w:val="21"/>
          <w:color w:val="auto"/>
        </w:rPr>
        <w:t>CRC’s presentation materials will be available the day of the events on the Events and Presentations page in the Investor Relations section on www.crc.com.</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3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21"/>
          <w:szCs w:val="21"/>
          <w:color w:val="auto"/>
        </w:rPr>
        <w:t>To participate in the conference call scheduled for later today at 1:00 p.m. Eastern Time, please dial (877) 328-5505 (International calls please dial +1 (412) 317-5421) or access via webcast at www.crc.com 15 minutes prior to the scheduled start time to register. Participants may also pre-register for the conference call at https://dpregister.com/sreg/10164563/f1eff7c58f. A digital replay of the conference call will be archived for approximately 90 days and supplemental slides for the conference call will be available online in the Investor Relations section of www.crc.com.</w:t>
      </w:r>
    </w:p>
    <w:p>
      <w:pPr>
        <w:spacing w:after="0" w:line="202" w:lineRule="exact"/>
        <w:rPr>
          <w:sz w:val="20"/>
          <w:szCs w:val="20"/>
          <w:color w:val="auto"/>
        </w:rPr>
      </w:pPr>
    </w:p>
    <w:p>
      <w:pPr>
        <w:jc w:val="both"/>
        <w:ind w:firstLine="6"/>
        <w:spacing w:after="0" w:line="226" w:lineRule="auto"/>
        <w:tabs>
          <w:tab w:leader="none" w:pos="62" w:val="left"/>
        </w:tabs>
        <w:numPr>
          <w:ilvl w:val="0"/>
          <w:numId w:val="9"/>
        </w:numPr>
        <w:rPr>
          <w:rFonts w:ascii="Arial" w:cs="Arial" w:eastAsia="Arial" w:hAnsi="Arial"/>
          <w:sz w:val="15"/>
          <w:szCs w:val="15"/>
          <w:color w:val="auto"/>
          <w:vertAlign w:val="superscript"/>
        </w:rPr>
      </w:pPr>
      <w:r>
        <w:rPr>
          <w:rFonts w:ascii="Arial" w:cs="Arial" w:eastAsia="Arial" w:hAnsi="Arial"/>
          <w:sz w:val="11"/>
          <w:szCs w:val="11"/>
          <w:color w:val="auto"/>
        </w:rPr>
        <w:t>See Attachment 2 for the non-GAAP financial measures of adjusted EBITDAX, operating costs per BOE (excluding effects of PSCs), adjusted net income (loss), adjusted net income (loss) per share - basic and diluted), free cash flow and free cash flow, after special items including reconciliations to their most directly comparable GAAP measure, where applicable. For the full year 2022 estimates of the non-GAAP measures of adjusted EBITDAX and free cash flow, including reconciliations to their most directly comparable GAAP measure, see Attachment 7.</w:t>
      </w:r>
    </w:p>
    <w:p>
      <w:pPr>
        <w:ind w:left="60" w:hanging="54"/>
        <w:spacing w:after="0" w:line="238" w:lineRule="auto"/>
        <w:tabs>
          <w:tab w:leader="none" w:pos="6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Calculated as $328 million of cash plus $552 million of capacity on CRC's Revolving Credit Facility less $136 million in outstanding letters of credit</w:t>
      </w:r>
    </w:p>
    <w:p>
      <w:pPr>
        <w:spacing w:after="0" w:line="16" w:lineRule="exact"/>
        <w:rPr>
          <w:sz w:val="20"/>
          <w:szCs w:val="20"/>
          <w:color w:val="auto"/>
        </w:rPr>
      </w:pPr>
    </w:p>
    <w:p>
      <w:pPr>
        <w:ind w:firstLine="6"/>
        <w:spacing w:after="0" w:line="215" w:lineRule="auto"/>
        <w:tabs>
          <w:tab w:leader="none" w:pos="74"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2022 guidance assumes a 2022 Brent price of $98 per barrel of oil, NGL realizations consistent with prior years and a NYMEX gas price of $5.30 per mcf. CRC's share of production under PSC contracts decreases when commodity prices rise and increases when prices fall.</w:t>
      </w:r>
    </w:p>
    <w:p>
      <w:pPr>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4</w:t>
      </w:r>
      <w:r>
        <w:rPr>
          <w:rFonts w:ascii="Arial" w:cs="Arial" w:eastAsia="Arial" w:hAnsi="Arial"/>
          <w:sz w:val="11"/>
          <w:szCs w:val="11"/>
          <w:color w:val="auto"/>
        </w:rPr>
        <w:t xml:space="preserve"> CMB Expenses include start-up expenditures.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21"/>
          <w:szCs w:val="21"/>
          <w:color w:val="auto"/>
        </w:rPr>
        <w:t>California Resources Corporation (CRC) is an independent oil and natural gas company committed to energy transition in the sector. CRC has some of the lowest carbon intensity production in the US and we are focused on maximizing the value of our land, mineral and technical resources for decarbonization by developing carbon capture and storage (CCS) and other emissions reducing projects. For more information about CRC, please visit www.crc.com.</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868"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21"/>
          <w:szCs w:val="21"/>
          <w:color w:val="auto"/>
        </w:rPr>
        <w:t>Although we believe the expectations and forecasts reflected in CRC's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our actual results to be materially different than those expressed in CRC's forward-looking statements include:</w:t>
      </w:r>
    </w:p>
    <w:p>
      <w:pPr>
        <w:spacing w:after="0" w:line="200" w:lineRule="exact"/>
        <w:rPr>
          <w:sz w:val="20"/>
          <w:szCs w:val="20"/>
          <w:color w:val="auto"/>
        </w:rPr>
      </w:pPr>
    </w:p>
    <w:p>
      <w:pPr>
        <w:spacing w:after="0" w:line="213" w:lineRule="exact"/>
        <w:rPr>
          <w:sz w:val="20"/>
          <w:szCs w:val="20"/>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fluctuations in commodity prices and the potential for sustained low oil, natural gas and natural gas liquids prices;</w:t>
      </w:r>
    </w:p>
    <w:p>
      <w:pPr>
        <w:spacing w:after="0" w:line="30" w:lineRule="exact"/>
        <w:rPr>
          <w:rFonts w:ascii="Arial" w:cs="Arial" w:eastAsia="Arial" w:hAnsi="Arial"/>
          <w:sz w:val="21"/>
          <w:szCs w:val="21"/>
          <w:color w:val="auto"/>
        </w:rPr>
      </w:pPr>
    </w:p>
    <w:p>
      <w:pPr>
        <w:ind w:left="640" w:right="80" w:hanging="316"/>
        <w:spacing w:after="0" w:line="253"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our products;</w:t>
      </w:r>
    </w:p>
    <w:p>
      <w:pPr>
        <w:spacing w:after="0" w:line="2" w:lineRule="exact"/>
        <w:rPr>
          <w:rFonts w:ascii="Arial" w:cs="Arial" w:eastAsia="Arial" w:hAnsi="Arial"/>
          <w:sz w:val="21"/>
          <w:szCs w:val="21"/>
          <w:color w:val="auto"/>
        </w:rPr>
      </w:pPr>
    </w:p>
    <w:p>
      <w:pPr>
        <w:ind w:left="640" w:right="38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availability or timing of, or conditions imposed on, permits and approvals necessary for drilling or development projects;</w:t>
      </w: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changes in business strategy and CRC's capital plan;</w:t>
      </w:r>
    </w:p>
    <w:p>
      <w:pPr>
        <w:spacing w:after="0" w:line="18" w:lineRule="exact"/>
        <w:rPr>
          <w:rFonts w:ascii="Arial" w:cs="Arial" w:eastAsia="Arial" w:hAnsi="Arial"/>
          <w:sz w:val="21"/>
          <w:szCs w:val="21"/>
          <w:color w:val="auto"/>
        </w:rPr>
      </w:pPr>
    </w:p>
    <w:p>
      <w:pPr>
        <w:ind w:left="640" w:right="40" w:hanging="316"/>
        <w:spacing w:after="0" w:line="252"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lower-than-expected production, reserves or resources from development projects or acquisitions, or higher-than-expected decline rates;</w:t>
      </w:r>
    </w:p>
    <w:p>
      <w:pPr>
        <w:spacing w:after="0" w:line="1"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incorrect estimates of reserves and related future cash flows and the inability to replace reserves;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10" w:lineRule="exact"/>
        <w:rPr>
          <w:rFonts w:ascii="Arial" w:cs="Arial" w:eastAsia="Arial" w:hAnsi="Arial"/>
          <w:sz w:val="21"/>
          <w:szCs w:val="21"/>
          <w:color w:val="auto"/>
        </w:rPr>
      </w:pPr>
    </w:p>
    <w:p>
      <w:pPr>
        <w:ind w:left="640" w:right="400" w:hanging="316"/>
        <w:spacing w:after="0" w:line="256"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realize the benefits of business strategies and initiatives related to energy transition, including carbon capture and storage projects and other renewable energy efforts;</w:t>
      </w:r>
    </w:p>
    <w:p>
      <w:pPr>
        <w:spacing w:after="0" w:line="1"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finance and implement its carbon capture and storage projects;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global geopolitical, socio-demographic and economic trends and technological innovations;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changes in our dividend policy and our ability to declare future dividends;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spacing w:after="0" w:line="10" w:lineRule="exact"/>
        <w:rPr>
          <w:rFonts w:ascii="Arial" w:cs="Arial" w:eastAsia="Arial" w:hAnsi="Arial"/>
          <w:sz w:val="21"/>
          <w:szCs w:val="21"/>
          <w:color w:val="auto"/>
        </w:rPr>
      </w:pPr>
    </w:p>
    <w:p>
      <w:pPr>
        <w:ind w:left="640" w:right="140" w:hanging="316"/>
        <w:spacing w:after="0" w:line="250"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insufficient cash flow to fund planned investments, interest payments on our debt, stock repurchases or changes to CRC's capital plan;</w:t>
      </w: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insufficient capital or liquidity unavailability of capital markets or inability to attract potential investors;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spacing w:after="0" w:line="18"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acquisitions, asset sales and joint ventures;</w:t>
      </w:r>
    </w:p>
    <w:p>
      <w:pPr>
        <w:spacing w:after="0" w:line="15"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joint ventures and acquisitions and CRC's ability to achieve expected synergies;</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utilize its net operating loss carryforwards to reduce its income tax obligations;</w:t>
      </w:r>
    </w:p>
    <w:p>
      <w:pPr>
        <w:spacing w:after="0" w:line="10" w:lineRule="exact"/>
        <w:rPr>
          <w:rFonts w:ascii="Arial" w:cs="Arial" w:eastAsia="Arial" w:hAnsi="Arial"/>
          <w:sz w:val="21"/>
          <w:szCs w:val="21"/>
          <w:color w:val="auto"/>
        </w:rPr>
      </w:pPr>
    </w:p>
    <w:p>
      <w:pPr>
        <w:ind w:left="640" w:right="480" w:hanging="316"/>
        <w:spacing w:after="0" w:line="254"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successfully gather and verify data regarding emissions, its environmental impacts and other initiatives;</w:t>
      </w:r>
    </w:p>
    <w:p>
      <w:pPr>
        <w:ind w:left="640" w:right="480" w:hanging="316"/>
        <w:spacing w:after="0" w:line="252" w:lineRule="auto"/>
        <w:tabs>
          <w:tab w:leader="none" w:pos="582"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compliance of various third parties with CRC's policies and procedures and legal requirements as well as contracts CRC enters into in connection with its climate-related initiatives;</w:t>
      </w:r>
    </w:p>
    <w:p>
      <w:pPr>
        <w:spacing w:after="0" w:line="1"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changes in the intensity of competition in the oil and gas industry;</w:t>
      </w:r>
    </w:p>
    <w:p>
      <w:pPr>
        <w:spacing w:after="0" w:line="10" w:lineRule="exact"/>
        <w:rPr>
          <w:rFonts w:ascii="Arial" w:cs="Arial" w:eastAsia="Arial" w:hAnsi="Arial"/>
          <w:sz w:val="21"/>
          <w:szCs w:val="21"/>
          <w:color w:val="auto"/>
        </w:rPr>
      </w:pPr>
    </w:p>
    <w:p>
      <w:pPr>
        <w:ind w:left="580" w:hanging="256"/>
        <w:spacing w:after="0"/>
        <w:tabs>
          <w:tab w:leader="none" w:pos="5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882" w:right="339" w:bottom="1440" w:gutter="0" w:footer="0" w:header="0"/>
        </w:sectPr>
      </w:pPr>
    </w:p>
    <w:bookmarkStart w:id="13" w:name="page14"/>
    <w:bookmarkEnd w:id="13"/>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equipment, service or labor price inflation or unavailability;</w:t>
      </w:r>
    </w:p>
    <w:p>
      <w:pPr>
        <w:spacing w:after="0" w:line="30" w:lineRule="exact"/>
        <w:rPr>
          <w:rFonts w:ascii="Arial" w:cs="Arial" w:eastAsia="Arial" w:hAnsi="Arial"/>
          <w:sz w:val="21"/>
          <w:szCs w:val="21"/>
          <w:color w:val="auto"/>
        </w:rPr>
      </w:pP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climate-related conditions and weather events;</w:t>
      </w:r>
    </w:p>
    <w:p>
      <w:pPr>
        <w:spacing w:after="0" w:line="10" w:lineRule="exact"/>
        <w:rPr>
          <w:rFonts w:ascii="Arial" w:cs="Arial" w:eastAsia="Arial" w:hAnsi="Arial"/>
          <w:sz w:val="21"/>
          <w:szCs w:val="21"/>
          <w:color w:val="auto"/>
        </w:rPr>
      </w:pPr>
    </w:p>
    <w:p>
      <w:pPr>
        <w:ind w:left="640" w:right="320" w:hanging="316"/>
        <w:spacing w:after="0" w:line="256" w:lineRule="auto"/>
        <w:tabs>
          <w:tab w:leader="none" w:pos="582" w:val="left"/>
        </w:tabs>
        <w:numPr>
          <w:ilvl w:val="0"/>
          <w:numId w:val="13"/>
        </w:numPr>
        <w:rPr>
          <w:rFonts w:ascii="Arial" w:cs="Arial" w:eastAsia="Arial" w:hAnsi="Arial"/>
          <w:sz w:val="21"/>
          <w:szCs w:val="21"/>
          <w:color w:val="auto"/>
        </w:rPr>
      </w:pPr>
      <w:r>
        <w:rPr>
          <w:rFonts w:ascii="Arial" w:cs="Arial" w:eastAsia="Arial" w:hAnsi="Arial"/>
          <w:sz w:val="21"/>
          <w:szCs w:val="21"/>
          <w:color w:val="auto"/>
        </w:rPr>
        <w:t>disruptions due to accidents, mechanical failures, power outages, transportation or storage constraints, natural disasters, labor difficulties, cyber-attacks or other catastrophic events;</w:t>
      </w:r>
    </w:p>
    <w:p>
      <w:pPr>
        <w:spacing w:after="0" w:line="1" w:lineRule="exact"/>
        <w:rPr>
          <w:rFonts w:ascii="Arial" w:cs="Arial" w:eastAsia="Arial" w:hAnsi="Arial"/>
          <w:sz w:val="21"/>
          <w:szCs w:val="21"/>
          <w:color w:val="auto"/>
        </w:rPr>
      </w:pPr>
    </w:p>
    <w:p>
      <w:pPr>
        <w:ind w:left="580" w:hanging="256"/>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and</w:t>
      </w:r>
    </w:p>
    <w:p>
      <w:pPr>
        <w:spacing w:after="0" w:line="10" w:lineRule="exact"/>
        <w:rPr>
          <w:rFonts w:ascii="Arial" w:cs="Arial" w:eastAsia="Arial" w:hAnsi="Arial"/>
          <w:sz w:val="21"/>
          <w:szCs w:val="21"/>
          <w:color w:val="auto"/>
        </w:rPr>
      </w:pPr>
    </w:p>
    <w:p>
      <w:pPr>
        <w:ind w:left="640" w:right="40" w:hanging="316"/>
        <w:spacing w:after="0" w:line="268" w:lineRule="auto"/>
        <w:tabs>
          <w:tab w:leader="none" w:pos="582" w:val="left"/>
        </w:tabs>
        <w:numPr>
          <w:ilvl w:val="0"/>
          <w:numId w:val="13"/>
        </w:numPr>
        <w:rPr>
          <w:rFonts w:ascii="Arial" w:cs="Arial" w:eastAsia="Arial" w:hAnsi="Arial"/>
          <w:sz w:val="21"/>
          <w:szCs w:val="21"/>
          <w:color w:val="auto"/>
        </w:rPr>
      </w:pPr>
      <w:r>
        <w:rPr>
          <w:rFonts w:ascii="Arial" w:cs="Arial" w:eastAsia="Arial" w:hAnsi="Arial"/>
          <w:sz w:val="21"/>
          <w:szCs w:val="21"/>
          <w:color w:val="auto"/>
        </w:rPr>
        <w:t>other factors discussed in Part I, Item 1A – Risk Factors in CRC's Annual Report on Form 10-K and its other SEC filings available at www.crc.com.</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gridSpan w:val="2"/>
          </w:tcPr>
          <w:p>
            <w:pPr>
              <w:spacing w:after="0"/>
              <w:rPr>
                <w:sz w:val="20"/>
                <w:szCs w:val="20"/>
                <w:color w:val="auto"/>
              </w:rPr>
            </w:pPr>
            <w:r>
              <w:rPr>
                <w:rFonts w:ascii="Arial" w:cs="Arial" w:eastAsia="Arial" w:hAnsi="Arial"/>
                <w:sz w:val="21"/>
                <w:szCs w:val="21"/>
                <w:b w:val="1"/>
                <w:bCs w:val="1"/>
                <w:color w:val="auto"/>
              </w:rPr>
              <w:t>Contacts:</w:t>
            </w:r>
          </w:p>
        </w:tc>
        <w:tc>
          <w:tcPr>
            <w:tcW w:w="2220" w:type="dxa"/>
            <w:vAlign w:val="bottom"/>
          </w:tcPr>
          <w:p>
            <w:pPr>
              <w:spacing w:after="0"/>
              <w:rPr>
                <w:sz w:val="21"/>
                <w:szCs w:val="2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45"/>
        </w:trPr>
        <w:tc>
          <w:tcPr>
            <w:tcW w:w="5580" w:type="dxa"/>
            <w:vAlign w:val="bottom"/>
            <w:gridSpan w:val="2"/>
          </w:tcPr>
          <w:p>
            <w:pPr>
              <w:ind w:left="20"/>
              <w:spacing w:after="0"/>
              <w:rPr>
                <w:sz w:val="20"/>
                <w:szCs w:val="20"/>
                <w:color w:val="auto"/>
              </w:rPr>
            </w:pPr>
            <w:r>
              <w:rPr>
                <w:rFonts w:ascii="Arial" w:cs="Arial" w:eastAsia="Arial" w:hAnsi="Arial"/>
                <w:sz w:val="21"/>
                <w:szCs w:val="21"/>
                <w:color w:val="auto"/>
              </w:rPr>
              <w:t>Joanna Park (Investor Relations) 818-661-3731</w:t>
            </w:r>
          </w:p>
        </w:tc>
        <w:tc>
          <w:tcPr>
            <w:tcW w:w="222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12"/>
        </w:trPr>
        <w:tc>
          <w:tcPr>
            <w:tcW w:w="5580" w:type="dxa"/>
            <w:vAlign w:val="bottom"/>
            <w:gridSpan w:val="2"/>
          </w:tcPr>
          <w:p>
            <w:pPr>
              <w:ind w:left="20"/>
              <w:spacing w:after="0" w:line="212" w:lineRule="exact"/>
              <w:rPr>
                <w:sz w:val="20"/>
                <w:szCs w:val="20"/>
                <w:color w:val="auto"/>
              </w:rPr>
            </w:pPr>
            <w:r>
              <w:rPr>
                <w:rFonts w:ascii="Arial" w:cs="Arial" w:eastAsia="Arial" w:hAnsi="Arial"/>
                <w:sz w:val="21"/>
                <w:szCs w:val="21"/>
                <w:color w:val="auto"/>
              </w:rPr>
              <w:t>Joanna.Park@crc.com</w:t>
            </w:r>
          </w:p>
        </w:tc>
        <w:tc>
          <w:tcPr>
            <w:tcW w:w="2220" w:type="dxa"/>
            <w:vAlign w:val="bottom"/>
          </w:tcPr>
          <w:p>
            <w:pPr>
              <w:spacing w:after="0" w:line="212" w:lineRule="exact"/>
              <w:rPr>
                <w:sz w:val="20"/>
                <w:szCs w:val="20"/>
                <w:color w:val="auto"/>
              </w:rPr>
            </w:pPr>
            <w:r>
              <w:rPr>
                <w:rFonts w:ascii="Arial" w:cs="Arial" w:eastAsia="Arial" w:hAnsi="Arial"/>
                <w:sz w:val="21"/>
                <w:szCs w:val="21"/>
                <w:color w:val="auto"/>
              </w:rPr>
              <w:t>818-661-6014</w:t>
            </w:r>
          </w:p>
        </w:tc>
      </w:tr>
      <w:tr>
        <w:trPr>
          <w:trHeight w:val="225"/>
        </w:trPr>
        <w:tc>
          <w:tcPr>
            <w:tcW w:w="9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20" w:type="dxa"/>
            <w:vAlign w:val="bottom"/>
            <w:tcBorders>
              <w:bottom w:val="single" w:sz="8" w:color="421BFF"/>
            </w:tcBorders>
          </w:tcPr>
          <w:p>
            <w:pPr>
              <w:spacing w:after="0" w:line="225" w:lineRule="exact"/>
              <w:rPr>
                <w:sz w:val="20"/>
                <w:szCs w:val="20"/>
                <w:color w:val="auto"/>
              </w:rPr>
            </w:pPr>
            <w:r>
              <w:rPr>
                <w:rFonts w:ascii="Arial" w:cs="Arial" w:eastAsia="Arial" w:hAnsi="Arial"/>
                <w:sz w:val="21"/>
                <w:szCs w:val="21"/>
                <w:color w:val="421BFF"/>
                <w:w w:val="99"/>
              </w:rPr>
              <w:t>Richard.Venn@crc.com</w:t>
            </w:r>
          </w:p>
        </w:tc>
      </w:tr>
    </w:tbl>
    <w:p>
      <w:pPr>
        <w:spacing w:after="0" w:line="200" w:lineRule="exact"/>
        <w:rPr>
          <w:sz w:val="20"/>
          <w:szCs w:val="20"/>
          <w:color w:val="auto"/>
        </w:rPr>
      </w:pP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w:t>
      </w:r>
    </w:p>
    <w:p>
      <w:pPr>
        <w:sectPr>
          <w:pgSz w:w="11900" w:h="16838" w:orient="portrait"/>
          <w:cols w:equalWidth="0" w:num="1">
            <w:col w:w="11240"/>
          </w:cols>
          <w:pgMar w:left="320" w:top="882"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5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05"/>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24"/>
                <w:szCs w:val="24"/>
                <w:color w:val="auto"/>
              </w:rPr>
            </w:pPr>
          </w:p>
        </w:tc>
        <w:tc>
          <w:tcPr>
            <w:tcW w:w="1040" w:type="dxa"/>
            <w:vAlign w:val="bottom"/>
          </w:tcPr>
          <w:p>
            <w:pPr>
              <w:jc w:val="right"/>
              <w:ind w:right="149"/>
              <w:spacing w:after="0"/>
              <w:rPr>
                <w:sz w:val="20"/>
                <w:szCs w:val="20"/>
                <w:color w:val="auto"/>
              </w:rPr>
            </w:pPr>
            <w:r>
              <w:rPr>
                <w:rFonts w:ascii="Arial" w:cs="Arial" w:eastAsia="Arial" w:hAnsi="Arial"/>
                <w:sz w:val="14"/>
                <w:szCs w:val="14"/>
                <w:b w:val="1"/>
                <w:bCs w:val="1"/>
                <w:color w:val="auto"/>
              </w:rPr>
              <w:t>1st Quarter</w:t>
            </w:r>
          </w:p>
        </w:tc>
      </w:tr>
      <w:tr>
        <w:trPr>
          <w:trHeight w:val="199"/>
        </w:trPr>
        <w:tc>
          <w:tcPr>
            <w:tcW w:w="2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r>
      <w:tr>
        <w:trPr>
          <w:trHeight w:val="285"/>
        </w:trPr>
        <w:tc>
          <w:tcPr>
            <w:tcW w:w="2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628</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432</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loss from commodity derivatives</w:t>
            </w:r>
          </w:p>
        </w:tc>
        <w:tc>
          <w:tcPr>
            <w:tcW w:w="1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(562)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(213)</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Sales of purchased natural gas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98</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r>
      <w:tr>
        <w:trPr>
          <w:trHeight w:val="192"/>
        </w:trPr>
        <w:tc>
          <w:tcPr>
            <w:tcW w:w="20" w:type="dxa"/>
            <w:vAlign w:val="bottom"/>
          </w:tcPr>
          <w:p>
            <w:pPr>
              <w:spacing w:after="0"/>
              <w:rPr>
                <w:sz w:val="16"/>
                <w:szCs w:val="16"/>
                <w:color w:val="auto"/>
              </w:rPr>
            </w:pPr>
          </w:p>
        </w:tc>
        <w:tc>
          <w:tcPr>
            <w:tcW w:w="720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634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w:t>
            </w:r>
          </w:p>
        </w:tc>
      </w:tr>
      <w:tr>
        <w:trPr>
          <w:trHeight w:val="285"/>
        </w:trPr>
        <w:tc>
          <w:tcPr>
            <w:tcW w:w="2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164</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Asset impairments</w:t>
            </w:r>
          </w:p>
        </w:tc>
        <w:tc>
          <w:tcPr>
            <w:tcW w:w="1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Purchased natural gas expense</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199"/>
        </w:trPr>
        <w:tc>
          <w:tcPr>
            <w:tcW w:w="20" w:type="dxa"/>
            <w:vAlign w:val="bottom"/>
          </w:tcPr>
          <w:p>
            <w:pPr>
              <w:spacing w:after="0"/>
              <w:rPr>
                <w:sz w:val="17"/>
                <w:szCs w:val="17"/>
                <w:color w:val="auto"/>
              </w:rPr>
            </w:pPr>
          </w:p>
        </w:tc>
        <w:tc>
          <w:tcPr>
            <w:tcW w:w="7200" w:type="dxa"/>
            <w:vAlign w:val="bottom"/>
            <w:gridSpan w:val="2"/>
          </w:tcPr>
          <w:p>
            <w:pPr>
              <w:ind w:left="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r>
      <w:tr>
        <w:trPr>
          <w:trHeight w:val="192"/>
        </w:trPr>
        <w:tc>
          <w:tcPr>
            <w:tcW w:w="20" w:type="dxa"/>
            <w:vAlign w:val="bottom"/>
          </w:tcPr>
          <w:p>
            <w:pPr>
              <w:spacing w:after="0"/>
              <w:rPr>
                <w:sz w:val="16"/>
                <w:szCs w:val="16"/>
                <w:color w:val="auto"/>
              </w:rPr>
            </w:pPr>
          </w:p>
        </w:tc>
        <w:tc>
          <w:tcPr>
            <w:tcW w:w="720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396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w:t>
            </w:r>
          </w:p>
        </w:tc>
      </w:tr>
      <w:tr>
        <w:trPr>
          <w:trHeight w:val="192"/>
        </w:trPr>
        <w:tc>
          <w:tcPr>
            <w:tcW w:w="20" w:type="dxa"/>
            <w:vAlign w:val="bottom"/>
          </w:tcPr>
          <w:p>
            <w:pPr>
              <w:spacing w:after="0"/>
              <w:rPr>
                <w:sz w:val="16"/>
                <w:szCs w:val="16"/>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2"/>
        </w:trPr>
        <w:tc>
          <w:tcPr>
            <w:tcW w:w="20" w:type="dxa"/>
            <w:vAlign w:val="bottom"/>
          </w:tcPr>
          <w:p>
            <w:pPr>
              <w:spacing w:after="0"/>
              <w:rPr>
                <w:sz w:val="16"/>
                <w:szCs w:val="16"/>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Operating (Loss) Income</w:t>
            </w:r>
          </w:p>
        </w:tc>
        <w:tc>
          <w:tcPr>
            <w:tcW w:w="18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345"/>
        </w:trPr>
        <w:tc>
          <w:tcPr>
            <w:tcW w:w="2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loss on early extinguishment of debt</w:t>
            </w:r>
          </w:p>
        </w:tc>
        <w:tc>
          <w:tcPr>
            <w:tcW w:w="1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Other non-operating expenses, 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324"/>
        </w:trPr>
        <w:tc>
          <w:tcPr>
            <w:tcW w:w="2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Net (Loss) Income Before Income Taxes</w:t>
            </w:r>
          </w:p>
        </w:tc>
        <w:tc>
          <w:tcPr>
            <w:tcW w:w="180" w:type="dxa"/>
            <w:vAlign w:val="bottom"/>
          </w:tcPr>
          <w:p>
            <w:pPr>
              <w:spacing w:after="0"/>
              <w:rPr>
                <w:sz w:val="24"/>
                <w:szCs w:val="24"/>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(201)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396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2"/>
        </w:trPr>
        <w:tc>
          <w:tcPr>
            <w:tcW w:w="20" w:type="dxa"/>
            <w:vAlign w:val="bottom"/>
          </w:tcPr>
          <w:p>
            <w:pPr>
              <w:spacing w:after="0"/>
              <w:rPr>
                <w:sz w:val="16"/>
                <w:szCs w:val="16"/>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Net (loss) income</w:t>
            </w:r>
          </w:p>
        </w:tc>
        <w:tc>
          <w:tcPr>
            <w:tcW w:w="18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income attributable to noncontrolling interests</w:t>
            </w:r>
          </w:p>
        </w:tc>
        <w:tc>
          <w:tcPr>
            <w:tcW w:w="1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3"/>
        </w:trPr>
        <w:tc>
          <w:tcPr>
            <w:tcW w:w="20" w:type="dxa"/>
            <w:vAlign w:val="bottom"/>
          </w:tcPr>
          <w:p>
            <w:pPr>
              <w:spacing w:after="0"/>
              <w:rPr>
                <w:sz w:val="16"/>
                <w:szCs w:val="16"/>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714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23"/>
                <w:szCs w:val="23"/>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8.91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(1.13)</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(1.13)</w:t>
            </w:r>
          </w:p>
        </w:tc>
      </w:tr>
      <w:tr>
        <w:trPr>
          <w:trHeight w:val="398"/>
        </w:trPr>
        <w:tc>
          <w:tcPr>
            <w:tcW w:w="2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Adjusted net income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102</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Adjusted net income (loss)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2.18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1.22</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Adjusted net income (loss)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1.22</w:t>
            </w:r>
          </w:p>
        </w:tc>
      </w:tr>
      <w:tr>
        <w:trPr>
          <w:trHeight w:val="291"/>
        </w:trPr>
        <w:tc>
          <w:tcPr>
            <w:tcW w:w="2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Pr>
          <w:p>
            <w:pPr>
              <w:spacing w:after="0"/>
              <w:rPr>
                <w:sz w:val="24"/>
                <w:szCs w:val="24"/>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83.3</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83.3</w:t>
            </w:r>
          </w:p>
        </w:tc>
      </w:tr>
      <w:tr>
        <w:trPr>
          <w:trHeight w:val="252"/>
        </w:trPr>
        <w:tc>
          <w:tcPr>
            <w:tcW w:w="20" w:type="dxa"/>
            <w:vAlign w:val="bottom"/>
          </w:tcPr>
          <w:p>
            <w:pPr>
              <w:spacing w:after="0"/>
              <w:rPr>
                <w:sz w:val="21"/>
                <w:szCs w:val="21"/>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21"/>
                <w:szCs w:val="21"/>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189</w:t>
            </w: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9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1st Quarter</w:t>
            </w:r>
          </w:p>
        </w:tc>
      </w:tr>
      <w:tr>
        <w:trPr>
          <w:trHeight w:val="199"/>
        </w:trPr>
        <w:tc>
          <w:tcPr>
            <w:tcW w:w="2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in millions)</w:t>
            </w:r>
          </w:p>
        </w:tc>
        <w:tc>
          <w:tcPr>
            <w:tcW w:w="2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2021</w:t>
            </w:r>
          </w:p>
        </w:tc>
      </w:tr>
      <w:tr>
        <w:trPr>
          <w:trHeight w:val="153"/>
        </w:trPr>
        <w:tc>
          <w:tcPr>
            <w:tcW w:w="20" w:type="dxa"/>
            <w:vAlign w:val="bottom"/>
          </w:tcPr>
          <w:p>
            <w:pPr>
              <w:spacing w:after="0"/>
              <w:rPr>
                <w:sz w:val="13"/>
                <w:szCs w:val="13"/>
                <w:color w:val="auto"/>
              </w:rPr>
            </w:pPr>
          </w:p>
        </w:tc>
        <w:tc>
          <w:tcPr>
            <w:tcW w:w="49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Cash Flow Data:</w:t>
            </w:r>
          </w:p>
        </w:tc>
        <w:tc>
          <w:tcPr>
            <w:tcW w:w="2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204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147</w:t>
            </w:r>
          </w:p>
        </w:tc>
      </w:tr>
      <w:tr>
        <w:trPr>
          <w:trHeight w:val="199"/>
        </w:trPr>
        <w:tc>
          <w:tcPr>
            <w:tcW w:w="2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Net cash used in investing activities</w:t>
            </w: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199"/>
        </w:trPr>
        <w:tc>
          <w:tcPr>
            <w:tcW w:w="2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Net cash used by financing activities</w:t>
            </w: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68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24"/>
                <w:szCs w:val="24"/>
                <w:color w:val="auto"/>
              </w:rPr>
            </w:pPr>
          </w:p>
        </w:tc>
        <w:tc>
          <w:tcPr>
            <w:tcW w:w="1080" w:type="dxa"/>
            <w:vAlign w:val="bottom"/>
          </w:tcPr>
          <w:p>
            <w:pPr>
              <w:jc w:val="center"/>
              <w:ind w:right="69"/>
              <w:spacing w:after="0"/>
              <w:rPr>
                <w:sz w:val="20"/>
                <w:szCs w:val="20"/>
                <w:color w:val="auto"/>
              </w:rPr>
            </w:pPr>
            <w:r>
              <w:rPr>
                <w:rFonts w:ascii="Arial" w:cs="Arial" w:eastAsia="Arial" w:hAnsi="Arial"/>
                <w:sz w:val="14"/>
                <w:szCs w:val="14"/>
                <w:color w:val="auto"/>
              </w:rPr>
              <w:t>December 31,</w:t>
            </w:r>
          </w:p>
        </w:tc>
      </w:tr>
      <w:tr>
        <w:trPr>
          <w:trHeight w:val="199"/>
        </w:trPr>
        <w:tc>
          <w:tcPr>
            <w:tcW w:w="2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w:t>
            </w:r>
          </w:p>
        </w:tc>
        <w:tc>
          <w:tcPr>
            <w:tcW w:w="2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6"/>
              </w:rPr>
              <w:t>2021</w:t>
            </w:r>
          </w:p>
        </w:tc>
      </w:tr>
      <w:tr>
        <w:trPr>
          <w:trHeight w:val="245"/>
        </w:trPr>
        <w:tc>
          <w:tcPr>
            <w:tcW w:w="20" w:type="dxa"/>
            <w:vAlign w:val="bottom"/>
          </w:tcPr>
          <w:p>
            <w:pPr>
              <w:spacing w:after="0"/>
              <w:rPr>
                <w:sz w:val="21"/>
                <w:szCs w:val="21"/>
                <w:color w:val="auto"/>
              </w:rPr>
            </w:pPr>
          </w:p>
        </w:tc>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Selected Balance Sheet Data:</w:t>
            </w:r>
          </w:p>
        </w:tc>
        <w:tc>
          <w:tcPr>
            <w:tcW w:w="2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Total current assets</w:t>
            </w:r>
          </w:p>
        </w:tc>
        <w:tc>
          <w:tcPr>
            <w:tcW w:w="2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834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753</w:t>
            </w:r>
          </w:p>
        </w:tc>
      </w:tr>
      <w:tr>
        <w:trPr>
          <w:trHeight w:val="199"/>
        </w:trPr>
        <w:tc>
          <w:tcPr>
            <w:tcW w:w="2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Property, plant and equipment, net</w:t>
            </w:r>
          </w:p>
        </w:tc>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2,643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2,599</w:t>
            </w:r>
          </w:p>
        </w:tc>
      </w:tr>
      <w:tr>
        <w:trPr>
          <w:trHeight w:val="199"/>
        </w:trPr>
        <w:tc>
          <w:tcPr>
            <w:tcW w:w="2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Deferred tax asset</w:t>
            </w:r>
          </w:p>
        </w:tc>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429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396</w:t>
            </w:r>
          </w:p>
        </w:tc>
      </w:tr>
      <w:tr>
        <w:trPr>
          <w:trHeight w:val="199"/>
        </w:trPr>
        <w:tc>
          <w:tcPr>
            <w:tcW w:w="2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1,205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854</w:t>
            </w:r>
          </w:p>
        </w:tc>
      </w:tr>
      <w:tr>
        <w:trPr>
          <w:trHeight w:val="199"/>
        </w:trPr>
        <w:tc>
          <w:tcPr>
            <w:tcW w:w="2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590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589</w:t>
            </w:r>
          </w:p>
        </w:tc>
      </w:tr>
      <w:tr>
        <w:trPr>
          <w:trHeight w:val="199"/>
        </w:trPr>
        <w:tc>
          <w:tcPr>
            <w:tcW w:w="2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Noncurrent asset retirement obligations</w:t>
            </w:r>
          </w:p>
        </w:tc>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426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438</w:t>
            </w:r>
          </w:p>
        </w:tc>
      </w:tr>
      <w:tr>
        <w:trPr>
          <w:trHeight w:val="199"/>
        </w:trPr>
        <w:tc>
          <w:tcPr>
            <w:tcW w:w="2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1,433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1,688</w:t>
            </w:r>
          </w:p>
        </w:tc>
      </w:tr>
      <w:tr>
        <w:trPr>
          <w:trHeight w:val="305"/>
        </w:trPr>
        <w:tc>
          <w:tcPr>
            <w:tcW w:w="2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4"/>
                <w:szCs w:val="14"/>
                <w:color w:val="auto"/>
              </w:rPr>
              <w:t>Outstanding shares</w:t>
            </w:r>
          </w:p>
        </w:tc>
        <w:tc>
          <w:tcPr>
            <w:tcW w:w="2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109"/>
              <w:spacing w:after="0"/>
              <w:rPr>
                <w:sz w:val="20"/>
                <w:szCs w:val="20"/>
                <w:color w:val="auto"/>
              </w:rPr>
            </w:pPr>
            <w:r>
              <w:rPr>
                <w:rFonts w:ascii="Arial" w:cs="Arial" w:eastAsia="Arial" w:hAnsi="Arial"/>
                <w:sz w:val="14"/>
                <w:szCs w:val="14"/>
                <w:b w:val="1"/>
                <w:bCs w:val="1"/>
                <w:color w:val="auto"/>
              </w:rPr>
              <w:t>77.6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19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1"/>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2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1st Quarter</w:t>
            </w:r>
          </w:p>
        </w:tc>
        <w:tc>
          <w:tcPr>
            <w:tcW w:w="16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21"/>
                <w:szCs w:val="21"/>
                <w:color w:val="auto"/>
              </w:rPr>
            </w:pPr>
          </w:p>
        </w:tc>
        <w:tc>
          <w:tcPr>
            <w:tcW w:w="106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1st Quarter</w:t>
            </w:r>
          </w:p>
        </w:tc>
        <w:tc>
          <w:tcPr>
            <w:tcW w:w="0" w:type="dxa"/>
            <w:vAlign w:val="bottom"/>
          </w:tcPr>
          <w:p>
            <w:pPr>
              <w:spacing w:after="0"/>
              <w:rPr>
                <w:sz w:val="1"/>
                <w:szCs w:val="1"/>
                <w:color w:val="auto"/>
              </w:rPr>
            </w:pPr>
          </w:p>
        </w:tc>
      </w:tr>
      <w:tr>
        <w:trPr>
          <w:trHeight w:val="19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71"/>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gain</w:t>
            </w:r>
          </w:p>
        </w:tc>
        <w:tc>
          <w:tcPr>
            <w:tcW w:w="23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(381)</w:t>
            </w:r>
          </w:p>
        </w:tc>
        <w:tc>
          <w:tcPr>
            <w:tcW w:w="100" w:type="dxa"/>
            <w:vAlign w:val="bottom"/>
          </w:tcPr>
          <w:p>
            <w:pPr>
              <w:spacing w:after="0"/>
              <w:rPr>
                <w:sz w:val="23"/>
                <w:szCs w:val="23"/>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199"/>
        </w:trPr>
        <w:tc>
          <w:tcPr>
            <w:tcW w:w="5100" w:type="dxa"/>
            <w:vAlign w:val="bottom"/>
          </w:tcPr>
          <w:p>
            <w:pPr>
              <w:ind w:left="140"/>
              <w:spacing w:after="0"/>
              <w:rPr>
                <w:sz w:val="20"/>
                <w:szCs w:val="20"/>
                <w:color w:val="auto"/>
              </w:rPr>
            </w:pPr>
            <w:r>
              <w:rPr>
                <w:rFonts w:ascii="Arial" w:cs="Arial" w:eastAsia="Arial" w:hAnsi="Arial"/>
                <w:sz w:val="14"/>
                <w:szCs w:val="14"/>
                <w:color w:val="auto"/>
              </w:rPr>
              <w:t>Net payments on settled commodity derivatives</w:t>
            </w:r>
          </w:p>
        </w:tc>
        <w:tc>
          <w:tcPr>
            <w:tcW w:w="2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93"/>
        </w:trPr>
        <w:tc>
          <w:tcPr>
            <w:tcW w:w="5100" w:type="dxa"/>
            <w:vAlign w:val="bottom"/>
          </w:tcPr>
          <w:p>
            <w:pPr>
              <w:ind w:left="260"/>
              <w:spacing w:after="0"/>
              <w:rPr>
                <w:sz w:val="20"/>
                <w:szCs w:val="20"/>
                <w:color w:val="auto"/>
              </w:rPr>
            </w:pPr>
            <w:r>
              <w:rPr>
                <w:rFonts w:ascii="Arial" w:cs="Arial" w:eastAsia="Arial" w:hAnsi="Arial"/>
                <w:sz w:val="14"/>
                <w:szCs w:val="14"/>
                <w:color w:val="auto"/>
              </w:rPr>
              <w:t>Net loss from commodity derivatives</w:t>
            </w:r>
          </w:p>
        </w:tc>
        <w:tc>
          <w:tcPr>
            <w:tcW w:w="23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1st Quarter</w:t>
            </w:r>
          </w:p>
        </w:tc>
        <w:tc>
          <w:tcPr>
            <w:tcW w:w="2300" w:type="dxa"/>
            <w:vAlign w:val="bottom"/>
          </w:tcPr>
          <w:p>
            <w:pPr>
              <w:ind w:left="1240"/>
              <w:spacing w:after="0"/>
              <w:rPr>
                <w:sz w:val="20"/>
                <w:szCs w:val="20"/>
                <w:color w:val="auto"/>
              </w:rPr>
            </w:pPr>
            <w:r>
              <w:rPr>
                <w:rFonts w:ascii="Arial" w:cs="Arial" w:eastAsia="Arial" w:hAnsi="Arial"/>
                <w:sz w:val="14"/>
                <w:szCs w:val="14"/>
                <w:b w:val="1"/>
                <w:bCs w:val="1"/>
                <w:color w:val="auto"/>
              </w:rPr>
              <w:t>4th</w:t>
            </w:r>
          </w:p>
        </w:tc>
        <w:tc>
          <w:tcPr>
            <w:tcW w:w="120" w:type="dxa"/>
            <w:vAlign w:val="bottom"/>
          </w:tcPr>
          <w:p>
            <w:pPr>
              <w:spacing w:after="0"/>
              <w:rPr>
                <w:sz w:val="24"/>
                <w:szCs w:val="24"/>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4th</w:t>
            </w:r>
          </w:p>
        </w:tc>
        <w:tc>
          <w:tcPr>
            <w:tcW w:w="160" w:type="dxa"/>
            <w:vAlign w:val="bottom"/>
          </w:tcPr>
          <w:p>
            <w:pPr>
              <w:spacing w:after="0"/>
              <w:rPr>
                <w:sz w:val="24"/>
                <w:szCs w:val="24"/>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color w:val="auto"/>
              </w:rPr>
              <w:t>4th Quarter</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100" w:type="dxa"/>
            <w:vAlign w:val="bottom"/>
            <w:vMerge w:val="continue"/>
          </w:tcPr>
          <w:p>
            <w:pPr>
              <w:spacing w:after="0"/>
              <w:rPr>
                <w:sz w:val="17"/>
                <w:szCs w:val="17"/>
                <w:color w:val="auto"/>
              </w:rPr>
            </w:pPr>
          </w:p>
        </w:tc>
        <w:tc>
          <w:tcPr>
            <w:tcW w:w="2300" w:type="dxa"/>
            <w:vAlign w:val="bottom"/>
          </w:tcPr>
          <w:p>
            <w:pPr>
              <w:ind w:left="160"/>
              <w:spacing w:after="0"/>
              <w:rPr>
                <w:sz w:val="20"/>
                <w:szCs w:val="20"/>
                <w:color w:val="auto"/>
              </w:rPr>
            </w:pPr>
            <w:r>
              <w:rPr>
                <w:rFonts w:ascii="Arial" w:cs="Arial" w:eastAsia="Arial" w:hAnsi="Arial"/>
                <w:sz w:val="14"/>
                <w:szCs w:val="14"/>
                <w:color w:val="auto"/>
              </w:rPr>
              <w:t xml:space="preserve">1st Quarter   </w:t>
            </w:r>
            <w:r>
              <w:rPr>
                <w:rFonts w:ascii="Arial" w:cs="Arial" w:eastAsia="Arial" w:hAnsi="Arial"/>
                <w:sz w:val="14"/>
                <w:szCs w:val="14"/>
                <w:b w:val="1"/>
                <w:bCs w:val="1"/>
                <w:color w:val="auto"/>
              </w:rPr>
              <w:t>Quarter</w:t>
            </w:r>
          </w:p>
        </w:tc>
        <w:tc>
          <w:tcPr>
            <w:tcW w:w="120" w:type="dxa"/>
            <w:vAlign w:val="bottom"/>
          </w:tcPr>
          <w:p>
            <w:pPr>
              <w:spacing w:after="0"/>
              <w:rPr>
                <w:sz w:val="17"/>
                <w:szCs w:val="17"/>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510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1st Quarter</w:t>
            </w:r>
          </w:p>
        </w:tc>
        <w:tc>
          <w:tcPr>
            <w:tcW w:w="16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21"/>
                <w:szCs w:val="21"/>
                <w:color w:val="auto"/>
              </w:rPr>
            </w:pPr>
          </w:p>
        </w:tc>
        <w:tc>
          <w:tcPr>
            <w:tcW w:w="106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1st Quarter</w:t>
            </w:r>
          </w:p>
        </w:tc>
        <w:tc>
          <w:tcPr>
            <w:tcW w:w="0" w:type="dxa"/>
            <w:vAlign w:val="bottom"/>
          </w:tcPr>
          <w:p>
            <w:pPr>
              <w:spacing w:after="0"/>
              <w:rPr>
                <w:sz w:val="1"/>
                <w:szCs w:val="1"/>
                <w:color w:val="auto"/>
              </w:rPr>
            </w:pPr>
          </w:p>
        </w:tc>
      </w:tr>
      <w:tr>
        <w:trPr>
          <w:trHeight w:val="19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71"/>
        </w:trPr>
        <w:tc>
          <w:tcPr>
            <w:tcW w:w="5100" w:type="dxa"/>
            <w:vAlign w:val="bottom"/>
          </w:tcPr>
          <w:p>
            <w:pPr>
              <w:ind w:left="140"/>
              <w:spacing w:after="0"/>
              <w:rPr>
                <w:sz w:val="20"/>
                <w:szCs w:val="20"/>
                <w:color w:val="auto"/>
              </w:rPr>
            </w:pPr>
            <w:r>
              <w:rPr>
                <w:rFonts w:ascii="Arial" w:cs="Arial" w:eastAsia="Arial" w:hAnsi="Arial"/>
                <w:sz w:val="14"/>
                <w:szCs w:val="14"/>
                <w:color w:val="auto"/>
              </w:rPr>
              <w:t>Facilities</w:t>
            </w:r>
          </w:p>
        </w:tc>
        <w:tc>
          <w:tcPr>
            <w:tcW w:w="23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23"/>
                <w:szCs w:val="23"/>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9"/>
        </w:trPr>
        <w:tc>
          <w:tcPr>
            <w:tcW w:w="5100" w:type="dxa"/>
            <w:vAlign w:val="bottom"/>
          </w:tcPr>
          <w:p>
            <w:pPr>
              <w:ind w:left="140"/>
              <w:spacing w:after="0"/>
              <w:rPr>
                <w:sz w:val="20"/>
                <w:szCs w:val="20"/>
                <w:color w:val="auto"/>
              </w:rPr>
            </w:pPr>
            <w:r>
              <w:rPr>
                <w:rFonts w:ascii="Arial" w:cs="Arial" w:eastAsia="Arial" w:hAnsi="Arial"/>
                <w:sz w:val="14"/>
                <w:szCs w:val="14"/>
                <w:color w:val="auto"/>
              </w:rPr>
              <w:t>Drilling</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9"/>
        </w:trPr>
        <w:tc>
          <w:tcPr>
            <w:tcW w:w="510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2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4"/>
        </w:trPr>
        <w:tc>
          <w:tcPr>
            <w:tcW w:w="510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5100" w:type="dxa"/>
            <w:vAlign w:val="bottom"/>
          </w:tcPr>
          <w:p>
            <w:pPr>
              <w:ind w:left="140"/>
              <w:spacing w:after="0"/>
              <w:rPr>
                <w:sz w:val="20"/>
                <w:szCs w:val="20"/>
                <w:color w:val="auto"/>
              </w:rPr>
            </w:pPr>
            <w:r>
              <w:rPr>
                <w:rFonts w:ascii="Arial" w:cs="Arial" w:eastAsia="Arial" w:hAnsi="Arial"/>
                <w:sz w:val="14"/>
                <w:szCs w:val="14"/>
                <w:color w:val="auto"/>
              </w:rPr>
              <w:t>CMB</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100" w:type="dxa"/>
            <w:vAlign w:val="bottom"/>
          </w:tcPr>
          <w:p>
            <w:pPr>
              <w:ind w:left="140"/>
              <w:spacing w:after="0"/>
              <w:rPr>
                <w:sz w:val="20"/>
                <w:szCs w:val="20"/>
                <w:color w:val="auto"/>
              </w:rPr>
            </w:pPr>
            <w:r>
              <w:rPr>
                <w:rFonts w:ascii="Arial" w:cs="Arial" w:eastAsia="Arial" w:hAnsi="Arial"/>
                <w:sz w:val="14"/>
                <w:szCs w:val="14"/>
                <w:color w:val="auto"/>
              </w:rPr>
              <w:t>Other</w:t>
            </w:r>
          </w:p>
        </w:tc>
        <w:tc>
          <w:tcPr>
            <w:tcW w:w="2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10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23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829310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325" w:right="339" w:bottom="1440" w:gutter="0" w:footer="0" w:header="0"/>
        </w:sectPr>
      </w:pPr>
    </w:p>
    <w:bookmarkStart w:id="17" w:name="page18"/>
    <w:bookmarkEnd w:id="17"/>
    <w:p>
      <w:pPr>
        <w:ind w:left="10340"/>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46990</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ind w:left="20" w:right="500"/>
        <w:spacing w:after="0" w:line="207" w:lineRule="auto"/>
        <w:rPr>
          <w:sz w:val="20"/>
          <w:szCs w:val="20"/>
          <w:color w:val="auto"/>
        </w:rPr>
      </w:pPr>
      <w:r>
        <w:rPr>
          <w:rFonts w:ascii="Arial" w:cs="Arial" w:eastAsia="Arial" w:hAnsi="Arial"/>
          <w:sz w:val="14"/>
          <w:szCs w:val="14"/>
          <w:color w:val="auto"/>
        </w:rPr>
        <w:t>measures to assess its financial condition, results of operations and cash flows. The non-GAAP measures include adjusted net income (loss), adjusted EBITDAX, adjusted EBITDAX margin, discretionary cash flow, free cash flow and operating costs per BOE, among others. These measures are also widely used by the industry, the investment</w:t>
      </w:r>
    </w:p>
    <w:p>
      <w:pPr>
        <w:ind w:left="20"/>
        <w:spacing w:after="0" w:line="218" w:lineRule="auto"/>
        <w:rPr>
          <w:sz w:val="20"/>
          <w:szCs w:val="20"/>
          <w:color w:val="auto"/>
        </w:rPr>
      </w:pPr>
      <w:r>
        <w:rPr>
          <w:rFonts w:ascii="Arial" w:cs="Arial" w:eastAsia="Arial" w:hAnsi="Arial"/>
          <w:sz w:val="14"/>
          <w:szCs w:val="14"/>
          <w:color w:val="auto"/>
        </w:rPr>
        <w:t>community and our lenders. Although these are non-GAAP measures, the amounts included in the calculations were computed in accordance with GAAP. Certain items excluded</w:t>
      </w:r>
    </w:p>
    <w:p>
      <w:pPr>
        <w:ind w:left="20" w:right="60"/>
        <w:spacing w:after="0" w:line="207" w:lineRule="auto"/>
        <w:rPr>
          <w:sz w:val="20"/>
          <w:szCs w:val="20"/>
          <w:color w:val="auto"/>
        </w:rPr>
      </w:pPr>
      <w:r>
        <w:rPr>
          <w:rFonts w:ascii="Arial" w:cs="Arial" w:eastAsia="Arial" w:hAnsi="Arial"/>
          <w:sz w:val="14"/>
          <w:szCs w:val="14"/>
          <w:color w:val="auto"/>
        </w:rPr>
        <w:t>from these non-GAAP measures are significant components in understanding and assessing our financial performance, such as our cost of capital and tax structure, as well as the effect of acquisition and development costs of our assets. Management believes that the non-GAAP measures presented, when viewed in combination with its financial and</w:t>
      </w:r>
    </w:p>
    <w:p>
      <w:pPr>
        <w:ind w:left="20"/>
        <w:spacing w:after="0" w:line="218" w:lineRule="auto"/>
        <w:rPr>
          <w:sz w:val="20"/>
          <w:szCs w:val="20"/>
          <w:color w:val="auto"/>
        </w:rPr>
      </w:pPr>
      <w:r>
        <w:rPr>
          <w:rFonts w:ascii="Arial" w:cs="Arial" w:eastAsia="Arial" w:hAnsi="Arial"/>
          <w:sz w:val="14"/>
          <w:szCs w:val="14"/>
          <w:color w:val="auto"/>
        </w:rPr>
        <w:t>operating results prepared in accordance with GAAP, provide a more complete understanding of the factors and trends affecting the Company's performance. The non-GAAP</w:t>
      </w:r>
    </w:p>
    <w:p>
      <w:pPr>
        <w:ind w:left="20" w:right="500"/>
        <w:spacing w:after="0" w:line="226" w:lineRule="auto"/>
        <w:rPr>
          <w:sz w:val="20"/>
          <w:szCs w:val="20"/>
          <w:color w:val="auto"/>
        </w:rPr>
      </w:pPr>
      <w:r>
        <w:rPr>
          <w:rFonts w:ascii="Arial" w:cs="Arial" w:eastAsia="Arial" w:hAnsi="Arial"/>
          <w:sz w:val="14"/>
          <w:szCs w:val="14"/>
          <w:color w:val="auto"/>
        </w:rPr>
        <w:t>measures presented herein may not be comparable to other similarly titled measures of other companies. 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553085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578485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1" w:lineRule="exact"/>
        <w:rPr>
          <w:sz w:val="20"/>
          <w:szCs w:val="20"/>
          <w:color w:val="auto"/>
        </w:rPr>
      </w:pPr>
    </w:p>
    <w:p>
      <w:pPr>
        <w:jc w:val="both"/>
        <w:ind w:left="20" w:right="240"/>
        <w:spacing w:after="0" w:line="217" w:lineRule="auto"/>
        <w:rPr>
          <w:sz w:val="20"/>
          <w:szCs w:val="20"/>
          <w:color w:val="auto"/>
        </w:rPr>
      </w:pPr>
      <w:r>
        <w:rPr>
          <w:rFonts w:ascii="Arial" w:cs="Arial" w:eastAsia="Arial" w:hAnsi="Arial"/>
          <w:sz w:val="14"/>
          <w:szCs w:val="14"/>
          <w:color w:val="auto"/>
        </w:rPr>
        <w:t>Adjusted net income (loss) and adjusted net income (loss) per share are non-GAAP measures. We define adjusted net income as net income excluding the effects of significant transactions and events that affect earnings but vary widely and unpredictably in nature, timing and amount. These events may recur, even across successive reporting periods.</w:t>
      </w:r>
    </w:p>
    <w:p>
      <w:pPr>
        <w:ind w:left="20"/>
        <w:spacing w:after="0" w:line="218" w:lineRule="auto"/>
        <w:rPr>
          <w:sz w:val="20"/>
          <w:szCs w:val="20"/>
          <w:color w:val="auto"/>
        </w:rPr>
      </w:pPr>
      <w:r>
        <w:rPr>
          <w:rFonts w:ascii="Arial" w:cs="Arial" w:eastAsia="Arial" w:hAnsi="Arial"/>
          <w:sz w:val="14"/>
          <w:szCs w:val="14"/>
          <w:color w:val="auto"/>
        </w:rPr>
        <w:t>Management believes these non-GAAP measures provide useful information to the industry and the investment community interested in comparing our financial performance</w:t>
      </w:r>
    </w:p>
    <w:p>
      <w:pPr>
        <w:spacing w:after="0" w:line="1" w:lineRule="exact"/>
        <w:rPr>
          <w:sz w:val="20"/>
          <w:szCs w:val="20"/>
          <w:color w:val="auto"/>
        </w:rPr>
      </w:pPr>
    </w:p>
    <w:p>
      <w:pPr>
        <w:ind w:left="20" w:right="420"/>
        <w:spacing w:after="0" w:line="207" w:lineRule="auto"/>
        <w:rPr>
          <w:sz w:val="20"/>
          <w:szCs w:val="20"/>
          <w:color w:val="auto"/>
        </w:rPr>
      </w:pPr>
      <w:r>
        <w:rPr>
          <w:rFonts w:ascii="Arial" w:cs="Arial" w:eastAsia="Arial" w:hAnsi="Arial"/>
          <w:sz w:val="14"/>
          <w:szCs w:val="14"/>
          <w:color w:val="auto"/>
        </w:rPr>
        <w:t>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attributable to common stock per share to the non-GAAP financial measure of adjusted net income (loss) and adjusted net income (loss)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19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92"/>
        </w:trPr>
        <w:tc>
          <w:tcPr>
            <w:tcW w:w="73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199"/>
        </w:trPr>
        <w:tc>
          <w:tcPr>
            <w:tcW w:w="73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2"/>
        </w:trPr>
        <w:tc>
          <w:tcPr>
            <w:tcW w:w="7360" w:type="dxa"/>
            <w:vAlign w:val="bottom"/>
          </w:tcPr>
          <w:p>
            <w:pPr>
              <w:ind w:left="20"/>
              <w:spacing w:after="0"/>
              <w:rPr>
                <w:sz w:val="20"/>
                <w:szCs w:val="20"/>
                <w:color w:val="auto"/>
              </w:rPr>
            </w:pPr>
            <w:r>
              <w:rPr>
                <w:rFonts w:ascii="Arial" w:cs="Arial" w:eastAsia="Arial" w:hAnsi="Arial"/>
                <w:sz w:val="14"/>
                <w:szCs w:val="14"/>
                <w:color w:val="auto"/>
              </w:rPr>
              <w:t>Net (loss) income attributable to common stock</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r>
      <w:tr>
        <w:trPr>
          <w:trHeight w:val="191"/>
        </w:trPr>
        <w:tc>
          <w:tcPr>
            <w:tcW w:w="736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7"/>
        </w:trPr>
        <w:tc>
          <w:tcPr>
            <w:tcW w:w="7360" w:type="dxa"/>
            <w:vAlign w:val="bottom"/>
          </w:tcPr>
          <w:p>
            <w:pPr>
              <w:ind w:left="140"/>
              <w:spacing w:after="0"/>
              <w:rPr>
                <w:sz w:val="20"/>
                <w:szCs w:val="20"/>
                <w:color w:val="auto"/>
              </w:rPr>
            </w:pPr>
            <w:r>
              <w:rPr>
                <w:rFonts w:ascii="Arial" w:cs="Arial" w:eastAsia="Arial" w:hAnsi="Arial"/>
                <w:sz w:val="14"/>
                <w:szCs w:val="14"/>
                <w:color w:val="auto"/>
              </w:rPr>
              <w:t>Non-cash loss (income) from commodity derivatives</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174</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Asset impairments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Reorganization items, net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Net loss on early extinguishment of debt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Net gain on asset divestitures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Rig termination expenses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2"/>
        </w:trPr>
        <w:tc>
          <w:tcPr>
            <w:tcW w:w="736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196</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Income tax provision of adjustments at effective tax rate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Valuation allowance</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54"/>
        </w:trPr>
        <w:tc>
          <w:tcPr>
            <w:tcW w:w="7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92"/>
        </w:trPr>
        <w:tc>
          <w:tcPr>
            <w:tcW w:w="7360" w:type="dxa"/>
            <w:vAlign w:val="bottom"/>
          </w:tcPr>
          <w:p>
            <w:pPr>
              <w:ind w:left="20"/>
              <w:spacing w:after="0"/>
              <w:rPr>
                <w:sz w:val="20"/>
                <w:szCs w:val="20"/>
                <w:color w:val="auto"/>
              </w:rPr>
            </w:pPr>
            <w:r>
              <w:rPr>
                <w:rFonts w:ascii="Arial" w:cs="Arial" w:eastAsia="Arial" w:hAnsi="Arial"/>
                <w:sz w:val="14"/>
                <w:szCs w:val="14"/>
                <w:color w:val="auto"/>
              </w:rPr>
              <w:t>Adjusted net income attributable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6"/>
        </w:trPr>
        <w:tc>
          <w:tcPr>
            <w:tcW w:w="7360" w:type="dxa"/>
            <w:vAlign w:val="bottom"/>
          </w:tcPr>
          <w:p>
            <w:pPr>
              <w:ind w:left="20"/>
              <w:spacing w:after="0"/>
              <w:rPr>
                <w:sz w:val="20"/>
                <w:szCs w:val="20"/>
                <w:color w:val="auto"/>
              </w:rPr>
            </w:pPr>
            <w:r>
              <w:rPr>
                <w:rFonts w:ascii="Arial" w:cs="Arial" w:eastAsia="Arial" w:hAnsi="Arial"/>
                <w:sz w:val="14"/>
                <w:szCs w:val="14"/>
                <w:color w:val="auto"/>
              </w:rPr>
              <w:t>Net (loss) income attributable to common stock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8.91</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(1.13)</w:t>
            </w:r>
          </w:p>
        </w:tc>
      </w:tr>
      <w:tr>
        <w:trPr>
          <w:trHeight w:val="199"/>
        </w:trPr>
        <w:tc>
          <w:tcPr>
            <w:tcW w:w="7360" w:type="dxa"/>
            <w:vAlign w:val="bottom"/>
          </w:tcPr>
          <w:p>
            <w:pPr>
              <w:ind w:left="20"/>
              <w:spacing w:after="0"/>
              <w:rPr>
                <w:sz w:val="20"/>
                <w:szCs w:val="20"/>
                <w:color w:val="auto"/>
              </w:rPr>
            </w:pPr>
            <w:r>
              <w:rPr>
                <w:rFonts w:ascii="Arial" w:cs="Arial" w:eastAsia="Arial" w:hAnsi="Arial"/>
                <w:sz w:val="14"/>
                <w:szCs w:val="14"/>
                <w:color w:val="auto"/>
              </w:rPr>
              <w:t>Net (loss) income attributable to common stock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8.71</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(1.13)</w:t>
            </w:r>
          </w:p>
        </w:tc>
      </w:tr>
      <w:tr>
        <w:trPr>
          <w:trHeight w:val="199"/>
        </w:trPr>
        <w:tc>
          <w:tcPr>
            <w:tcW w:w="736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1.16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1.22</w:t>
            </w:r>
          </w:p>
        </w:tc>
      </w:tr>
      <w:tr>
        <w:trPr>
          <w:trHeight w:val="199"/>
        </w:trPr>
        <w:tc>
          <w:tcPr>
            <w:tcW w:w="736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1.13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044"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t>FREE CASH FLOW</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w:t>
      </w:r>
    </w:p>
    <w:p>
      <w:pPr>
        <w:ind w:left="20" w:right="60"/>
        <w:spacing w:after="0" w:line="226" w:lineRule="auto"/>
        <w:rPr>
          <w:sz w:val="20"/>
          <w:szCs w:val="20"/>
          <w:color w:val="auto"/>
        </w:rPr>
      </w:pPr>
      <w:r>
        <w:rPr>
          <w:rFonts w:ascii="Arial" w:cs="Arial" w:eastAsia="Arial" w:hAnsi="Arial"/>
          <w:sz w:val="14"/>
          <w:szCs w:val="14"/>
          <w:color w:val="auto"/>
        </w:rPr>
        <w:t>presents a reconciliation of our net cash provided by operating activities to free cash flow. We have excluded one-time costs for bankruptcy related fees during 2021 and 2020 as a supplemental measure of our free cash flow.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19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390"/>
        </w:trPr>
        <w:tc>
          <w:tcPr>
            <w:tcW w:w="73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160</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147</w:t>
            </w:r>
          </w:p>
        </w:tc>
      </w:tr>
      <w:tr>
        <w:trPr>
          <w:trHeight w:val="199"/>
        </w:trPr>
        <w:tc>
          <w:tcPr>
            <w:tcW w:w="7360" w:type="dxa"/>
            <w:vAlign w:val="bottom"/>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r>
      <w:tr>
        <w:trPr>
          <w:trHeight w:val="192"/>
        </w:trPr>
        <w:tc>
          <w:tcPr>
            <w:tcW w:w="736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120</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One-time bankruptcy related fees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3"/>
        </w:trPr>
        <w:tc>
          <w:tcPr>
            <w:tcW w:w="7360" w:type="dxa"/>
            <w:vAlign w:val="bottom"/>
          </w:tcPr>
          <w:p>
            <w:pPr>
              <w:ind w:left="20"/>
              <w:spacing w:after="0"/>
              <w:rPr>
                <w:sz w:val="20"/>
                <w:szCs w:val="20"/>
                <w:color w:val="auto"/>
              </w:rPr>
            </w:pPr>
            <w:r>
              <w:rPr>
                <w:rFonts w:ascii="Arial" w:cs="Arial" w:eastAsia="Arial" w:hAnsi="Arial"/>
                <w:sz w:val="14"/>
                <w:szCs w:val="14"/>
                <w:color w:val="auto"/>
              </w:rPr>
              <w:t>Free cash flow, after special items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w:t>
      </w:r>
    </w:p>
    <w:p>
      <w:pPr>
        <w:spacing w:after="0" w:line="131" w:lineRule="exact"/>
        <w:rPr>
          <w:sz w:val="20"/>
          <w:szCs w:val="20"/>
          <w:color w:val="auto"/>
        </w:rPr>
      </w:pPr>
    </w:p>
    <w:p>
      <w:pPr>
        <w:jc w:val="both"/>
        <w:ind w:left="20" w:right="40"/>
        <w:spacing w:after="0" w:line="217"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w:t>
      </w:r>
    </w:p>
    <w:p>
      <w:pPr>
        <w:ind w:left="20"/>
        <w:spacing w:after="0" w:line="218" w:lineRule="auto"/>
        <w:rPr>
          <w:sz w:val="20"/>
          <w:szCs w:val="20"/>
          <w:color w:val="auto"/>
        </w:rPr>
      </w:pPr>
      <w:r>
        <w:rPr>
          <w:rFonts w:ascii="Arial" w:cs="Arial" w:eastAsia="Arial" w:hAnsi="Arial"/>
          <w:sz w:val="14"/>
          <w:szCs w:val="14"/>
          <w:color w:val="auto"/>
        </w:rPr>
        <w:t>widely used by the industry, the investment community and our lenders. Although this is a non-GAAP measure, the amounts included in the calculation were computed in</w:t>
      </w:r>
    </w:p>
    <w:p>
      <w:pPr>
        <w:spacing w:after="0" w:line="1" w:lineRule="exact"/>
        <w:rPr>
          <w:sz w:val="20"/>
          <w:szCs w:val="20"/>
          <w:color w:val="auto"/>
        </w:rPr>
      </w:pPr>
    </w:p>
    <w:p>
      <w:pPr>
        <w:ind w:left="20" w:right="60"/>
        <w:spacing w:after="0" w:line="207" w:lineRule="auto"/>
        <w:rPr>
          <w:sz w:val="20"/>
          <w:szCs w:val="20"/>
          <w:color w:val="auto"/>
        </w:rPr>
      </w:pPr>
      <w:r>
        <w:rPr>
          <w:rFonts w:ascii="Arial" w:cs="Arial" w:eastAsia="Arial" w:hAnsi="Arial"/>
          <w:sz w:val="14"/>
          <w:szCs w:val="14"/>
          <w:color w:val="auto"/>
        </w:rPr>
        <w:t>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w:t>
      </w:r>
    </w:p>
    <w:p>
      <w:pPr>
        <w:spacing w:after="0" w:line="1" w:lineRule="exact"/>
        <w:rPr>
          <w:sz w:val="20"/>
          <w:szCs w:val="20"/>
          <w:color w:val="auto"/>
        </w:rPr>
      </w:pPr>
    </w:p>
    <w:p>
      <w:pPr>
        <w:ind w:left="20" w:right="160"/>
        <w:spacing w:after="0" w:line="236" w:lineRule="auto"/>
        <w:rPr>
          <w:sz w:val="20"/>
          <w:szCs w:val="20"/>
          <w:color w:val="auto"/>
        </w:rPr>
      </w:pPr>
      <w:r>
        <w:rPr>
          <w:rFonts w:ascii="Arial" w:cs="Arial" w:eastAsia="Arial" w:hAnsi="Arial"/>
          <w:sz w:val="14"/>
          <w:szCs w:val="14"/>
          <w:color w:val="auto"/>
        </w:rPr>
        <w:t>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19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92"/>
        </w:trPr>
        <w:tc>
          <w:tcPr>
            <w:tcW w:w="73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Interest and debt expense, net</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65"/>
        </w:trPr>
        <w:tc>
          <w:tcPr>
            <w:tcW w:w="736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37"/>
        </w:trPr>
        <w:tc>
          <w:tcPr>
            <w:tcW w:w="7360" w:type="dxa"/>
            <w:vAlign w:val="bottom"/>
          </w:tcPr>
          <w:p>
            <w:pPr>
              <w:ind w:left="140"/>
              <w:spacing w:after="0" w:line="237"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2"/>
                <w:szCs w:val="22"/>
                <w:color w:val="auto"/>
                <w:vertAlign w:val="superscript"/>
              </w:rPr>
              <w:t>(a)</w:t>
            </w:r>
          </w:p>
        </w:tc>
        <w:tc>
          <w:tcPr>
            <w:tcW w:w="160" w:type="dxa"/>
            <w:vAlign w:val="bottom"/>
          </w:tcPr>
          <w:p>
            <w:pPr>
              <w:spacing w:after="0"/>
              <w:rPr>
                <w:sz w:val="20"/>
                <w:szCs w:val="20"/>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196</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7"/>
        </w:trPr>
        <w:tc>
          <w:tcPr>
            <w:tcW w:w="7360" w:type="dxa"/>
            <w:vAlign w:val="bottom"/>
          </w:tcPr>
          <w:p>
            <w:pPr>
              <w:ind w:left="26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99"/>
        </w:trPr>
        <w:tc>
          <w:tcPr>
            <w:tcW w:w="73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736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9"/>
        </w:trPr>
        <w:tc>
          <w:tcPr>
            <w:tcW w:w="7360" w:type="dxa"/>
            <w:vAlign w:val="bottom"/>
          </w:tcPr>
          <w:p>
            <w:pPr>
              <w:ind w:left="260"/>
              <w:spacing w:after="0"/>
              <w:rPr>
                <w:sz w:val="20"/>
                <w:szCs w:val="20"/>
                <w:color w:val="auto"/>
              </w:rPr>
            </w:pPr>
            <w:r>
              <w:rPr>
                <w:rFonts w:ascii="Arial" w:cs="Arial" w:eastAsia="Arial" w:hAnsi="Arial"/>
                <w:sz w:val="14"/>
                <w:szCs w:val="14"/>
                <w:color w:val="auto"/>
              </w:rPr>
              <w:t>Other non-cash items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6"/>
        </w:trPr>
        <w:tc>
          <w:tcPr>
            <w:tcW w:w="7360" w:type="dxa"/>
            <w:vAlign w:val="bottom"/>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160</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147</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Cash interest</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Working capital changes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r>
      <w:tr>
        <w:trPr>
          <w:trHeight w:val="193"/>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0"/>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25.89</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29.22</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21.12</w:t>
            </w:r>
          </w:p>
        </w:tc>
      </w:tr>
    </w:tbl>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097"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661035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686435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t>ADJUSTED GENERAL &amp; ADMINISTRATIVE EXPENSES</w:t>
      </w:r>
    </w:p>
    <w:p>
      <w:pPr>
        <w:spacing w:after="0" w:line="131" w:lineRule="exact"/>
        <w:rPr>
          <w:sz w:val="20"/>
          <w:szCs w:val="20"/>
          <w:color w:val="auto"/>
        </w:rPr>
      </w:pPr>
    </w:p>
    <w:p>
      <w:pPr>
        <w:ind w:left="20" w:right="340"/>
        <w:spacing w:after="0" w:line="254"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our costs between periods and performance to our peers.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19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91"/>
        </w:trPr>
        <w:tc>
          <w:tcPr>
            <w:tcW w:w="736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000" w:type="dxa"/>
            <w:vAlign w:val="bottom"/>
          </w:tcPr>
          <w:p>
            <w:pPr>
              <w:jc w:val="right"/>
              <w:ind w:right="82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9"/>
              <w:spacing w:after="0"/>
              <w:rPr>
                <w:sz w:val="20"/>
                <w:szCs w:val="20"/>
                <w:color w:val="auto"/>
              </w:rPr>
            </w:pPr>
            <w:r>
              <w:rPr>
                <w:rFonts w:ascii="Arial" w:cs="Arial" w:eastAsia="Arial" w:hAnsi="Arial"/>
                <w:sz w:val="14"/>
                <w:szCs w:val="14"/>
                <w:b w:val="1"/>
                <w:bCs w:val="1"/>
                <w:color w:val="auto"/>
                <w:w w:val="89"/>
              </w:rPr>
              <w:t>48</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199"/>
        </w:trPr>
        <w:tc>
          <w:tcPr>
            <w:tcW w:w="73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3"/>
        </w:trPr>
        <w:tc>
          <w:tcPr>
            <w:tcW w:w="7360" w:type="dxa"/>
            <w:vAlign w:val="bottom"/>
          </w:tcPr>
          <w:p>
            <w:pPr>
              <w:ind w:left="20"/>
              <w:spacing w:after="0"/>
              <w:rPr>
                <w:sz w:val="20"/>
                <w:szCs w:val="20"/>
                <w:color w:val="auto"/>
              </w:rPr>
            </w:pPr>
            <w:r>
              <w:rPr>
                <w:rFonts w:ascii="Arial" w:cs="Arial" w:eastAsia="Arial" w:hAnsi="Arial"/>
                <w:sz w:val="14"/>
                <w:szCs w:val="14"/>
                <w:color w:val="auto"/>
              </w:rPr>
              <w:t>Adjusted G&amp;A expenses</w:t>
            </w:r>
          </w:p>
        </w:tc>
        <w:tc>
          <w:tcPr>
            <w:tcW w:w="100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9"/>
              </w:rPr>
              <w:t>44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r>
      <w:tr>
        <w:trPr>
          <w:trHeight w:val="20"/>
        </w:trPr>
        <w:tc>
          <w:tcPr>
            <w:tcW w:w="7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1" w:lineRule="exact"/>
        <w:rPr>
          <w:sz w:val="20"/>
          <w:szCs w:val="20"/>
          <w:color w:val="auto"/>
        </w:rPr>
      </w:pPr>
    </w:p>
    <w:p>
      <w:pPr>
        <w:ind w:left="20" w:right="340"/>
        <w:spacing w:after="0" w:line="254"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costs.The following table presents operating costs after adjusting for the excess costs attributable to PSCs.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19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96"/>
        </w:trPr>
        <w:tc>
          <w:tcPr>
            <w:tcW w:w="7360" w:type="dxa"/>
            <w:vAlign w:val="bottom"/>
          </w:tcPr>
          <w:p>
            <w:pPr>
              <w:ind w:left="20"/>
              <w:spacing w:after="0" w:line="196"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6.68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4.70</w:t>
            </w:r>
          </w:p>
        </w:tc>
      </w:tr>
      <w:tr>
        <w:trPr>
          <w:trHeight w:val="194"/>
        </w:trPr>
        <w:tc>
          <w:tcPr>
            <w:tcW w:w="7360" w:type="dxa"/>
            <w:vAlign w:val="bottom"/>
          </w:tcPr>
          <w:p>
            <w:pPr>
              <w:ind w:left="20"/>
              <w:spacing w:after="0"/>
              <w:rPr>
                <w:sz w:val="20"/>
                <w:szCs w:val="20"/>
                <w:color w:val="auto"/>
              </w:rPr>
            </w:pPr>
            <w:r>
              <w:rPr>
                <w:rFonts w:ascii="Arial" w:cs="Arial" w:eastAsia="Arial" w:hAnsi="Arial"/>
                <w:sz w:val="14"/>
                <w:szCs w:val="14"/>
                <w:color w:val="auto"/>
              </w:rPr>
              <w:t>Gas processing costs</w:t>
            </w:r>
          </w:p>
        </w:tc>
        <w:tc>
          <w:tcPr>
            <w:tcW w:w="1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0.56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0.53</w:t>
            </w:r>
          </w:p>
        </w:tc>
      </w:tr>
      <w:tr>
        <w:trPr>
          <w:trHeight w:val="200"/>
        </w:trPr>
        <w:tc>
          <w:tcPr>
            <w:tcW w:w="7360" w:type="dxa"/>
            <w:vAlign w:val="bottom"/>
          </w:tcPr>
          <w:p>
            <w:pPr>
              <w:ind w:left="20"/>
              <w:spacing w:after="0" w:line="200"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15.63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13.10</w:t>
            </w:r>
          </w:p>
        </w:tc>
      </w:tr>
      <w:tr>
        <w:trPr>
          <w:trHeight w:val="191"/>
        </w:trPr>
        <w:tc>
          <w:tcPr>
            <w:tcW w:w="7360" w:type="dxa"/>
            <w:vAlign w:val="bottom"/>
          </w:tcPr>
          <w:p>
            <w:pPr>
              <w:ind w:left="140"/>
              <w:spacing w:after="0"/>
              <w:rPr>
                <w:sz w:val="20"/>
                <w:szCs w:val="20"/>
                <w:color w:val="auto"/>
              </w:rPr>
            </w:pPr>
            <w:r>
              <w:rPr>
                <w:rFonts w:ascii="Arial" w:cs="Arial" w:eastAsia="Arial" w:hAnsi="Arial"/>
                <w:sz w:val="14"/>
                <w:szCs w:val="14"/>
                <w:b w:val="1"/>
                <w:bCs w:val="1"/>
                <w:color w:val="auto"/>
              </w:rPr>
              <w:t>Operating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22.87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18.33</w:t>
            </w:r>
          </w:p>
        </w:tc>
      </w:tr>
      <w:tr>
        <w:trPr>
          <w:trHeight w:val="383"/>
        </w:trPr>
        <w:tc>
          <w:tcPr>
            <w:tcW w:w="7360" w:type="dxa"/>
            <w:vAlign w:val="bottom"/>
          </w:tcPr>
          <w:p>
            <w:pPr>
              <w:ind w:left="20"/>
              <w:spacing w:after="0"/>
              <w:rPr>
                <w:sz w:val="20"/>
                <w:szCs w:val="20"/>
                <w:color w:val="auto"/>
              </w:rPr>
            </w:pPr>
            <w:r>
              <w:rPr>
                <w:rFonts w:ascii="Arial" w:cs="Arial" w:eastAsia="Arial" w:hAnsi="Arial"/>
                <w:sz w:val="14"/>
                <w:szCs w:val="14"/>
                <w:color w:val="auto"/>
              </w:rPr>
              <w:t>Costs attributable to PSCs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7"/>
        </w:trPr>
        <w:tc>
          <w:tcPr>
            <w:tcW w:w="7360" w:type="dxa"/>
            <w:vAlign w:val="bottom"/>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(0.90)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(0.82)</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(0.56)</w:t>
            </w:r>
          </w:p>
        </w:tc>
      </w:tr>
      <w:tr>
        <w:trPr>
          <w:trHeight w:val="199"/>
        </w:trPr>
        <w:tc>
          <w:tcPr>
            <w:tcW w:w="7360" w:type="dxa"/>
            <w:vAlign w:val="bottom"/>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r>
      <w:tr>
        <w:trPr>
          <w:trHeight w:val="192"/>
        </w:trPr>
        <w:tc>
          <w:tcPr>
            <w:tcW w:w="7360" w:type="dxa"/>
            <w:vAlign w:val="bottom"/>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w:t>
            </w:r>
          </w:p>
        </w:tc>
      </w:tr>
      <w:tr>
        <w:trPr>
          <w:trHeight w:val="396"/>
        </w:trPr>
        <w:tc>
          <w:tcPr>
            <w:tcW w:w="7360" w:type="dxa"/>
            <w:vAlign w:val="bottom"/>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5.78</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4.14</w:t>
            </w:r>
          </w:p>
        </w:tc>
      </w:tr>
      <w:tr>
        <w:trPr>
          <w:trHeight w:val="194"/>
        </w:trPr>
        <w:tc>
          <w:tcPr>
            <w:tcW w:w="7360" w:type="dxa"/>
            <w:vAlign w:val="bottom"/>
          </w:tcPr>
          <w:p>
            <w:pPr>
              <w:ind w:left="140"/>
              <w:spacing w:after="0"/>
              <w:rPr>
                <w:sz w:val="20"/>
                <w:szCs w:val="20"/>
                <w:color w:val="auto"/>
              </w:rPr>
            </w:pPr>
            <w:r>
              <w:rPr>
                <w:rFonts w:ascii="Arial" w:cs="Arial" w:eastAsia="Arial" w:hAnsi="Arial"/>
                <w:sz w:val="14"/>
                <w:szCs w:val="14"/>
                <w:color w:val="auto"/>
              </w:rPr>
              <w:t>Gas processing costs, excluding effect of PSCs</w:t>
            </w:r>
          </w:p>
        </w:tc>
        <w:tc>
          <w:tcPr>
            <w:tcW w:w="1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0.56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0.53</w:t>
            </w:r>
          </w:p>
        </w:tc>
      </w:tr>
      <w:tr>
        <w:trPr>
          <w:trHeight w:val="200"/>
        </w:trPr>
        <w:tc>
          <w:tcPr>
            <w:tcW w:w="736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Non-energy operating costs, excluding effect of PSCs </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12.05</w:t>
            </w:r>
          </w:p>
        </w:tc>
      </w:tr>
      <w:tr>
        <w:trPr>
          <w:trHeight w:val="192"/>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20.57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18.32</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16.72</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00" w:hanging="176"/>
        <w:spacing w:after="0"/>
        <w:tabs>
          <w:tab w:leader="none" w:pos="2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Energy operating costs consist of purchases of natural gas to generate electricity, purchased electricity and internal costs to produce electricity used in our operations.</w:t>
      </w:r>
    </w:p>
    <w:p>
      <w:pPr>
        <w:spacing w:after="0" w:line="34" w:lineRule="exact"/>
        <w:rPr>
          <w:rFonts w:ascii="Arial" w:cs="Arial" w:eastAsia="Arial" w:hAnsi="Arial"/>
          <w:sz w:val="12"/>
          <w:szCs w:val="12"/>
          <w:color w:val="auto"/>
        </w:rPr>
      </w:pPr>
    </w:p>
    <w:p>
      <w:pPr>
        <w:ind w:left="20" w:right="120" w:firstLine="4"/>
        <w:spacing w:after="0" w:line="252" w:lineRule="auto"/>
        <w:tabs>
          <w:tab w:leader="none" w:pos="205"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Non-energy operating costs equal total operating costs less energy and gas processing costs. However, non-energy operating costs include the costs of purchasing natural gas used to generate steam for our steamfloods.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40"/>
          </w:cols>
          <w:pgMar w:left="320" w:top="109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4"/>
        </w:trPr>
        <w:tc>
          <w:tcPr>
            <w:tcW w:w="6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3</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1"/>
        </w:trPr>
        <w:tc>
          <w:tcPr>
            <w:tcW w:w="6640" w:type="dxa"/>
            <w:vAlign w:val="bottom"/>
          </w:tcPr>
          <w:p>
            <w:pPr>
              <w:spacing w:after="0"/>
              <w:rPr>
                <w:sz w:val="20"/>
                <w:szCs w:val="20"/>
                <w:color w:val="auto"/>
              </w:rPr>
            </w:pPr>
            <w:r>
              <w:rPr>
                <w:rFonts w:ascii="Arial" w:cs="Arial" w:eastAsia="Arial" w:hAnsi="Arial"/>
                <w:sz w:val="14"/>
                <w:szCs w:val="14"/>
                <w:b w:val="1"/>
                <w:bCs w:val="1"/>
                <w:color w:val="auto"/>
              </w:rPr>
              <w:t>PRODUCTION STATISTICS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9"/>
        </w:trPr>
        <w:tc>
          <w:tcPr>
            <w:tcW w:w="6640" w:type="dxa"/>
            <w:vAlign w:val="bottom"/>
          </w:tcPr>
          <w:p>
            <w:pPr>
              <w:spacing w:after="0"/>
              <w:rPr>
                <w:sz w:val="20"/>
                <w:szCs w:val="20"/>
                <w:color w:val="auto"/>
              </w:rPr>
            </w:pPr>
            <w:r>
              <w:rPr>
                <w:rFonts w:ascii="Arial" w:cs="Arial" w:eastAsia="Arial" w:hAnsi="Arial"/>
                <w:sz w:val="14"/>
                <w:szCs w:val="14"/>
                <w:b w:val="1"/>
                <w:bCs w:val="1"/>
                <w:color w:val="auto"/>
              </w:rPr>
              <w:t>Net</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1st Quarter</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4th Quarter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1st Quarter</w:t>
            </w:r>
          </w:p>
        </w:tc>
      </w:tr>
      <w:tr>
        <w:trPr>
          <w:trHeight w:val="199"/>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Oil, NGLs and Natural Gas Production Per Day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2"/>
        </w:trPr>
        <w:tc>
          <w:tcPr>
            <w:tcW w:w="6640" w:type="dxa"/>
            <w:vAlign w:val="bottom"/>
          </w:tcPr>
          <w:p>
            <w:pPr>
              <w:spacing w:after="0"/>
              <w:rPr>
                <w:sz w:val="20"/>
                <w:szCs w:val="20"/>
                <w:color w:val="auto"/>
              </w:rPr>
            </w:pPr>
            <w:r>
              <w:rPr>
                <w:rFonts w:ascii="Arial" w:cs="Arial" w:eastAsia="Arial" w:hAnsi="Arial"/>
                <w:sz w:val="14"/>
                <w:szCs w:val="14"/>
                <w:b w:val="1"/>
                <w:bCs w:val="1"/>
                <w:color w:val="auto"/>
              </w:rPr>
              <w:t>Oil (MBbl/d)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2"/>
        </w:trPr>
        <w:tc>
          <w:tcPr>
            <w:tcW w:w="6640" w:type="dxa"/>
            <w:vAlign w:val="bottom"/>
          </w:tcPr>
          <w:p>
            <w:pPr>
              <w:ind w:left="4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r>
      <w:tr>
        <w:trPr>
          <w:trHeight w:val="358"/>
        </w:trPr>
        <w:tc>
          <w:tcPr>
            <w:tcW w:w="6640" w:type="dxa"/>
            <w:vAlign w:val="bottom"/>
          </w:tcPr>
          <w:p>
            <w:pPr>
              <w:spacing w:after="0"/>
              <w:rPr>
                <w:sz w:val="20"/>
                <w:szCs w:val="20"/>
                <w:color w:val="auto"/>
              </w:rPr>
            </w:pPr>
            <w:r>
              <w:rPr>
                <w:rFonts w:ascii="Arial" w:cs="Arial" w:eastAsia="Arial" w:hAnsi="Arial"/>
                <w:sz w:val="14"/>
                <w:szCs w:val="14"/>
                <w:b w:val="1"/>
                <w:bCs w:val="1"/>
                <w:color w:val="auto"/>
              </w:rPr>
              <w:t>NGLs (MBbl/d)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San Joaquin Basin</w:t>
            </w: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192"/>
        </w:trPr>
        <w:tc>
          <w:tcPr>
            <w:tcW w:w="6640" w:type="dxa"/>
            <w:vAlign w:val="bottom"/>
          </w:tcPr>
          <w:p>
            <w:pPr>
              <w:ind w:left="40"/>
              <w:spacing w:after="0"/>
              <w:rPr>
                <w:sz w:val="20"/>
                <w:szCs w:val="20"/>
                <w:color w:val="auto"/>
              </w:rPr>
            </w:pPr>
            <w:r>
              <w:rPr>
                <w:rFonts w:ascii="Arial" w:cs="Arial" w:eastAsia="Arial" w:hAnsi="Arial"/>
                <w:sz w:val="14"/>
                <w:szCs w:val="14"/>
                <w:color w:val="auto"/>
              </w:rPr>
              <w:t>Total</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358"/>
        </w:trPr>
        <w:tc>
          <w:tcPr>
            <w:tcW w:w="6640" w:type="dxa"/>
            <w:vAlign w:val="bottom"/>
          </w:tcPr>
          <w:p>
            <w:pPr>
              <w:spacing w:after="0"/>
              <w:rPr>
                <w:sz w:val="20"/>
                <w:szCs w:val="20"/>
                <w:color w:val="auto"/>
              </w:rPr>
            </w:pPr>
            <w:r>
              <w:rPr>
                <w:rFonts w:ascii="Arial" w:cs="Arial" w:eastAsia="Arial" w:hAnsi="Arial"/>
                <w:sz w:val="14"/>
                <w:szCs w:val="14"/>
                <w:b w:val="1"/>
                <w:bCs w:val="1"/>
                <w:color w:val="auto"/>
              </w:rPr>
              <w:t>Natural Gas (MMcf/d)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135</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Sacramento Basin</w:t>
            </w: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r>
      <w:tr>
        <w:trPr>
          <w:trHeight w:val="192"/>
        </w:trPr>
        <w:tc>
          <w:tcPr>
            <w:tcW w:w="6640" w:type="dxa"/>
            <w:vAlign w:val="bottom"/>
          </w:tcPr>
          <w:p>
            <w:pPr>
              <w:ind w:left="40"/>
              <w:spacing w:after="0"/>
              <w:rPr>
                <w:sz w:val="20"/>
                <w:szCs w:val="20"/>
                <w:color w:val="auto"/>
              </w:rPr>
            </w:pPr>
            <w:r>
              <w:rPr>
                <w:rFonts w:ascii="Arial" w:cs="Arial" w:eastAsia="Arial" w:hAnsi="Arial"/>
                <w:sz w:val="14"/>
                <w:szCs w:val="14"/>
                <w:color w:val="auto"/>
              </w:rPr>
              <w:t>Total</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r>
      <w:tr>
        <w:trPr>
          <w:trHeight w:val="160"/>
        </w:trPr>
        <w:tc>
          <w:tcPr>
            <w:tcW w:w="66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92"/>
        </w:trPr>
        <w:tc>
          <w:tcPr>
            <w:tcW w:w="6640" w:type="dxa"/>
            <w:vAlign w:val="bottom"/>
          </w:tcPr>
          <w:p>
            <w:pPr>
              <w:spacing w:after="0"/>
              <w:rPr>
                <w:sz w:val="20"/>
                <w:szCs w:val="20"/>
                <w:color w:val="auto"/>
              </w:rPr>
            </w:pPr>
            <w:r>
              <w:rPr>
                <w:rFonts w:ascii="Arial" w:cs="Arial" w:eastAsia="Arial" w:hAnsi="Arial"/>
                <w:sz w:val="14"/>
                <w:szCs w:val="14"/>
                <w:b w:val="1"/>
                <w:bCs w:val="1"/>
                <w:color w:val="auto"/>
              </w:rPr>
              <w:t>Total Production (MBoe/d)</w:t>
            </w: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r>
      <w:tr>
        <w:trPr>
          <w:trHeight w:val="20"/>
        </w:trPr>
        <w:tc>
          <w:tcPr>
            <w:tcW w:w="6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34"/>
        </w:trPr>
        <w:tc>
          <w:tcPr>
            <w:tcW w:w="6640" w:type="dxa"/>
            <w:vAlign w:val="bottom"/>
          </w:tcPr>
          <w:p>
            <w:pPr>
              <w:spacing w:after="0"/>
              <w:rPr>
                <w:sz w:val="20"/>
                <w:szCs w:val="20"/>
                <w:color w:val="auto"/>
              </w:rPr>
            </w:pPr>
            <w:r>
              <w:rPr>
                <w:rFonts w:ascii="Arial" w:cs="Arial" w:eastAsia="Arial" w:hAnsi="Arial"/>
                <w:sz w:val="14"/>
                <w:szCs w:val="14"/>
                <w:b w:val="1"/>
                <w:bCs w:val="1"/>
                <w:color w:val="auto"/>
              </w:rPr>
              <w:t>Gross Operated and Net Non-Operated</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1st Quarter</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4th Quarter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1st Quarter</w:t>
            </w:r>
          </w:p>
        </w:tc>
      </w:tr>
      <w:tr>
        <w:trPr>
          <w:trHeight w:val="199"/>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Oil, NGLs and Natural Gas Production Per Day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2"/>
        </w:trPr>
        <w:tc>
          <w:tcPr>
            <w:tcW w:w="6640" w:type="dxa"/>
            <w:vAlign w:val="bottom"/>
          </w:tcPr>
          <w:p>
            <w:pPr>
              <w:spacing w:after="0"/>
              <w:rPr>
                <w:sz w:val="20"/>
                <w:szCs w:val="20"/>
                <w:color w:val="auto"/>
              </w:rPr>
            </w:pPr>
            <w:r>
              <w:rPr>
                <w:rFonts w:ascii="Arial" w:cs="Arial" w:eastAsia="Arial" w:hAnsi="Arial"/>
                <w:sz w:val="14"/>
                <w:szCs w:val="14"/>
                <w:b w:val="1"/>
                <w:bCs w:val="1"/>
                <w:color w:val="auto"/>
              </w:rPr>
              <w:t>Oil (MBbl/d)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2"/>
        </w:trPr>
        <w:tc>
          <w:tcPr>
            <w:tcW w:w="6640" w:type="dxa"/>
            <w:vAlign w:val="bottom"/>
          </w:tcPr>
          <w:p>
            <w:pPr>
              <w:ind w:left="4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r>
      <w:tr>
        <w:trPr>
          <w:trHeight w:val="358"/>
        </w:trPr>
        <w:tc>
          <w:tcPr>
            <w:tcW w:w="6640" w:type="dxa"/>
            <w:vAlign w:val="bottom"/>
          </w:tcPr>
          <w:p>
            <w:pPr>
              <w:spacing w:after="0"/>
              <w:rPr>
                <w:sz w:val="20"/>
                <w:szCs w:val="20"/>
                <w:color w:val="auto"/>
              </w:rPr>
            </w:pPr>
            <w:r>
              <w:rPr>
                <w:rFonts w:ascii="Arial" w:cs="Arial" w:eastAsia="Arial" w:hAnsi="Arial"/>
                <w:sz w:val="14"/>
                <w:szCs w:val="14"/>
                <w:b w:val="1"/>
                <w:bCs w:val="1"/>
                <w:color w:val="auto"/>
              </w:rPr>
              <w:t>NGLs (MBbl/d)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San Joaquin Basin</w:t>
            </w: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r>
      <w:tr>
        <w:trPr>
          <w:trHeight w:val="192"/>
        </w:trPr>
        <w:tc>
          <w:tcPr>
            <w:tcW w:w="6640" w:type="dxa"/>
            <w:vAlign w:val="bottom"/>
          </w:tcPr>
          <w:p>
            <w:pPr>
              <w:ind w:left="40"/>
              <w:spacing w:after="0"/>
              <w:rPr>
                <w:sz w:val="20"/>
                <w:szCs w:val="20"/>
                <w:color w:val="auto"/>
              </w:rPr>
            </w:pPr>
            <w:r>
              <w:rPr>
                <w:rFonts w:ascii="Arial" w:cs="Arial" w:eastAsia="Arial" w:hAnsi="Arial"/>
                <w:sz w:val="14"/>
                <w:szCs w:val="14"/>
                <w:color w:val="auto"/>
              </w:rPr>
              <w:t>Total</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58"/>
        </w:trPr>
        <w:tc>
          <w:tcPr>
            <w:tcW w:w="6640" w:type="dxa"/>
            <w:vAlign w:val="bottom"/>
          </w:tcPr>
          <w:p>
            <w:pPr>
              <w:spacing w:after="0"/>
              <w:rPr>
                <w:sz w:val="20"/>
                <w:szCs w:val="20"/>
                <w:color w:val="auto"/>
              </w:rPr>
            </w:pPr>
            <w:r>
              <w:rPr>
                <w:rFonts w:ascii="Arial" w:cs="Arial" w:eastAsia="Arial" w:hAnsi="Arial"/>
                <w:sz w:val="14"/>
                <w:szCs w:val="14"/>
                <w:b w:val="1"/>
                <w:bCs w:val="1"/>
                <w:color w:val="auto"/>
              </w:rPr>
              <w:t>Natural Gas (MMcf/d)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144</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Ventura Basin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9"/>
        </w:trPr>
        <w:tc>
          <w:tcPr>
            <w:tcW w:w="6640" w:type="dxa"/>
            <w:vAlign w:val="bottom"/>
          </w:tcPr>
          <w:p>
            <w:pPr>
              <w:ind w:left="40"/>
              <w:spacing w:after="0"/>
              <w:rPr>
                <w:sz w:val="20"/>
                <w:szCs w:val="20"/>
                <w:color w:val="auto"/>
              </w:rPr>
            </w:pPr>
            <w:r>
              <w:rPr>
                <w:rFonts w:ascii="Arial" w:cs="Arial" w:eastAsia="Arial" w:hAnsi="Arial"/>
                <w:sz w:val="14"/>
                <w:szCs w:val="14"/>
                <w:color w:val="auto"/>
              </w:rPr>
              <w:t>Sacramento Basin</w:t>
            </w: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192"/>
        </w:trPr>
        <w:tc>
          <w:tcPr>
            <w:tcW w:w="6640" w:type="dxa"/>
            <w:vAlign w:val="bottom"/>
          </w:tcPr>
          <w:p>
            <w:pPr>
              <w:ind w:left="40"/>
              <w:spacing w:after="0"/>
              <w:rPr>
                <w:sz w:val="20"/>
                <w:szCs w:val="20"/>
                <w:color w:val="auto"/>
              </w:rPr>
            </w:pPr>
            <w:r>
              <w:rPr>
                <w:rFonts w:ascii="Arial" w:cs="Arial" w:eastAsia="Arial" w:hAnsi="Arial"/>
                <w:sz w:val="14"/>
                <w:szCs w:val="14"/>
                <w:color w:val="auto"/>
              </w:rPr>
              <w:t>Total</w:t>
            </w: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181</w:t>
            </w:r>
          </w:p>
        </w:tc>
      </w:tr>
      <w:tr>
        <w:trPr>
          <w:trHeight w:val="160"/>
        </w:trPr>
        <w:tc>
          <w:tcPr>
            <w:tcW w:w="66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92"/>
        </w:trPr>
        <w:tc>
          <w:tcPr>
            <w:tcW w:w="6640" w:type="dxa"/>
            <w:vAlign w:val="bottom"/>
          </w:tcPr>
          <w:p>
            <w:pPr>
              <w:spacing w:after="0"/>
              <w:rPr>
                <w:sz w:val="20"/>
                <w:szCs w:val="20"/>
                <w:color w:val="auto"/>
              </w:rPr>
            </w:pPr>
            <w:r>
              <w:rPr>
                <w:rFonts w:ascii="Arial" w:cs="Arial" w:eastAsia="Arial" w:hAnsi="Arial"/>
                <w:sz w:val="14"/>
                <w:szCs w:val="14"/>
                <w:b w:val="1"/>
                <w:bCs w:val="1"/>
                <w:color w:val="auto"/>
              </w:rPr>
              <w:t>Total Production (MBoe/d)</w:t>
            </w:r>
          </w:p>
        </w:tc>
        <w:tc>
          <w:tcPr>
            <w:tcW w:w="1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r>
      <w:tr>
        <w:trPr>
          <w:trHeight w:val="20"/>
        </w:trPr>
        <w:tc>
          <w:tcPr>
            <w:tcW w:w="6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w:t>
      </w:r>
    </w:p>
    <w:p>
      <w:pPr>
        <w:jc w:val="both"/>
        <w:ind w:right="20"/>
        <w:spacing w:after="0" w:line="226" w:lineRule="auto"/>
        <w:rPr>
          <w:sz w:val="20"/>
          <w:szCs w:val="20"/>
          <w:color w:val="auto"/>
        </w:rPr>
      </w:pPr>
      <w:r>
        <w:rPr>
          <w:rFonts w:ascii="Arial" w:cs="Arial" w:eastAsia="Arial" w:hAnsi="Arial"/>
          <w:sz w:val="14"/>
          <w:szCs w:val="14"/>
          <w:color w:val="auto"/>
        </w:rPr>
        <w:t>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100"/>
          </w:cols>
          <w:pgMar w:left="400" w:top="1044" w:right="3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4"/>
        </w:trPr>
        <w:tc>
          <w:tcPr>
            <w:tcW w:w="5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Attachment 4</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1"/>
        </w:trPr>
        <w:tc>
          <w:tcPr>
            <w:tcW w:w="5960" w:type="dxa"/>
            <w:vAlign w:val="bottom"/>
          </w:tcPr>
          <w:p>
            <w:pPr>
              <w:spacing w:after="0"/>
              <w:rPr>
                <w:sz w:val="20"/>
                <w:szCs w:val="20"/>
                <w:color w:val="auto"/>
              </w:rPr>
            </w:pPr>
            <w:r>
              <w:rPr>
                <w:rFonts w:ascii="Arial" w:cs="Arial" w:eastAsia="Arial" w:hAnsi="Arial"/>
                <w:sz w:val="14"/>
                <w:szCs w:val="14"/>
                <w:b w:val="1"/>
                <w:bCs w:val="1"/>
                <w:color w:val="auto"/>
              </w:rPr>
              <w:t>PRICE STATISTICS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9"/>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17"/>
                <w:szCs w:val="17"/>
                <w:color w:val="auto"/>
              </w:rPr>
            </w:pPr>
          </w:p>
        </w:tc>
        <w:tc>
          <w:tcPr>
            <w:tcW w:w="1280" w:type="dxa"/>
            <w:vAlign w:val="bottom"/>
          </w:tcPr>
          <w:p>
            <w:pPr>
              <w:jc w:val="right"/>
              <w:ind w:right="309"/>
              <w:spacing w:after="0"/>
              <w:rPr>
                <w:sz w:val="20"/>
                <w:szCs w:val="20"/>
                <w:color w:val="auto"/>
              </w:rPr>
            </w:pPr>
            <w:r>
              <w:rPr>
                <w:rFonts w:ascii="Arial" w:cs="Arial" w:eastAsia="Arial" w:hAnsi="Arial"/>
                <w:sz w:val="14"/>
                <w:szCs w:val="14"/>
                <w:b w:val="1"/>
                <w:bCs w:val="1"/>
                <w:color w:val="auto"/>
              </w:rPr>
              <w:t>1st Quarter</w:t>
            </w:r>
          </w:p>
        </w:tc>
      </w:tr>
      <w:tr>
        <w:trPr>
          <w:trHeight w:val="199"/>
        </w:trPr>
        <w:tc>
          <w:tcPr>
            <w:tcW w:w="5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r>
      <w:tr>
        <w:trPr>
          <w:trHeight w:val="179"/>
        </w:trPr>
        <w:tc>
          <w:tcPr>
            <w:tcW w:w="5960" w:type="dxa"/>
            <w:vAlign w:val="bottom"/>
          </w:tcPr>
          <w:p>
            <w:pPr>
              <w:spacing w:after="0"/>
              <w:rPr>
                <w:sz w:val="20"/>
                <w:szCs w:val="20"/>
                <w:color w:val="auto"/>
              </w:rPr>
            </w:pPr>
            <w:r>
              <w:rPr>
                <w:rFonts w:ascii="Arial" w:cs="Arial" w:eastAsia="Arial" w:hAnsi="Arial"/>
                <w:sz w:val="14"/>
                <w:szCs w:val="14"/>
                <w:b w:val="1"/>
                <w:bCs w:val="1"/>
                <w:color w:val="auto"/>
              </w:rPr>
              <w:t>Oil ($ per Bbl)</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5960" w:type="dxa"/>
            <w:vAlign w:val="bottom"/>
          </w:tcPr>
          <w:p>
            <w:pPr>
              <w:spacing w:after="0"/>
              <w:rPr>
                <w:sz w:val="20"/>
                <w:szCs w:val="20"/>
                <w:color w:val="auto"/>
              </w:rPr>
            </w:pPr>
            <w:r>
              <w:rPr>
                <w:rFonts w:ascii="Arial" w:cs="Arial" w:eastAsia="Arial" w:hAnsi="Arial"/>
                <w:sz w:val="14"/>
                <w:szCs w:val="14"/>
                <w:color w:val="auto"/>
              </w:rPr>
              <w:t>Realized price with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60.30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61.00</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53.73</w:t>
            </w:r>
          </w:p>
        </w:tc>
      </w:tr>
      <w:tr>
        <w:trPr>
          <w:trHeight w:val="199"/>
        </w:trPr>
        <w:tc>
          <w:tcPr>
            <w:tcW w:w="5960" w:type="dxa"/>
            <w:vAlign w:val="bottom"/>
          </w:tcPr>
          <w:p>
            <w:pPr>
              <w:spacing w:after="0"/>
              <w:rPr>
                <w:sz w:val="20"/>
                <w:szCs w:val="20"/>
                <w:color w:val="auto"/>
              </w:rPr>
            </w:pPr>
            <w:r>
              <w:rPr>
                <w:rFonts w:ascii="Arial" w:cs="Arial" w:eastAsia="Arial" w:hAnsi="Arial"/>
                <w:sz w:val="14"/>
                <w:szCs w:val="14"/>
                <w:color w:val="auto"/>
              </w:rPr>
              <w:t>Realized price without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96.13</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78.99</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60.81</w:t>
            </w:r>
          </w:p>
        </w:tc>
      </w:tr>
      <w:tr>
        <w:trPr>
          <w:trHeight w:val="252"/>
        </w:trPr>
        <w:tc>
          <w:tcPr>
            <w:tcW w:w="5960" w:type="dxa"/>
            <w:vAlign w:val="bottom"/>
          </w:tcPr>
          <w:p>
            <w:pPr>
              <w:ind w:left="40"/>
              <w:spacing w:after="0"/>
              <w:rPr>
                <w:sz w:val="20"/>
                <w:szCs w:val="20"/>
                <w:color w:val="auto"/>
              </w:rPr>
            </w:pPr>
            <w:r>
              <w:rPr>
                <w:rFonts w:ascii="Arial" w:cs="Arial" w:eastAsia="Arial" w:hAnsi="Arial"/>
                <w:sz w:val="14"/>
                <w:szCs w:val="14"/>
                <w:color w:val="auto"/>
              </w:rPr>
              <w:t>NGLs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78.63</w:t>
            </w:r>
          </w:p>
        </w:tc>
        <w:tc>
          <w:tcPr>
            <w:tcW w:w="80" w:type="dxa"/>
            <w:vAlign w:val="bottom"/>
          </w:tcPr>
          <w:p>
            <w:pPr>
              <w:spacing w:after="0"/>
              <w:rPr>
                <w:sz w:val="21"/>
                <w:szCs w:val="21"/>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67.61</w:t>
            </w:r>
          </w:p>
        </w:tc>
        <w:tc>
          <w:tcPr>
            <w:tcW w:w="100" w:type="dxa"/>
            <w:vAlign w:val="bottom"/>
          </w:tcPr>
          <w:p>
            <w:pPr>
              <w:spacing w:after="0"/>
              <w:rPr>
                <w:sz w:val="21"/>
                <w:szCs w:val="21"/>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48.77</w:t>
            </w:r>
          </w:p>
        </w:tc>
      </w:tr>
      <w:tr>
        <w:trPr>
          <w:trHeight w:val="252"/>
        </w:trPr>
        <w:tc>
          <w:tcPr>
            <w:tcW w:w="5960" w:type="dxa"/>
            <w:vAlign w:val="bottom"/>
          </w:tcPr>
          <w:p>
            <w:pPr>
              <w:ind w:left="40"/>
              <w:spacing w:after="0"/>
              <w:rPr>
                <w:sz w:val="20"/>
                <w:szCs w:val="20"/>
                <w:color w:val="auto"/>
              </w:rPr>
            </w:pPr>
            <w:r>
              <w:rPr>
                <w:rFonts w:ascii="Arial" w:cs="Arial" w:eastAsia="Arial" w:hAnsi="Arial"/>
                <w:sz w:val="14"/>
                <w:szCs w:val="14"/>
                <w:color w:val="auto"/>
              </w:rPr>
              <w:t>Natural gas ($/Mcf)</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6.28</w:t>
            </w:r>
          </w:p>
        </w:tc>
        <w:tc>
          <w:tcPr>
            <w:tcW w:w="80" w:type="dxa"/>
            <w:vAlign w:val="bottom"/>
          </w:tcPr>
          <w:p>
            <w:pPr>
              <w:spacing w:after="0"/>
              <w:rPr>
                <w:sz w:val="21"/>
                <w:szCs w:val="21"/>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5.94</w:t>
            </w:r>
          </w:p>
        </w:tc>
        <w:tc>
          <w:tcPr>
            <w:tcW w:w="100" w:type="dxa"/>
            <w:vAlign w:val="bottom"/>
          </w:tcPr>
          <w:p>
            <w:pPr>
              <w:spacing w:after="0"/>
              <w:rPr>
                <w:sz w:val="21"/>
                <w:szCs w:val="21"/>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3.29</w:t>
            </w:r>
          </w:p>
        </w:tc>
      </w:tr>
      <w:tr>
        <w:trPr>
          <w:trHeight w:val="411"/>
        </w:trPr>
        <w:tc>
          <w:tcPr>
            <w:tcW w:w="5960" w:type="dxa"/>
            <w:vAlign w:val="bottom"/>
          </w:tcPr>
          <w:p>
            <w:pPr>
              <w:spacing w:after="0"/>
              <w:rPr>
                <w:sz w:val="20"/>
                <w:szCs w:val="20"/>
                <w:color w:val="auto"/>
              </w:rPr>
            </w:pPr>
            <w:r>
              <w:rPr>
                <w:rFonts w:ascii="Arial" w:cs="Arial" w:eastAsia="Arial" w:hAnsi="Arial"/>
                <w:sz w:val="14"/>
                <w:szCs w:val="14"/>
                <w:b w:val="1"/>
                <w:bCs w:val="1"/>
                <w:color w:val="auto"/>
              </w:rPr>
              <w:t>Index Prices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9"/>
        </w:trPr>
        <w:tc>
          <w:tcPr>
            <w:tcW w:w="5960" w:type="dxa"/>
            <w:vAlign w:val="bottom"/>
          </w:tcPr>
          <w:p>
            <w:pPr>
              <w:ind w:left="40"/>
              <w:spacing w:after="0"/>
              <w:rPr>
                <w:sz w:val="20"/>
                <w:szCs w:val="20"/>
                <w:color w:val="auto"/>
              </w:rPr>
            </w:pPr>
            <w:r>
              <w:rPr>
                <w:rFonts w:ascii="Arial" w:cs="Arial" w:eastAsia="Arial" w:hAnsi="Arial"/>
                <w:sz w:val="14"/>
                <w:szCs w:val="14"/>
                <w:color w:val="auto"/>
              </w:rPr>
              <w:t>Brent oil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97.38</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79.80</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61.10</w:t>
            </w:r>
          </w:p>
        </w:tc>
      </w:tr>
      <w:tr>
        <w:trPr>
          <w:trHeight w:val="199"/>
        </w:trPr>
        <w:tc>
          <w:tcPr>
            <w:tcW w:w="5960" w:type="dxa"/>
            <w:vAlign w:val="bottom"/>
          </w:tcPr>
          <w:p>
            <w:pPr>
              <w:ind w:left="40"/>
              <w:spacing w:after="0"/>
              <w:rPr>
                <w:sz w:val="20"/>
                <w:szCs w:val="20"/>
                <w:color w:val="auto"/>
              </w:rPr>
            </w:pPr>
            <w:r>
              <w:rPr>
                <w:rFonts w:ascii="Arial" w:cs="Arial" w:eastAsia="Arial" w:hAnsi="Arial"/>
                <w:sz w:val="14"/>
                <w:szCs w:val="14"/>
                <w:color w:val="auto"/>
              </w:rPr>
              <w:t>WTI oil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94.29</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77.19</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57.84</w:t>
            </w:r>
          </w:p>
        </w:tc>
      </w:tr>
      <w:tr>
        <w:trPr>
          <w:trHeight w:val="199"/>
        </w:trPr>
        <w:tc>
          <w:tcPr>
            <w:tcW w:w="5960" w:type="dxa"/>
            <w:vAlign w:val="bottom"/>
          </w:tcPr>
          <w:p>
            <w:pPr>
              <w:ind w:left="40"/>
              <w:spacing w:after="0"/>
              <w:rPr>
                <w:sz w:val="20"/>
                <w:szCs w:val="20"/>
                <w:color w:val="auto"/>
              </w:rPr>
            </w:pPr>
            <w:r>
              <w:rPr>
                <w:rFonts w:ascii="Arial" w:cs="Arial" w:eastAsia="Arial" w:hAnsi="Arial"/>
                <w:sz w:val="14"/>
                <w:szCs w:val="14"/>
                <w:color w:val="auto"/>
              </w:rPr>
              <w:t>NYMEX Henry Hub average daily price ($/MMBtu)</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4.19</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5.27</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2.72</w:t>
            </w:r>
          </w:p>
        </w:tc>
      </w:tr>
      <w:tr>
        <w:trPr>
          <w:trHeight w:val="199"/>
        </w:trPr>
        <w:tc>
          <w:tcPr>
            <w:tcW w:w="5960" w:type="dxa"/>
            <w:vAlign w:val="bottom"/>
          </w:tcPr>
          <w:p>
            <w:pPr>
              <w:ind w:left="40"/>
              <w:spacing w:after="0"/>
              <w:rPr>
                <w:sz w:val="20"/>
                <w:szCs w:val="20"/>
                <w:color w:val="auto"/>
              </w:rPr>
            </w:pPr>
            <w:r>
              <w:rPr>
                <w:rFonts w:ascii="Arial" w:cs="Arial" w:eastAsia="Arial" w:hAnsi="Arial"/>
                <w:sz w:val="14"/>
                <w:szCs w:val="14"/>
                <w:color w:val="auto"/>
              </w:rPr>
              <w:t>NYMEX Henry Hub average monthly settled price ($/MMBtu)</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4.95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5.83</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2.69</w:t>
            </w:r>
          </w:p>
        </w:tc>
      </w:tr>
      <w:tr>
        <w:trPr>
          <w:trHeight w:val="411"/>
        </w:trPr>
        <w:tc>
          <w:tcPr>
            <w:tcW w:w="5960" w:type="dxa"/>
            <w:vAlign w:val="bottom"/>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9"/>
        </w:trPr>
        <w:tc>
          <w:tcPr>
            <w:tcW w:w="5960" w:type="dxa"/>
            <w:vAlign w:val="bottom"/>
          </w:tcPr>
          <w:p>
            <w:pPr>
              <w:ind w:left="40"/>
              <w:spacing w:after="0"/>
              <w:rPr>
                <w:sz w:val="20"/>
                <w:szCs w:val="20"/>
                <w:color w:val="auto"/>
              </w:rPr>
            </w:pPr>
            <w:r>
              <w:rPr>
                <w:rFonts w:ascii="Arial" w:cs="Arial" w:eastAsia="Arial" w:hAnsi="Arial"/>
                <w:sz w:val="14"/>
                <w:szCs w:val="14"/>
                <w:color w:val="auto"/>
              </w:rPr>
              <w:t>Oil with derivative settlements as a percentage of Brent</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88 %</w:t>
            </w:r>
          </w:p>
        </w:tc>
      </w:tr>
      <w:tr>
        <w:trPr>
          <w:trHeight w:val="199"/>
        </w:trPr>
        <w:tc>
          <w:tcPr>
            <w:tcW w:w="5960" w:type="dxa"/>
            <w:vAlign w:val="bottom"/>
          </w:tcPr>
          <w:p>
            <w:pPr>
              <w:ind w:left="40"/>
              <w:spacing w:after="0"/>
              <w:rPr>
                <w:sz w:val="20"/>
                <w:szCs w:val="20"/>
                <w:color w:val="auto"/>
              </w:rPr>
            </w:pPr>
            <w:r>
              <w:rPr>
                <w:rFonts w:ascii="Arial" w:cs="Arial" w:eastAsia="Arial" w:hAnsi="Arial"/>
                <w:sz w:val="14"/>
                <w:szCs w:val="14"/>
                <w:color w:val="auto"/>
              </w:rPr>
              <w:t>Oil without derivative settlements as a percentage of Brent</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r>
      <w:tr>
        <w:trPr>
          <w:trHeight w:val="252"/>
        </w:trPr>
        <w:tc>
          <w:tcPr>
            <w:tcW w:w="5960" w:type="dxa"/>
            <w:vAlign w:val="bottom"/>
          </w:tcPr>
          <w:p>
            <w:pPr>
              <w:ind w:left="40"/>
              <w:spacing w:after="0"/>
              <w:rPr>
                <w:sz w:val="20"/>
                <w:szCs w:val="20"/>
                <w:color w:val="auto"/>
              </w:rPr>
            </w:pPr>
            <w:r>
              <w:rPr>
                <w:rFonts w:ascii="Arial" w:cs="Arial" w:eastAsia="Arial" w:hAnsi="Arial"/>
                <w:sz w:val="14"/>
                <w:szCs w:val="14"/>
                <w:color w:val="auto"/>
              </w:rPr>
              <w:t>Oil with derivative settlements as a percentage of WTI</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64 %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93 %</w:t>
            </w:r>
          </w:p>
        </w:tc>
      </w:tr>
      <w:tr>
        <w:trPr>
          <w:trHeight w:val="199"/>
        </w:trPr>
        <w:tc>
          <w:tcPr>
            <w:tcW w:w="5960" w:type="dxa"/>
            <w:vAlign w:val="bottom"/>
          </w:tcPr>
          <w:p>
            <w:pPr>
              <w:ind w:left="40"/>
              <w:spacing w:after="0"/>
              <w:rPr>
                <w:sz w:val="20"/>
                <w:szCs w:val="20"/>
                <w:color w:val="auto"/>
              </w:rPr>
            </w:pPr>
            <w:r>
              <w:rPr>
                <w:rFonts w:ascii="Arial" w:cs="Arial" w:eastAsia="Arial" w:hAnsi="Arial"/>
                <w:sz w:val="14"/>
                <w:szCs w:val="14"/>
                <w:color w:val="auto"/>
              </w:rPr>
              <w:t>Oil without derivative settlements as a percentage of WTI</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105 %</w:t>
            </w:r>
          </w:p>
        </w:tc>
      </w:tr>
      <w:tr>
        <w:trPr>
          <w:trHeight w:val="252"/>
        </w:trPr>
        <w:tc>
          <w:tcPr>
            <w:tcW w:w="5960" w:type="dxa"/>
            <w:vAlign w:val="bottom"/>
          </w:tcPr>
          <w:p>
            <w:pPr>
              <w:ind w:left="40"/>
              <w:spacing w:after="0"/>
              <w:rPr>
                <w:sz w:val="20"/>
                <w:szCs w:val="20"/>
                <w:color w:val="auto"/>
              </w:rPr>
            </w:pPr>
            <w:r>
              <w:rPr>
                <w:rFonts w:ascii="Arial" w:cs="Arial" w:eastAsia="Arial" w:hAnsi="Arial"/>
                <w:sz w:val="14"/>
                <w:szCs w:val="14"/>
                <w:color w:val="auto"/>
              </w:rPr>
              <w:t>NGLs as a percentage of Brent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80 %</w:t>
            </w:r>
          </w:p>
        </w:tc>
      </w:tr>
      <w:tr>
        <w:trPr>
          <w:trHeight w:val="199"/>
        </w:trPr>
        <w:tc>
          <w:tcPr>
            <w:tcW w:w="5960" w:type="dxa"/>
            <w:vAlign w:val="bottom"/>
          </w:tcPr>
          <w:p>
            <w:pPr>
              <w:ind w:left="40"/>
              <w:spacing w:after="0"/>
              <w:rPr>
                <w:sz w:val="20"/>
                <w:szCs w:val="20"/>
                <w:color w:val="auto"/>
              </w:rPr>
            </w:pPr>
            <w:r>
              <w:rPr>
                <w:rFonts w:ascii="Arial" w:cs="Arial" w:eastAsia="Arial" w:hAnsi="Arial"/>
                <w:sz w:val="14"/>
                <w:szCs w:val="14"/>
                <w:color w:val="auto"/>
              </w:rPr>
              <w:t>NGLs as a percentage of WTI</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84 %</w:t>
            </w:r>
          </w:p>
        </w:tc>
      </w:tr>
      <w:tr>
        <w:trPr>
          <w:trHeight w:val="252"/>
        </w:trPr>
        <w:tc>
          <w:tcPr>
            <w:tcW w:w="5960" w:type="dxa"/>
            <w:vAlign w:val="bottom"/>
          </w:tcPr>
          <w:p>
            <w:pPr>
              <w:ind w:left="40"/>
              <w:spacing w:after="0"/>
              <w:rPr>
                <w:sz w:val="20"/>
                <w:szCs w:val="20"/>
                <w:color w:val="auto"/>
              </w:rPr>
            </w:pPr>
            <w:r>
              <w:rPr>
                <w:rFonts w:ascii="Arial" w:cs="Arial" w:eastAsia="Arial" w:hAnsi="Arial"/>
                <w:sz w:val="14"/>
                <w:szCs w:val="14"/>
                <w:color w:val="auto"/>
              </w:rPr>
              <w:t>Natural gas as a percentage of NYMEX average daily price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150 %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121 %</w:t>
            </w:r>
          </w:p>
        </w:tc>
      </w:tr>
      <w:tr>
        <w:trPr>
          <w:trHeight w:val="199"/>
        </w:trPr>
        <w:tc>
          <w:tcPr>
            <w:tcW w:w="5960" w:type="dxa"/>
            <w:vAlign w:val="bottom"/>
          </w:tcPr>
          <w:p>
            <w:pPr>
              <w:spacing w:after="0"/>
              <w:rPr>
                <w:sz w:val="20"/>
                <w:szCs w:val="20"/>
                <w:color w:val="auto"/>
              </w:rPr>
            </w:pPr>
            <w:r>
              <w:rPr>
                <w:rFonts w:ascii="Arial" w:cs="Arial" w:eastAsia="Arial" w:hAnsi="Arial"/>
                <w:sz w:val="14"/>
                <w:szCs w:val="14"/>
                <w:color w:val="auto"/>
              </w:rPr>
              <w:t>Natural gas as a percentage of NYMEX average monthly settled price</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127 %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0700"/>
          </w:cols>
          <w:pgMar w:left="600" w:top="1044" w:right="5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4"/>
        </w:trPr>
        <w:tc>
          <w:tcPr>
            <w:tcW w:w="4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5</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FIRST QUARTER 2022 DRILLING ACTIVITY</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9"/>
        </w:trPr>
        <w:tc>
          <w:tcPr>
            <w:tcW w:w="43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Ventura</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r>
      <w:tr>
        <w:trPr>
          <w:trHeight w:val="199"/>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r>
      <w:tr>
        <w:trPr>
          <w:trHeight w:val="430"/>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91"/>
        </w:trPr>
        <w:tc>
          <w:tcPr>
            <w:tcW w:w="4320" w:type="dxa"/>
            <w:vAlign w:val="bottom"/>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3</w:t>
            </w:r>
          </w:p>
        </w:tc>
      </w:tr>
      <w:tr>
        <w:trPr>
          <w:trHeight w:val="199"/>
        </w:trPr>
        <w:tc>
          <w:tcPr>
            <w:tcW w:w="4320" w:type="dxa"/>
            <w:vAlign w:val="bottom"/>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28</w:t>
            </w:r>
          </w:p>
        </w:tc>
      </w:tr>
      <w:tr>
        <w:trPr>
          <w:trHeight w:val="203"/>
        </w:trPr>
        <w:tc>
          <w:tcPr>
            <w:tcW w:w="4320" w:type="dxa"/>
            <w:vAlign w:val="bottom"/>
          </w:tcPr>
          <w:p>
            <w:pPr>
              <w:ind w:left="12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w:t>
            </w:r>
          </w:p>
        </w:tc>
      </w:tr>
      <w:tr>
        <w:trPr>
          <w:trHeight w:val="197"/>
        </w:trPr>
        <w:tc>
          <w:tcPr>
            <w:tcW w:w="432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42</w:t>
            </w:r>
          </w:p>
        </w:tc>
      </w:tr>
      <w:tr>
        <w:trPr>
          <w:trHeight w:val="20"/>
        </w:trPr>
        <w:tc>
          <w:tcPr>
            <w:tcW w:w="4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160" w:hanging="150"/>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140"/>
          </w:cols>
          <w:pgMar w:left="380" w:top="1044"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4"/>
        </w:trPr>
        <w:tc>
          <w:tcPr>
            <w:tcW w:w="3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9"/>
              </w:rPr>
              <w:t>Attachment 6</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1"/>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OIL HEDGES AS OF MARCH 31, 2022</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11"/>
        </w:trPr>
        <w:tc>
          <w:tcPr>
            <w:tcW w:w="3580" w:type="dxa"/>
            <w:vAlign w:val="bottom"/>
          </w:tcPr>
          <w:p>
            <w:pPr>
              <w:spacing w:after="0"/>
              <w:rPr>
                <w:sz w:val="24"/>
                <w:szCs w:val="24"/>
                <w:color w:val="auto"/>
              </w:rPr>
            </w:pPr>
          </w:p>
        </w:tc>
        <w:tc>
          <w:tcPr>
            <w:tcW w:w="1820" w:type="dxa"/>
            <w:vAlign w:val="bottom"/>
            <w:gridSpan w:val="2"/>
          </w:tcPr>
          <w:p>
            <w:pPr>
              <w:jc w:val="center"/>
              <w:ind w:left="489"/>
              <w:spacing w:after="0"/>
              <w:rPr>
                <w:sz w:val="20"/>
                <w:szCs w:val="20"/>
                <w:color w:val="auto"/>
              </w:rPr>
            </w:pPr>
            <w:r>
              <w:rPr>
                <w:rFonts w:ascii="Arial" w:cs="Arial" w:eastAsia="Arial" w:hAnsi="Arial"/>
                <w:sz w:val="14"/>
                <w:szCs w:val="14"/>
                <w:b w:val="1"/>
                <w:bCs w:val="1"/>
                <w:color w:val="auto"/>
              </w:rPr>
              <w:t>Q2 2022</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Q3 2022</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Q4 2022</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1H 2023</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2H 2023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2024</w:t>
            </w:r>
          </w:p>
        </w:tc>
      </w:tr>
      <w:tr>
        <w:trPr>
          <w:trHeight w:val="430"/>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Sold Calls</w:t>
            </w:r>
          </w:p>
        </w:tc>
        <w:tc>
          <w:tcPr>
            <w:tcW w:w="1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191"/>
        </w:trPr>
        <w:tc>
          <w:tcPr>
            <w:tcW w:w="3580" w:type="dxa"/>
            <w:vAlign w:val="bottom"/>
          </w:tcPr>
          <w:p>
            <w:pPr>
              <w:ind w:left="140"/>
              <w:spacing w:after="0"/>
              <w:rPr>
                <w:sz w:val="20"/>
                <w:szCs w:val="20"/>
                <w:color w:val="auto"/>
              </w:rPr>
            </w:pPr>
            <w:r>
              <w:rPr>
                <w:rFonts w:ascii="Arial" w:cs="Arial" w:eastAsia="Arial" w:hAnsi="Arial"/>
                <w:sz w:val="14"/>
                <w:szCs w:val="14"/>
                <w:color w:val="auto"/>
              </w:rPr>
              <w:t>Barrels per day</w:t>
            </w:r>
          </w:p>
        </w:tc>
        <w:tc>
          <w:tcPr>
            <w:tcW w:w="1720" w:type="dxa"/>
            <w:vAlign w:val="bottom"/>
          </w:tcPr>
          <w:p>
            <w:pPr>
              <w:jc w:val="center"/>
              <w:ind w:left="569"/>
              <w:spacing w:after="0"/>
              <w:rPr>
                <w:sz w:val="20"/>
                <w:szCs w:val="20"/>
                <w:color w:val="auto"/>
              </w:rPr>
            </w:pPr>
            <w:r>
              <w:rPr>
                <w:rFonts w:ascii="Arial" w:cs="Arial" w:eastAsia="Arial" w:hAnsi="Arial"/>
                <w:sz w:val="14"/>
                <w:szCs w:val="14"/>
                <w:color w:val="auto"/>
              </w:rPr>
              <w:t>35,343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34,380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25,167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18,078</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11,555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99"/>
        </w:trPr>
        <w:tc>
          <w:tcPr>
            <w:tcW w:w="3580" w:type="dxa"/>
            <w:vAlign w:val="bottom"/>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720" w:type="dxa"/>
            <w:vAlign w:val="bottom"/>
          </w:tcPr>
          <w:p>
            <w:pPr>
              <w:jc w:val="center"/>
              <w:ind w:left="569"/>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$60.76</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$57.82</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$58.63</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$57.06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458"/>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Swaps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3580" w:type="dxa"/>
            <w:vAlign w:val="bottom"/>
          </w:tcPr>
          <w:p>
            <w:pPr>
              <w:ind w:left="140"/>
              <w:spacing w:after="0"/>
              <w:rPr>
                <w:sz w:val="20"/>
                <w:szCs w:val="20"/>
                <w:color w:val="auto"/>
              </w:rPr>
            </w:pPr>
            <w:r>
              <w:rPr>
                <w:rFonts w:ascii="Arial" w:cs="Arial" w:eastAsia="Arial" w:hAnsi="Arial"/>
                <w:sz w:val="14"/>
                <w:szCs w:val="14"/>
                <w:color w:val="auto"/>
              </w:rPr>
              <w:t>Barrels per day</w:t>
            </w:r>
          </w:p>
        </w:tc>
        <w:tc>
          <w:tcPr>
            <w:tcW w:w="1720" w:type="dxa"/>
            <w:vAlign w:val="bottom"/>
          </w:tcPr>
          <w:p>
            <w:pPr>
              <w:jc w:val="center"/>
              <w:ind w:left="569"/>
              <w:spacing w:after="0"/>
              <w:rPr>
                <w:sz w:val="20"/>
                <w:szCs w:val="20"/>
                <w:color w:val="auto"/>
              </w:rPr>
            </w:pPr>
            <w:r>
              <w:rPr>
                <w:rFonts w:ascii="Arial" w:cs="Arial" w:eastAsia="Arial" w:hAnsi="Arial"/>
                <w:sz w:val="14"/>
                <w:szCs w:val="14"/>
                <w:color w:val="auto"/>
              </w:rPr>
              <w:t>10,669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10,476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17,263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11,806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16,552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1,492</w:t>
            </w:r>
          </w:p>
        </w:tc>
      </w:tr>
      <w:tr>
        <w:trPr>
          <w:trHeight w:val="199"/>
        </w:trPr>
        <w:tc>
          <w:tcPr>
            <w:tcW w:w="3580" w:type="dxa"/>
            <w:vAlign w:val="bottom"/>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720" w:type="dxa"/>
            <w:vAlign w:val="bottom"/>
          </w:tcPr>
          <w:p>
            <w:pPr>
              <w:jc w:val="center"/>
              <w:ind w:left="569"/>
              <w:spacing w:after="0"/>
              <w:rPr>
                <w:sz w:val="20"/>
                <w:szCs w:val="20"/>
                <w:color w:val="auto"/>
              </w:rPr>
            </w:pPr>
            <w:r>
              <w:rPr>
                <w:rFonts w:ascii="Arial" w:cs="Arial" w:eastAsia="Arial" w:hAnsi="Arial"/>
                <w:sz w:val="14"/>
                <w:szCs w:val="14"/>
                <w:color w:val="auto"/>
              </w:rPr>
              <w:t>$54.12</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$53.97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$58.04</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$62.95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$79.06</w:t>
            </w:r>
          </w:p>
        </w:tc>
      </w:tr>
      <w:tr>
        <w:trPr>
          <w:trHeight w:val="463"/>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 xml:space="preserve">Net Purchased Puts </w:t>
            </w:r>
            <w:r>
              <w:rPr>
                <w:rFonts w:ascii="Arial" w:cs="Arial" w:eastAsia="Arial" w:hAnsi="Arial"/>
                <w:sz w:val="18"/>
                <w:szCs w:val="18"/>
                <w:b w:val="1"/>
                <w:bCs w:val="1"/>
                <w:color w:val="auto"/>
                <w:vertAlign w:val="superscript"/>
              </w:rPr>
              <w:t>1</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6"/>
        </w:trPr>
        <w:tc>
          <w:tcPr>
            <w:tcW w:w="3580" w:type="dxa"/>
            <w:vAlign w:val="bottom"/>
          </w:tcPr>
          <w:p>
            <w:pPr>
              <w:ind w:left="140"/>
              <w:spacing w:after="0"/>
              <w:rPr>
                <w:sz w:val="20"/>
                <w:szCs w:val="20"/>
                <w:color w:val="auto"/>
              </w:rPr>
            </w:pPr>
            <w:r>
              <w:rPr>
                <w:rFonts w:ascii="Arial" w:cs="Arial" w:eastAsia="Arial" w:hAnsi="Arial"/>
                <w:sz w:val="14"/>
                <w:szCs w:val="14"/>
                <w:color w:val="auto"/>
              </w:rPr>
              <w:t>Barrels per day</w:t>
            </w:r>
          </w:p>
        </w:tc>
        <w:tc>
          <w:tcPr>
            <w:tcW w:w="1720" w:type="dxa"/>
            <w:vAlign w:val="bottom"/>
          </w:tcPr>
          <w:p>
            <w:pPr>
              <w:jc w:val="center"/>
              <w:ind w:left="569"/>
              <w:spacing w:after="0"/>
              <w:rPr>
                <w:sz w:val="20"/>
                <w:szCs w:val="20"/>
                <w:color w:val="auto"/>
              </w:rPr>
            </w:pPr>
            <w:r>
              <w:rPr>
                <w:rFonts w:ascii="Arial" w:cs="Arial" w:eastAsia="Arial" w:hAnsi="Arial"/>
                <w:sz w:val="14"/>
                <w:szCs w:val="14"/>
                <w:color w:val="auto"/>
              </w:rPr>
              <w:t>35,343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34,380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25,167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18,078</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11,555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1,724</w:t>
            </w:r>
          </w:p>
        </w:tc>
      </w:tr>
      <w:tr>
        <w:trPr>
          <w:trHeight w:val="199"/>
        </w:trPr>
        <w:tc>
          <w:tcPr>
            <w:tcW w:w="3580" w:type="dxa"/>
            <w:vAlign w:val="bottom"/>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720" w:type="dxa"/>
            <w:vAlign w:val="bottom"/>
          </w:tcPr>
          <w:p>
            <w:pPr>
              <w:jc w:val="center"/>
              <w:ind w:left="569"/>
              <w:spacing w:after="0"/>
              <w:rPr>
                <w:sz w:val="20"/>
                <w:szCs w:val="20"/>
                <w:color w:val="auto"/>
              </w:rPr>
            </w:pPr>
            <w:r>
              <w:rPr>
                <w:rFonts w:ascii="Arial" w:cs="Arial" w:eastAsia="Arial" w:hAnsi="Arial"/>
                <w:sz w:val="14"/>
                <w:szCs w:val="14"/>
                <w:color w:val="auto"/>
              </w:rPr>
              <w:t>$65.42</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$65.02</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$64.47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$76.25</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$75.00</w:t>
            </w:r>
          </w:p>
        </w:tc>
      </w:tr>
      <w:tr>
        <w:trPr>
          <w:trHeight w:val="458"/>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Sold Puts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3580" w:type="dxa"/>
            <w:vAlign w:val="bottom"/>
          </w:tcPr>
          <w:p>
            <w:pPr>
              <w:ind w:left="140"/>
              <w:spacing w:after="0"/>
              <w:rPr>
                <w:sz w:val="20"/>
                <w:szCs w:val="20"/>
                <w:color w:val="auto"/>
              </w:rPr>
            </w:pPr>
            <w:r>
              <w:rPr>
                <w:rFonts w:ascii="Arial" w:cs="Arial" w:eastAsia="Arial" w:hAnsi="Arial"/>
                <w:sz w:val="14"/>
                <w:szCs w:val="14"/>
                <w:color w:val="auto"/>
              </w:rPr>
              <w:t>Barrels per day</w:t>
            </w:r>
          </w:p>
        </w:tc>
        <w:tc>
          <w:tcPr>
            <w:tcW w:w="1820" w:type="dxa"/>
            <w:vAlign w:val="bottom"/>
            <w:gridSpan w:val="2"/>
          </w:tcPr>
          <w:p>
            <w:pPr>
              <w:jc w:val="center"/>
              <w:ind w:left="48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99"/>
        </w:trPr>
        <w:tc>
          <w:tcPr>
            <w:tcW w:w="3580" w:type="dxa"/>
            <w:vAlign w:val="bottom"/>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820" w:type="dxa"/>
            <w:vAlign w:val="bottom"/>
            <w:gridSpan w:val="2"/>
          </w:tcPr>
          <w:p>
            <w:pPr>
              <w:jc w:val="center"/>
              <w:ind w:left="48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36" w:lineRule="exact"/>
        <w:rPr>
          <w:sz w:val="20"/>
          <w:szCs w:val="20"/>
          <w:color w:val="auto"/>
        </w:rPr>
      </w:pPr>
    </w:p>
    <w:p>
      <w:pPr>
        <w:ind w:left="100" w:hanging="76"/>
        <w:spacing w:after="0"/>
        <w:tabs>
          <w:tab w:leader="none" w:pos="10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Purchased and sold puts with the same strike price have been netted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128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4"/>
        </w:trPr>
        <w:tc>
          <w:tcPr>
            <w:tcW w:w="49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9"/>
              </w:rPr>
              <w:t>Attachment 7</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9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2022 Estimated</w:t>
            </w:r>
          </w:p>
        </w:tc>
        <w:tc>
          <w:tcPr>
            <w:tcW w:w="9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3"/>
        </w:trPr>
        <w:tc>
          <w:tcPr>
            <w:tcW w:w="4900" w:type="dxa"/>
            <w:vAlign w:val="bottom"/>
          </w:tcPr>
          <w:p>
            <w:pPr>
              <w:ind w:left="20"/>
              <w:spacing w:after="0" w:line="193" w:lineRule="exact"/>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1</w:t>
            </w:r>
          </w:p>
        </w:tc>
        <w:tc>
          <w:tcPr>
            <w:tcW w:w="2040" w:type="dxa"/>
            <w:vAlign w:val="bottom"/>
            <w:gridSpan w:val="2"/>
            <w:shd w:val="clear" w:color="auto" w:fill="DBDBDB"/>
          </w:tcPr>
          <w:p>
            <w:pPr>
              <w:ind w:left="58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6"/>
                <w:szCs w:val="16"/>
                <w:color w:val="auto"/>
              </w:rPr>
            </w:pPr>
          </w:p>
        </w:tc>
        <w:tc>
          <w:tcPr>
            <w:tcW w:w="2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CMB</w:t>
            </w: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E&amp;P, Corporate &amp; Other</w:t>
            </w:r>
          </w:p>
        </w:tc>
      </w:tr>
      <w:tr>
        <w:trPr>
          <w:trHeight w:val="183"/>
        </w:trPr>
        <w:tc>
          <w:tcPr>
            <w:tcW w:w="490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94</w:t>
            </w:r>
          </w:p>
        </w:tc>
        <w:tc>
          <w:tcPr>
            <w:tcW w:w="10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- 91</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r>
      <w:tr>
        <w:trPr>
          <w:trHeight w:val="199"/>
        </w:trPr>
        <w:tc>
          <w:tcPr>
            <w:tcW w:w="490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- 57</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c>
          <w:tcPr>
            <w:tcW w:w="1060" w:type="dxa"/>
            <w:vAlign w:val="bottom"/>
          </w:tcPr>
          <w:p>
            <w:pPr>
              <w:ind w:left="20"/>
              <w:spacing w:after="0"/>
              <w:rPr>
                <w:sz w:val="20"/>
                <w:szCs w:val="20"/>
                <w:color w:val="auto"/>
              </w:rPr>
            </w:pPr>
            <w:r>
              <w:rPr>
                <w:rFonts w:ascii="Arial" w:cs="Arial" w:eastAsia="Arial" w:hAnsi="Arial"/>
                <w:sz w:val="14"/>
                <w:szCs w:val="14"/>
                <w:color w:val="auto"/>
              </w:rPr>
              <w:t>- 57</w:t>
            </w:r>
          </w:p>
        </w:tc>
      </w:tr>
      <w:tr>
        <w:trPr>
          <w:trHeight w:val="199"/>
        </w:trPr>
        <w:tc>
          <w:tcPr>
            <w:tcW w:w="490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$720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$680</w:t>
            </w:r>
          </w:p>
        </w:tc>
        <w:tc>
          <w:tcPr>
            <w:tcW w:w="1060" w:type="dxa"/>
            <w:vAlign w:val="bottom"/>
          </w:tcPr>
          <w:p>
            <w:pPr>
              <w:ind w:left="20"/>
              <w:spacing w:after="0"/>
              <w:rPr>
                <w:sz w:val="20"/>
                <w:szCs w:val="20"/>
                <w:color w:val="auto"/>
              </w:rPr>
            </w:pPr>
            <w:r>
              <w:rPr>
                <w:rFonts w:ascii="Arial" w:cs="Arial" w:eastAsia="Arial" w:hAnsi="Arial"/>
                <w:sz w:val="14"/>
                <w:szCs w:val="14"/>
                <w:color w:val="auto"/>
              </w:rPr>
              <w:t>- $720</w:t>
            </w:r>
          </w:p>
        </w:tc>
      </w:tr>
      <w:tr>
        <w:trPr>
          <w:trHeight w:val="212"/>
        </w:trPr>
        <w:tc>
          <w:tcPr>
            <w:tcW w:w="4900" w:type="dxa"/>
            <w:vAlign w:val="bottom"/>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1060" w:type="dxa"/>
            <w:vAlign w:val="bottom"/>
          </w:tcPr>
          <w:p>
            <w:pPr>
              <w:ind w:left="20"/>
              <w:spacing w:after="0"/>
              <w:rPr>
                <w:sz w:val="20"/>
                <w:szCs w:val="20"/>
                <w:color w:val="auto"/>
              </w:rPr>
            </w:pPr>
            <w:r>
              <w:rPr>
                <w:rFonts w:ascii="Arial" w:cs="Arial" w:eastAsia="Arial" w:hAnsi="Arial"/>
                <w:sz w:val="14"/>
                <w:szCs w:val="14"/>
                <w:color w:val="auto"/>
              </w:rPr>
              <w:t>- $55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6"/>
        </w:trPr>
        <w:tc>
          <w:tcPr>
            <w:tcW w:w="4900" w:type="dxa"/>
            <w:vAlign w:val="bottom"/>
          </w:tcPr>
          <w:p>
            <w:pPr>
              <w:ind w:left="140"/>
              <w:spacing w:after="0"/>
              <w:rPr>
                <w:sz w:val="20"/>
                <w:szCs w:val="20"/>
                <w:color w:val="auto"/>
              </w:rPr>
            </w:pPr>
            <w:r>
              <w:rPr>
                <w:rFonts w:ascii="Arial" w:cs="Arial" w:eastAsia="Arial" w:hAnsi="Arial"/>
                <w:sz w:val="14"/>
                <w:szCs w:val="14"/>
                <w:color w:val="auto"/>
              </w:rPr>
              <w:t>Adjusted General and Administrative Expenses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60" w:type="dxa"/>
            <w:vAlign w:val="bottom"/>
          </w:tcPr>
          <w:p>
            <w:pPr>
              <w:ind w:left="20"/>
              <w:spacing w:after="0"/>
              <w:rPr>
                <w:sz w:val="20"/>
                <w:szCs w:val="20"/>
                <w:color w:val="auto"/>
              </w:rPr>
            </w:pPr>
            <w:r>
              <w:rPr>
                <w:rFonts w:ascii="Arial" w:cs="Arial" w:eastAsia="Arial" w:hAnsi="Arial"/>
                <w:sz w:val="14"/>
                <w:szCs w:val="14"/>
                <w:color w:val="auto"/>
              </w:rPr>
              <w:t>- $15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w:t>
            </w:r>
          </w:p>
        </w:tc>
        <w:tc>
          <w:tcPr>
            <w:tcW w:w="1060" w:type="dxa"/>
            <w:vAlign w:val="bottom"/>
          </w:tcPr>
          <w:p>
            <w:pPr>
              <w:ind w:left="20"/>
              <w:spacing w:after="0"/>
              <w:rPr>
                <w:sz w:val="20"/>
                <w:szCs w:val="20"/>
                <w:color w:val="auto"/>
              </w:rPr>
            </w:pPr>
            <w:r>
              <w:rPr>
                <w:rFonts w:ascii="Arial" w:cs="Arial" w:eastAsia="Arial" w:hAnsi="Arial"/>
                <w:sz w:val="14"/>
                <w:szCs w:val="14"/>
                <w:color w:val="auto"/>
              </w:rPr>
              <w:t>- $175</w:t>
            </w:r>
          </w:p>
        </w:tc>
      </w:tr>
      <w:tr>
        <w:trPr>
          <w:trHeight w:val="199"/>
        </w:trPr>
        <w:tc>
          <w:tcPr>
            <w:tcW w:w="490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$385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60" w:type="dxa"/>
            <w:vAlign w:val="bottom"/>
          </w:tcPr>
          <w:p>
            <w:pPr>
              <w:ind w:left="20"/>
              <w:spacing w:after="0"/>
              <w:rPr>
                <w:sz w:val="20"/>
                <w:szCs w:val="20"/>
                <w:color w:val="auto"/>
              </w:rPr>
            </w:pPr>
            <w:r>
              <w:rPr>
                <w:rFonts w:ascii="Arial" w:cs="Arial" w:eastAsia="Arial" w:hAnsi="Arial"/>
                <w:sz w:val="14"/>
                <w:szCs w:val="14"/>
                <w:color w:val="auto"/>
              </w:rPr>
              <w:t>- $25</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$325</w:t>
            </w:r>
          </w:p>
        </w:tc>
        <w:tc>
          <w:tcPr>
            <w:tcW w:w="1060" w:type="dxa"/>
            <w:vAlign w:val="bottom"/>
          </w:tcPr>
          <w:p>
            <w:pPr>
              <w:ind w:left="20"/>
              <w:spacing w:after="0"/>
              <w:rPr>
                <w:sz w:val="20"/>
                <w:szCs w:val="20"/>
                <w:color w:val="auto"/>
              </w:rPr>
            </w:pPr>
            <w:r>
              <w:rPr>
                <w:rFonts w:ascii="Arial" w:cs="Arial" w:eastAsia="Arial" w:hAnsi="Arial"/>
                <w:sz w:val="14"/>
                <w:szCs w:val="14"/>
                <w:color w:val="auto"/>
              </w:rPr>
              <w:t>- $360</w:t>
            </w:r>
          </w:p>
        </w:tc>
      </w:tr>
      <w:tr>
        <w:trPr>
          <w:trHeight w:val="199"/>
        </w:trPr>
        <w:tc>
          <w:tcPr>
            <w:tcW w:w="490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$960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060" w:type="dxa"/>
            <w:vAlign w:val="bottom"/>
          </w:tcPr>
          <w:p>
            <w:pPr>
              <w:ind w:left="20"/>
              <w:spacing w:after="0"/>
              <w:rPr>
                <w:sz w:val="20"/>
                <w:szCs w:val="20"/>
                <w:color w:val="auto"/>
              </w:rPr>
            </w:pPr>
            <w:r>
              <w:rPr>
                <w:rFonts w:ascii="Arial" w:cs="Arial" w:eastAsia="Arial" w:hAnsi="Arial"/>
                <w:sz w:val="14"/>
                <w:szCs w:val="14"/>
                <w:color w:val="auto"/>
              </w:rPr>
              <w:t>- ($70)</w:t>
            </w:r>
          </w:p>
        </w:tc>
        <w:tc>
          <w:tcPr>
            <w:tcW w:w="140" w:type="dxa"/>
            <w:vAlign w:val="bottom"/>
          </w:tcPr>
          <w:p>
            <w:pPr>
              <w:spacing w:after="0"/>
              <w:rPr>
                <w:sz w:val="17"/>
                <w:szCs w:val="17"/>
                <w:color w:val="auto"/>
              </w:rPr>
            </w:pPr>
          </w:p>
        </w:tc>
        <w:tc>
          <w:tcPr>
            <w:tcW w:w="2020" w:type="dxa"/>
            <w:vAlign w:val="bottom"/>
            <w:gridSpan w:val="2"/>
          </w:tcPr>
          <w:p>
            <w:pPr>
              <w:jc w:val="right"/>
              <w:ind w:right="509"/>
              <w:spacing w:after="0"/>
              <w:rPr>
                <w:sz w:val="20"/>
                <w:szCs w:val="20"/>
                <w:color w:val="auto"/>
              </w:rPr>
            </w:pPr>
            <w:r>
              <w:rPr>
                <w:rFonts w:ascii="Arial" w:cs="Arial" w:eastAsia="Arial" w:hAnsi="Arial"/>
                <w:sz w:val="14"/>
                <w:szCs w:val="14"/>
                <w:color w:val="auto"/>
              </w:rPr>
              <w:t>$930 - $1,015</w:t>
            </w:r>
          </w:p>
        </w:tc>
      </w:tr>
      <w:tr>
        <w:trPr>
          <w:trHeight w:val="208"/>
        </w:trPr>
        <w:tc>
          <w:tcPr>
            <w:tcW w:w="4900" w:type="dxa"/>
            <w:vAlign w:val="bottom"/>
          </w:tcPr>
          <w:p>
            <w:pPr>
              <w:ind w:left="140"/>
              <w:spacing w:after="0"/>
              <w:rPr>
                <w:sz w:val="20"/>
                <w:szCs w:val="20"/>
                <w:color w:val="auto"/>
              </w:rPr>
            </w:pPr>
            <w:r>
              <w:rPr>
                <w:rFonts w:ascii="Arial" w:cs="Arial" w:eastAsia="Arial" w:hAnsi="Arial"/>
                <w:sz w:val="14"/>
                <w:szCs w:val="14"/>
                <w:color w:val="auto"/>
              </w:rPr>
              <w:t>Free Cash Flow ($ millions)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$410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1060" w:type="dxa"/>
            <w:vAlign w:val="bottom"/>
          </w:tcPr>
          <w:p>
            <w:pPr>
              <w:ind w:left="20"/>
              <w:spacing w:after="0"/>
              <w:rPr>
                <w:sz w:val="20"/>
                <w:szCs w:val="20"/>
                <w:color w:val="auto"/>
              </w:rPr>
            </w:pPr>
            <w:r>
              <w:rPr>
                <w:rFonts w:ascii="Arial" w:cs="Arial" w:eastAsia="Arial" w:hAnsi="Arial"/>
                <w:sz w:val="14"/>
                <w:szCs w:val="14"/>
                <w:color w:val="auto"/>
              </w:rPr>
              <w:t>- ($95)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w:t>
            </w:r>
          </w:p>
        </w:tc>
        <w:tc>
          <w:tcPr>
            <w:tcW w:w="1060" w:type="dxa"/>
            <w:vAlign w:val="bottom"/>
          </w:tcPr>
          <w:p>
            <w:pPr>
              <w:ind w:left="20"/>
              <w:spacing w:after="0"/>
              <w:rPr>
                <w:sz w:val="20"/>
                <w:szCs w:val="20"/>
                <w:color w:val="auto"/>
              </w:rPr>
            </w:pPr>
            <w:r>
              <w:rPr>
                <w:rFonts w:ascii="Arial" w:cs="Arial" w:eastAsia="Arial" w:hAnsi="Arial"/>
                <w:sz w:val="14"/>
                <w:szCs w:val="14"/>
                <w:color w:val="auto"/>
              </w:rPr>
              <w:t>- $480</w:t>
            </w:r>
          </w:p>
        </w:tc>
      </w:tr>
    </w:tbl>
    <w:p>
      <w:pPr>
        <w:spacing w:after="0" w:line="7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See Attachment 2 for management's disclosure of its use of these non-GAAP measures and how these measures provide useful information to investors about CRC's results of operations and financial condition. CRC has supplemented its non-GAAP measures of consolidated adjusted EBITDAX and consolidated free cash flow with adjusted EBITDAX for</w:t>
      </w:r>
    </w:p>
    <w:p>
      <w:pPr>
        <w:spacing w:after="0" w:line="1" w:lineRule="exact"/>
        <w:rPr>
          <w:sz w:val="20"/>
          <w:szCs w:val="20"/>
          <w:color w:val="auto"/>
        </w:rPr>
      </w:pPr>
    </w:p>
    <w:p>
      <w:pPr>
        <w:ind w:right="300"/>
        <w:spacing w:after="0" w:line="227" w:lineRule="auto"/>
        <w:rPr>
          <w:sz w:val="20"/>
          <w:szCs w:val="20"/>
          <w:color w:val="auto"/>
        </w:rPr>
      </w:pPr>
      <w:r>
        <w:rPr>
          <w:rFonts w:ascii="Arial" w:cs="Arial" w:eastAsia="Arial" w:hAnsi="Arial"/>
          <w:sz w:val="14"/>
          <w:szCs w:val="14"/>
          <w:color w:val="auto"/>
        </w:rPr>
        <w:t>its exploration and production and corporate items (Adjusted EBITDAX for E&amp;P, Corporate &amp; Other) and free cash flow from our exploration and production and corporate items (free cash flow from E&amp;P, Corporate &amp; Other) which CRC believes are useful measures for investors to understand the results of its core oil and gas business. CRC defines</w:t>
      </w:r>
    </w:p>
    <w:p>
      <w:pPr>
        <w:ind w:right="100"/>
        <w:spacing w:after="0" w:line="253" w:lineRule="auto"/>
        <w:rPr>
          <w:sz w:val="20"/>
          <w:szCs w:val="20"/>
          <w:color w:val="auto"/>
        </w:rPr>
      </w:pPr>
      <w:r>
        <w:rPr>
          <w:rFonts w:ascii="Arial" w:cs="Arial" w:eastAsia="Arial" w:hAnsi="Arial"/>
          <w:sz w:val="14"/>
          <w:szCs w:val="14"/>
          <w:color w:val="auto"/>
        </w:rPr>
        <w:t>adjusted EBITDAX for E&amp;P, Corporate &amp; Other as consolidated adjusted EBITDAX less results attributable to its carbon management business (CMB). CRC defines free cash flow from E&amp;P, Corporate &amp; Other as consolidated free cash flow less results attributable to CMB.</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242424"/>
              </w:rPr>
              <w:t>2022 Estimated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92"/>
        </w:trPr>
        <w:tc>
          <w:tcPr>
            <w:tcW w:w="474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ind w:left="360"/>
              <w:spacing w:after="0"/>
              <w:rPr>
                <w:sz w:val="20"/>
                <w:szCs w:val="20"/>
                <w:color w:val="auto"/>
              </w:rPr>
            </w:pPr>
            <w:r>
              <w:rPr>
                <w:rFonts w:ascii="Arial" w:cs="Arial" w:eastAsia="Arial" w:hAnsi="Arial"/>
                <w:sz w:val="14"/>
                <w:szCs w:val="14"/>
                <w:b w:val="1"/>
                <w:bCs w:val="1"/>
                <w:color w:val="242424"/>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242424"/>
              </w:rPr>
              <w:t>CMB</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242424"/>
              </w:rPr>
              <w:t>E&amp;P, Corporate &amp; Other</w:t>
            </w:r>
          </w:p>
        </w:tc>
      </w:tr>
      <w:tr>
        <w:trPr>
          <w:trHeight w:val="186"/>
        </w:trPr>
        <w:tc>
          <w:tcPr>
            <w:tcW w:w="4740" w:type="dxa"/>
            <w:vAlign w:val="bottom"/>
          </w:tcPr>
          <w:p>
            <w:pPr>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4"/>
                <w:szCs w:val="14"/>
                <w:color w:val="auto"/>
              </w:rPr>
              <w:t>Low</w:t>
            </w:r>
          </w:p>
        </w:tc>
        <w:tc>
          <w:tcPr>
            <w:tcW w:w="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High</w:t>
            </w:r>
          </w:p>
        </w:tc>
      </w:tr>
      <w:tr>
        <w:trPr>
          <w:trHeight w:val="190"/>
        </w:trPr>
        <w:tc>
          <w:tcPr>
            <w:tcW w:w="4740" w:type="dxa"/>
            <w:vAlign w:val="bottom"/>
          </w:tcPr>
          <w:p>
            <w:pPr>
              <w:spacing w:after="0"/>
              <w:rPr>
                <w:sz w:val="20"/>
                <w:szCs w:val="20"/>
                <w:color w:val="auto"/>
              </w:rPr>
            </w:pPr>
            <w:r>
              <w:rPr>
                <w:rFonts w:ascii="Arial" w:cs="Arial" w:eastAsia="Arial" w:hAnsi="Arial"/>
                <w:sz w:val="14"/>
                <w:szCs w:val="14"/>
                <w:color w:val="auto"/>
              </w:rPr>
              <w:t>Net cash provided (used) by operating activities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center"/>
              <w:ind w:left="329"/>
              <w:spacing w:after="0"/>
              <w:rPr>
                <w:sz w:val="20"/>
                <w:szCs w:val="20"/>
                <w:color w:val="auto"/>
              </w:rPr>
            </w:pPr>
            <w:r>
              <w:rPr>
                <w:rFonts w:ascii="Arial" w:cs="Arial" w:eastAsia="Arial" w:hAnsi="Arial"/>
                <w:sz w:val="14"/>
                <w:szCs w:val="14"/>
                <w:color w:val="242424"/>
              </w:rPr>
              <w:t>715</w:t>
            </w: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center"/>
              <w:ind w:left="329"/>
              <w:spacing w:after="0"/>
              <w:rPr>
                <w:sz w:val="20"/>
                <w:szCs w:val="20"/>
                <w:color w:val="auto"/>
              </w:rPr>
            </w:pPr>
            <w:r>
              <w:rPr>
                <w:rFonts w:ascii="Arial" w:cs="Arial" w:eastAsia="Arial" w:hAnsi="Arial"/>
                <w:sz w:val="14"/>
                <w:szCs w:val="14"/>
                <w:color w:val="242424"/>
              </w:rPr>
              <w:t>750</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(70)</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right"/>
              <w:spacing w:after="0"/>
              <w:rPr>
                <w:sz w:val="20"/>
                <w:szCs w:val="20"/>
                <w:color w:val="auto"/>
              </w:rPr>
            </w:pPr>
            <w:r>
              <w:rPr>
                <w:rFonts w:ascii="Arial" w:cs="Arial" w:eastAsia="Arial" w:hAnsi="Arial"/>
                <w:sz w:val="14"/>
                <w:szCs w:val="14"/>
                <w:color w:val="242424"/>
              </w:rPr>
              <w:t>(55)</w:t>
            </w:r>
          </w:p>
        </w:tc>
        <w:tc>
          <w:tcPr>
            <w:tcW w:w="14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center"/>
              <w:ind w:left="369"/>
              <w:spacing w:after="0"/>
              <w:rPr>
                <w:sz w:val="20"/>
                <w:szCs w:val="20"/>
                <w:color w:val="auto"/>
              </w:rPr>
            </w:pPr>
            <w:r>
              <w:rPr>
                <w:rFonts w:ascii="Arial" w:cs="Arial" w:eastAsia="Arial" w:hAnsi="Arial"/>
                <w:sz w:val="14"/>
                <w:szCs w:val="14"/>
                <w:color w:val="242424"/>
                <w:w w:val="94"/>
              </w:rPr>
              <w:t>785</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center"/>
              <w:ind w:left="329"/>
              <w:spacing w:after="0"/>
              <w:rPr>
                <w:sz w:val="20"/>
                <w:szCs w:val="20"/>
                <w:color w:val="auto"/>
              </w:rPr>
            </w:pPr>
            <w:r>
              <w:rPr>
                <w:rFonts w:ascii="Arial" w:cs="Arial" w:eastAsia="Arial" w:hAnsi="Arial"/>
                <w:sz w:val="14"/>
                <w:szCs w:val="14"/>
                <w:color w:val="242424"/>
              </w:rPr>
              <w:t>805</w:t>
            </w:r>
          </w:p>
        </w:tc>
      </w:tr>
      <w:tr>
        <w:trPr>
          <w:trHeight w:val="203"/>
        </w:trPr>
        <w:tc>
          <w:tcPr>
            <w:tcW w:w="4740" w:type="dxa"/>
            <w:vAlign w:val="bottom"/>
          </w:tcPr>
          <w:p>
            <w:pPr>
              <w:spacing w:after="0"/>
              <w:rPr>
                <w:sz w:val="20"/>
                <w:szCs w:val="20"/>
                <w:color w:val="auto"/>
              </w:rPr>
            </w:pPr>
            <w:r>
              <w:rPr>
                <w:rFonts w:ascii="Arial" w:cs="Arial" w:eastAsia="Arial" w:hAnsi="Arial"/>
                <w:sz w:val="14"/>
                <w:szCs w:val="14"/>
                <w:color w:val="auto"/>
              </w:rPr>
              <w:t>Capital investments</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center"/>
              <w:ind w:left="289"/>
              <w:spacing w:after="0"/>
              <w:rPr>
                <w:sz w:val="20"/>
                <w:szCs w:val="20"/>
                <w:color w:val="auto"/>
              </w:rPr>
            </w:pPr>
            <w:r>
              <w:rPr>
                <w:rFonts w:ascii="Arial" w:cs="Arial" w:eastAsia="Arial" w:hAnsi="Arial"/>
                <w:sz w:val="14"/>
                <w:szCs w:val="14"/>
                <w:color w:val="242424"/>
                <w:w w:val="97"/>
              </w:rPr>
              <w:t>(385)</w:t>
            </w:r>
          </w:p>
        </w:tc>
        <w:tc>
          <w:tcPr>
            <w:tcW w:w="8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center"/>
              <w:ind w:left="309"/>
              <w:spacing w:after="0"/>
              <w:rPr>
                <w:sz w:val="20"/>
                <w:szCs w:val="20"/>
                <w:color w:val="auto"/>
              </w:rPr>
            </w:pPr>
            <w:r>
              <w:rPr>
                <w:rFonts w:ascii="Arial" w:cs="Arial" w:eastAsia="Arial" w:hAnsi="Arial"/>
                <w:sz w:val="14"/>
                <w:szCs w:val="14"/>
                <w:color w:val="242424"/>
              </w:rPr>
              <w:t>(340)</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(25)</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(15)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color w:val="242424"/>
                <w:w w:val="97"/>
              </w:rPr>
              <w:t>(360)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color w:val="242424"/>
              </w:rPr>
              <w:t>(325)</w:t>
            </w:r>
          </w:p>
        </w:tc>
      </w:tr>
      <w:tr>
        <w:trPr>
          <w:trHeight w:val="217"/>
        </w:trPr>
        <w:tc>
          <w:tcPr>
            <w:tcW w:w="4740" w:type="dxa"/>
            <w:vAlign w:val="bottom"/>
          </w:tcPr>
          <w:p>
            <w:pPr>
              <w:spacing w:after="0"/>
              <w:rPr>
                <w:sz w:val="20"/>
                <w:szCs w:val="20"/>
                <w:color w:val="auto"/>
              </w:rPr>
            </w:pPr>
            <w:r>
              <w:rPr>
                <w:rFonts w:ascii="Arial" w:cs="Arial" w:eastAsia="Arial" w:hAnsi="Arial"/>
                <w:sz w:val="14"/>
                <w:szCs w:val="14"/>
                <w:b w:val="1"/>
                <w:bCs w:val="1"/>
                <w:color w:val="auto"/>
              </w:rPr>
              <w:t>Estimated free cash flow</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center"/>
              <w:ind w:left="329"/>
              <w:spacing w:after="0"/>
              <w:rPr>
                <w:sz w:val="20"/>
                <w:szCs w:val="20"/>
                <w:color w:val="auto"/>
              </w:rPr>
            </w:pPr>
            <w:r>
              <w:rPr>
                <w:rFonts w:ascii="Arial" w:cs="Arial" w:eastAsia="Arial" w:hAnsi="Arial"/>
                <w:sz w:val="14"/>
                <w:szCs w:val="14"/>
                <w:color w:val="242424"/>
              </w:rPr>
              <w:t>330</w:t>
            </w: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center"/>
              <w:ind w:left="329"/>
              <w:spacing w:after="0"/>
              <w:rPr>
                <w:sz w:val="20"/>
                <w:szCs w:val="20"/>
                <w:color w:val="auto"/>
              </w:rPr>
            </w:pPr>
            <w:r>
              <w:rPr>
                <w:rFonts w:ascii="Arial" w:cs="Arial" w:eastAsia="Arial" w:hAnsi="Arial"/>
                <w:sz w:val="14"/>
                <w:szCs w:val="14"/>
                <w:color w:val="242424"/>
              </w:rPr>
              <w:t>410</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(95)</w:t>
            </w:r>
          </w:p>
        </w:tc>
        <w:tc>
          <w:tcPr>
            <w:tcW w:w="8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right"/>
              <w:spacing w:after="0"/>
              <w:rPr>
                <w:sz w:val="20"/>
                <w:szCs w:val="20"/>
                <w:color w:val="auto"/>
              </w:rPr>
            </w:pPr>
            <w:r>
              <w:rPr>
                <w:rFonts w:ascii="Arial" w:cs="Arial" w:eastAsia="Arial" w:hAnsi="Arial"/>
                <w:sz w:val="14"/>
                <w:szCs w:val="14"/>
                <w:color w:val="242424"/>
              </w:rPr>
              <w:t>(70)</w:t>
            </w:r>
          </w:p>
        </w:tc>
        <w:tc>
          <w:tcPr>
            <w:tcW w:w="14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center"/>
              <w:ind w:left="369"/>
              <w:spacing w:after="0"/>
              <w:rPr>
                <w:sz w:val="20"/>
                <w:szCs w:val="20"/>
                <w:color w:val="auto"/>
              </w:rPr>
            </w:pPr>
            <w:r>
              <w:rPr>
                <w:rFonts w:ascii="Arial" w:cs="Arial" w:eastAsia="Arial" w:hAnsi="Arial"/>
                <w:sz w:val="14"/>
                <w:szCs w:val="14"/>
                <w:color w:val="242424"/>
                <w:w w:val="94"/>
              </w:rPr>
              <w:t>425</w:t>
            </w:r>
          </w:p>
        </w:tc>
        <w:tc>
          <w:tcPr>
            <w:tcW w:w="8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center"/>
              <w:ind w:left="329"/>
              <w:spacing w:after="0"/>
              <w:rPr>
                <w:sz w:val="20"/>
                <w:szCs w:val="20"/>
                <w:color w:val="auto"/>
              </w:rPr>
            </w:pPr>
            <w:r>
              <w:rPr>
                <w:rFonts w:ascii="Arial" w:cs="Arial" w:eastAsia="Arial" w:hAnsi="Arial"/>
                <w:sz w:val="14"/>
                <w:szCs w:val="14"/>
                <w:color w:val="242424"/>
              </w:rPr>
              <w:t>480</w:t>
            </w: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240"/>
          </w:cols>
          <w:pgMar w:left="320" w:top="104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242424"/>
              </w:rPr>
              <w:t>2022 Estimated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242424"/>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242424"/>
              </w:rPr>
              <w:t>CMB</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242424"/>
              </w:rPr>
              <w:t>E&amp;P, Corporate &amp; Other</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309"/>
              <w:spacing w:after="0"/>
              <w:rPr>
                <w:sz w:val="20"/>
                <w:szCs w:val="20"/>
                <w:color w:val="auto"/>
              </w:rPr>
            </w:pPr>
            <w:r>
              <w:rPr>
                <w:rFonts w:ascii="Arial" w:cs="Arial" w:eastAsia="Arial" w:hAnsi="Arial"/>
                <w:sz w:val="14"/>
                <w:szCs w:val="14"/>
                <w:color w:val="242424"/>
              </w:rPr>
              <w:t>Low</w:t>
            </w:r>
          </w:p>
        </w:tc>
        <w:tc>
          <w:tcPr>
            <w:tcW w:w="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269"/>
              <w:spacing w:after="0"/>
              <w:rPr>
                <w:sz w:val="20"/>
                <w:szCs w:val="20"/>
                <w:color w:val="auto"/>
              </w:rPr>
            </w:pPr>
            <w:r>
              <w:rPr>
                <w:rFonts w:ascii="Arial" w:cs="Arial" w:eastAsia="Arial" w:hAnsi="Arial"/>
                <w:sz w:val="14"/>
                <w:szCs w:val="14"/>
                <w:color w:val="242424"/>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42424"/>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42424"/>
              </w:rPr>
              <w:t>High</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242424"/>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42424"/>
              </w:rPr>
              <w:t>High</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445</w:t>
            </w:r>
          </w:p>
        </w:tc>
        <w:tc>
          <w:tcPr>
            <w:tcW w:w="320" w:type="dxa"/>
            <w:vAlign w:val="bottom"/>
            <w:gridSpan w:val="2"/>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495</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(70)</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right"/>
              <w:spacing w:after="0"/>
              <w:rPr>
                <w:sz w:val="20"/>
                <w:szCs w:val="20"/>
                <w:color w:val="auto"/>
              </w:rPr>
            </w:pPr>
            <w:r>
              <w:rPr>
                <w:rFonts w:ascii="Arial" w:cs="Arial" w:eastAsia="Arial" w:hAnsi="Arial"/>
                <w:sz w:val="14"/>
                <w:szCs w:val="14"/>
                <w:color w:val="242424"/>
              </w:rPr>
              <w:t>(55)</w:t>
            </w:r>
          </w:p>
        </w:tc>
        <w:tc>
          <w:tcPr>
            <w:tcW w:w="14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242424"/>
              </w:rPr>
              <w:t>515</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550</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50</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57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57</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200</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220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200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220</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7</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9</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211</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256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211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256</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Pr>
          <w:p>
            <w:pPr>
              <w:ind w:left="240"/>
              <w:spacing w:after="0"/>
              <w:rPr>
                <w:sz w:val="20"/>
                <w:szCs w:val="20"/>
                <w:color w:val="auto"/>
              </w:rPr>
            </w:pPr>
            <w:r>
              <w:rPr>
                <w:rFonts w:ascii="Arial" w:cs="Arial" w:eastAsia="Arial" w:hAnsi="Arial"/>
                <w:sz w:val="14"/>
                <w:szCs w:val="14"/>
                <w:color w:val="auto"/>
              </w:rPr>
              <w:t>Non-cash derivative gain</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(58)</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(93)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(93)</w:t>
            </w:r>
          </w:p>
        </w:tc>
        <w:tc>
          <w:tcPr>
            <w:tcW w:w="0" w:type="dxa"/>
            <w:vAlign w:val="bottom"/>
          </w:tcPr>
          <w:p>
            <w:pPr>
              <w:spacing w:after="0"/>
              <w:rPr>
                <w:sz w:val="1"/>
                <w:szCs w:val="1"/>
                <w:color w:val="auto"/>
              </w:rPr>
            </w:pPr>
          </w:p>
        </w:tc>
      </w:tr>
      <w:tr>
        <w:trPr>
          <w:trHeight w:val="199"/>
        </w:trPr>
        <w:tc>
          <w:tcPr>
            <w:tcW w:w="4740" w:type="dxa"/>
            <w:vAlign w:val="bottom"/>
          </w:tcPr>
          <w:p>
            <w:pPr>
              <w:ind w:left="240"/>
              <w:spacing w:after="0"/>
              <w:rPr>
                <w:sz w:val="20"/>
                <w:szCs w:val="20"/>
                <w:color w:val="auto"/>
              </w:rPr>
            </w:pPr>
            <w:r>
              <w:rPr>
                <w:rFonts w:ascii="Arial" w:cs="Arial" w:eastAsia="Arial" w:hAnsi="Arial"/>
                <w:sz w:val="14"/>
                <w:szCs w:val="14"/>
                <w:color w:val="auto"/>
              </w:rPr>
              <w:t>Gain on asset divestitures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(54)</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(54)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(54)</w:t>
            </w:r>
          </w:p>
        </w:tc>
        <w:tc>
          <w:tcPr>
            <w:tcW w:w="0" w:type="dxa"/>
            <w:vAlign w:val="bottom"/>
          </w:tcPr>
          <w:p>
            <w:pPr>
              <w:spacing w:after="0"/>
              <w:rPr>
                <w:sz w:val="1"/>
                <w:szCs w:val="1"/>
                <w:color w:val="auto"/>
              </w:rPr>
            </w:pPr>
          </w:p>
        </w:tc>
      </w:tr>
      <w:tr>
        <w:trPr>
          <w:trHeight w:val="199"/>
        </w:trPr>
        <w:tc>
          <w:tcPr>
            <w:tcW w:w="4740" w:type="dxa"/>
            <w:vAlign w:val="bottom"/>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4</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40</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46</w:t>
            </w:r>
          </w:p>
        </w:tc>
        <w:tc>
          <w:tcPr>
            <w:tcW w:w="0" w:type="dxa"/>
            <w:vAlign w:val="bottom"/>
          </w:tcPr>
          <w:p>
            <w:pPr>
              <w:spacing w:after="0"/>
              <w:rPr>
                <w:sz w:val="1"/>
                <w:szCs w:val="1"/>
                <w:color w:val="auto"/>
              </w:rPr>
            </w:pPr>
          </w:p>
        </w:tc>
      </w:tr>
      <w:tr>
        <w:trPr>
          <w:trHeight w:val="199"/>
        </w:trPr>
        <w:tc>
          <w:tcPr>
            <w:tcW w:w="47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15</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18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18</w:t>
            </w:r>
          </w:p>
        </w:tc>
        <w:tc>
          <w:tcPr>
            <w:tcW w:w="0" w:type="dxa"/>
            <w:vAlign w:val="bottom"/>
          </w:tcPr>
          <w:p>
            <w:pPr>
              <w:spacing w:after="0"/>
              <w:rPr>
                <w:sz w:val="1"/>
                <w:szCs w:val="1"/>
                <w:color w:val="auto"/>
              </w:rPr>
            </w:pPr>
          </w:p>
        </w:tc>
      </w:tr>
      <w:tr>
        <w:trPr>
          <w:trHeight w:val="203"/>
        </w:trPr>
        <w:tc>
          <w:tcPr>
            <w:tcW w:w="4740" w:type="dxa"/>
            <w:vAlign w:val="bottom"/>
          </w:tcPr>
          <w:p>
            <w:pPr>
              <w:ind w:left="240"/>
              <w:spacing w:after="0"/>
              <w:rPr>
                <w:sz w:val="20"/>
                <w:szCs w:val="20"/>
                <w:color w:val="auto"/>
              </w:rPr>
            </w:pPr>
            <w:r>
              <w:rPr>
                <w:rFonts w:ascii="Arial" w:cs="Arial" w:eastAsia="Arial" w:hAnsi="Arial"/>
                <w:sz w:val="14"/>
                <w:szCs w:val="14"/>
                <w:color w:val="auto"/>
              </w:rPr>
              <w:t>Post-retirement medical and pension</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2</w:t>
            </w:r>
          </w:p>
        </w:tc>
        <w:tc>
          <w:tcPr>
            <w:tcW w:w="8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2</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2</w:t>
            </w: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240" w:type="dxa"/>
            <w:vAlign w:val="bottom"/>
            <w:tcBorders>
              <w:bottom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860</w:t>
            </w:r>
          </w:p>
        </w:tc>
        <w:tc>
          <w:tcPr>
            <w:tcW w:w="8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960</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(70)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(55)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42424"/>
              </w:rPr>
              <w:t>930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1,015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740" w:type="dxa"/>
            <w:vAlign w:val="bottom"/>
            <w:vMerge w:val="restart"/>
          </w:tcPr>
          <w:p>
            <w:pPr>
              <w:spacing w:after="0"/>
              <w:rPr>
                <w:sz w:val="20"/>
                <w:szCs w:val="20"/>
                <w:color w:val="auto"/>
              </w:rPr>
            </w:pPr>
            <w:r>
              <w:rPr>
                <w:rFonts w:ascii="Arial" w:cs="Arial" w:eastAsia="Arial" w:hAnsi="Arial"/>
                <w:sz w:val="14"/>
                <w:szCs w:val="14"/>
                <w:color w:val="auto"/>
              </w:rPr>
              <w:t>Net cash provided (used) by operating activities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gridSpan w:val="2"/>
            <w:vMerge w:val="restart"/>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242424"/>
              </w:rPr>
              <w:t>(70)</w:t>
            </w:r>
          </w:p>
        </w:tc>
        <w:tc>
          <w:tcPr>
            <w:tcW w:w="80" w:type="dxa"/>
            <w:vAlign w:val="bottom"/>
          </w:tcPr>
          <w:p>
            <w:pPr>
              <w:spacing w:after="0"/>
              <w:rPr>
                <w:sz w:val="12"/>
                <w:szCs w:val="12"/>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242424"/>
              </w:rPr>
              <w:t>(55)</w:t>
            </w:r>
          </w:p>
        </w:tc>
        <w:tc>
          <w:tcPr>
            <w:tcW w:w="140" w:type="dxa"/>
            <w:vAlign w:val="bottom"/>
          </w:tcPr>
          <w:p>
            <w:pPr>
              <w:spacing w:after="0"/>
              <w:rPr>
                <w:sz w:val="12"/>
                <w:szCs w:val="12"/>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242424"/>
              </w:rPr>
              <w:t>785</w:t>
            </w:r>
          </w:p>
        </w:tc>
        <w:tc>
          <w:tcPr>
            <w:tcW w:w="80" w:type="dxa"/>
            <w:vAlign w:val="bottom"/>
          </w:tcPr>
          <w:p>
            <w:pPr>
              <w:spacing w:after="0"/>
              <w:rPr>
                <w:sz w:val="12"/>
                <w:szCs w:val="12"/>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242424"/>
              </w:rPr>
              <w:t>805</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715</w:t>
            </w:r>
          </w:p>
        </w:tc>
        <w:tc>
          <w:tcPr>
            <w:tcW w:w="320" w:type="dxa"/>
            <w:vAlign w:val="bottom"/>
            <w:gridSpan w:val="2"/>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750</w:t>
            </w:r>
          </w:p>
        </w:tc>
        <w:tc>
          <w:tcPr>
            <w:tcW w:w="3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Cash interest</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44</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54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54</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Cash income taxes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30</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40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40</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Arial" w:cs="Arial" w:eastAsia="Arial" w:hAnsi="Arial"/>
                <w:sz w:val="14"/>
                <w:szCs w:val="14"/>
                <w:color w:val="auto"/>
              </w:rPr>
              <w:t>Exploration expenditures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7</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42424"/>
              </w:rPr>
              <w:t>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242424"/>
              </w:rPr>
              <w:t>9</w:t>
            </w:r>
          </w:p>
        </w:tc>
        <w:tc>
          <w:tcPr>
            <w:tcW w:w="0" w:type="dxa"/>
            <w:vAlign w:val="bottom"/>
          </w:tcPr>
          <w:p>
            <w:pPr>
              <w:spacing w:after="0"/>
              <w:rPr>
                <w:sz w:val="1"/>
                <w:szCs w:val="1"/>
                <w:color w:val="auto"/>
              </w:rPr>
            </w:pPr>
          </w:p>
        </w:tc>
      </w:tr>
      <w:tr>
        <w:trPr>
          <w:trHeight w:val="203"/>
        </w:trPr>
        <w:tc>
          <w:tcPr>
            <w:tcW w:w="474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64</w:t>
            </w:r>
          </w:p>
        </w:tc>
        <w:tc>
          <w:tcPr>
            <w:tcW w:w="8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107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64</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107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860</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960</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(70)</w:t>
            </w:r>
          </w:p>
        </w:tc>
        <w:tc>
          <w:tcPr>
            <w:tcW w:w="8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40" w:type="dxa"/>
            <w:vAlign w:val="bottom"/>
          </w:tcPr>
          <w:p>
            <w:pPr>
              <w:jc w:val="right"/>
              <w:spacing w:after="0"/>
              <w:rPr>
                <w:sz w:val="20"/>
                <w:szCs w:val="20"/>
                <w:color w:val="auto"/>
              </w:rPr>
            </w:pPr>
            <w:r>
              <w:rPr>
                <w:rFonts w:ascii="Arial" w:cs="Arial" w:eastAsia="Arial" w:hAnsi="Arial"/>
                <w:sz w:val="14"/>
                <w:szCs w:val="14"/>
                <w:color w:val="242424"/>
              </w:rPr>
              <w:t>(55)</w:t>
            </w:r>
          </w:p>
        </w:tc>
        <w:tc>
          <w:tcPr>
            <w:tcW w:w="14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242424"/>
              </w:rPr>
              <w:t>930</w:t>
            </w:r>
          </w:p>
        </w:tc>
        <w:tc>
          <w:tcPr>
            <w:tcW w:w="8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1,015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242424"/>
              </w:rPr>
              <w:t>2022 Estimated</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92"/>
        </w:trPr>
        <w:tc>
          <w:tcPr>
            <w:tcW w:w="474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242424"/>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9"/>
              <w:spacing w:after="0"/>
              <w:rPr>
                <w:sz w:val="20"/>
                <w:szCs w:val="20"/>
                <w:color w:val="auto"/>
              </w:rPr>
            </w:pPr>
            <w:r>
              <w:rPr>
                <w:rFonts w:ascii="Arial" w:cs="Arial" w:eastAsia="Arial" w:hAnsi="Arial"/>
                <w:sz w:val="14"/>
                <w:szCs w:val="14"/>
                <w:b w:val="1"/>
                <w:bCs w:val="1"/>
                <w:color w:val="242424"/>
              </w:rPr>
              <w:t>CMB</w:t>
            </w: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242424"/>
              </w:rPr>
              <w:t>E&amp;P, Corporate &amp; Other</w:t>
            </w:r>
          </w:p>
        </w:tc>
      </w:tr>
      <w:tr>
        <w:trPr>
          <w:trHeight w:val="186"/>
        </w:trPr>
        <w:tc>
          <w:tcPr>
            <w:tcW w:w="4740" w:type="dxa"/>
            <w:vAlign w:val="bottom"/>
          </w:tcPr>
          <w:p>
            <w:pPr>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309"/>
              <w:spacing w:after="0"/>
              <w:rPr>
                <w:sz w:val="20"/>
                <w:szCs w:val="20"/>
                <w:color w:val="auto"/>
              </w:rPr>
            </w:pPr>
            <w:r>
              <w:rPr>
                <w:rFonts w:ascii="Arial" w:cs="Arial" w:eastAsia="Arial" w:hAnsi="Arial"/>
                <w:sz w:val="14"/>
                <w:szCs w:val="14"/>
                <w:color w:val="242424"/>
              </w:rPr>
              <w:t>Low</w:t>
            </w:r>
          </w:p>
        </w:tc>
        <w:tc>
          <w:tcPr>
            <w:tcW w:w="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269"/>
              <w:spacing w:after="0"/>
              <w:rPr>
                <w:sz w:val="20"/>
                <w:szCs w:val="20"/>
                <w:color w:val="auto"/>
              </w:rPr>
            </w:pPr>
            <w:r>
              <w:rPr>
                <w:rFonts w:ascii="Arial" w:cs="Arial" w:eastAsia="Arial" w:hAnsi="Arial"/>
                <w:sz w:val="14"/>
                <w:szCs w:val="14"/>
                <w:color w:val="242424"/>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242424"/>
              </w:rPr>
              <w:t>Low</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High</w:t>
            </w: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242424"/>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42424"/>
              </w:rPr>
              <w:t>High</w:t>
            </w:r>
          </w:p>
        </w:tc>
      </w:tr>
      <w:tr>
        <w:trPr>
          <w:trHeight w:val="190"/>
        </w:trPr>
        <w:tc>
          <w:tcPr>
            <w:tcW w:w="474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180</w:t>
            </w: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200</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10</w:t>
            </w:r>
          </w:p>
        </w:tc>
        <w:tc>
          <w:tcPr>
            <w:tcW w:w="80" w:type="dxa"/>
            <w:vAlign w:val="bottom"/>
          </w:tcPr>
          <w:p>
            <w:pPr>
              <w:spacing w:after="0"/>
              <w:rPr>
                <w:sz w:val="16"/>
                <w:szCs w:val="16"/>
                <w:color w:val="auto"/>
              </w:rPr>
            </w:pPr>
          </w:p>
        </w:tc>
        <w:tc>
          <w:tcPr>
            <w:tcW w:w="700" w:type="dxa"/>
            <w:vAlign w:val="bottom"/>
          </w:tcPr>
          <w:p>
            <w:pPr>
              <w:jc w:val="right"/>
              <w:ind w:right="529"/>
              <w:spacing w:after="0"/>
              <w:rPr>
                <w:sz w:val="20"/>
                <w:szCs w:val="20"/>
                <w:color w:val="auto"/>
              </w:rPr>
            </w:pPr>
            <w:r>
              <w:rPr>
                <w:rFonts w:ascii="Arial" w:cs="Arial" w:eastAsia="Arial" w:hAnsi="Arial"/>
                <w:sz w:val="14"/>
                <w:szCs w:val="14"/>
                <w:color w:val="242424"/>
              </w:rPr>
              <w:t>$</w:t>
            </w:r>
          </w:p>
        </w:tc>
        <w:tc>
          <w:tcPr>
            <w:tcW w:w="280" w:type="dxa"/>
            <w:vAlign w:val="bottom"/>
          </w:tcPr>
          <w:p>
            <w:pPr>
              <w:jc w:val="right"/>
              <w:spacing w:after="0"/>
              <w:rPr>
                <w:sz w:val="20"/>
                <w:szCs w:val="20"/>
                <w:color w:val="auto"/>
              </w:rPr>
            </w:pPr>
            <w:r>
              <w:rPr>
                <w:rFonts w:ascii="Arial" w:cs="Arial" w:eastAsia="Arial" w:hAnsi="Arial"/>
                <w:sz w:val="14"/>
                <w:szCs w:val="14"/>
                <w:color w:val="242424"/>
              </w:rPr>
              <w:t>15</w:t>
            </w:r>
          </w:p>
        </w:tc>
        <w:tc>
          <w:tcPr>
            <w:tcW w:w="14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242424"/>
              </w:rPr>
              <w:t>170</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185</w:t>
            </w:r>
          </w:p>
        </w:tc>
      </w:tr>
      <w:tr>
        <w:trPr>
          <w:trHeight w:val="203"/>
        </w:trPr>
        <w:tc>
          <w:tcPr>
            <w:tcW w:w="4740" w:type="dxa"/>
            <w:vAlign w:val="bottom"/>
          </w:tcPr>
          <w:p>
            <w:pPr>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(15)</w:t>
            </w:r>
          </w:p>
        </w:tc>
        <w:tc>
          <w:tcPr>
            <w:tcW w:w="8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(10)</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(15)</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(10)</w:t>
            </w:r>
          </w:p>
        </w:tc>
      </w:tr>
      <w:tr>
        <w:trPr>
          <w:trHeight w:val="216"/>
        </w:trPr>
        <w:tc>
          <w:tcPr>
            <w:tcW w:w="4740" w:type="dxa"/>
            <w:vAlign w:val="bottom"/>
          </w:tcPr>
          <w:p>
            <w:pPr>
              <w:spacing w:after="0"/>
              <w:rPr>
                <w:sz w:val="20"/>
                <w:szCs w:val="20"/>
                <w:color w:val="auto"/>
              </w:rPr>
            </w:pPr>
            <w:r>
              <w:rPr>
                <w:rFonts w:ascii="Arial" w:cs="Arial" w:eastAsia="Arial" w:hAnsi="Arial"/>
                <w:sz w:val="14"/>
                <w:szCs w:val="14"/>
                <w:b w:val="1"/>
                <w:bCs w:val="1"/>
                <w:color w:val="auto"/>
              </w:rPr>
              <w:t>Adjusted 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165</w:t>
            </w: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242424"/>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42424"/>
              </w:rPr>
              <w:t>190</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10</w:t>
            </w:r>
          </w:p>
        </w:tc>
        <w:tc>
          <w:tcPr>
            <w:tcW w:w="80" w:type="dxa"/>
            <w:vAlign w:val="bottom"/>
          </w:tcPr>
          <w:p>
            <w:pPr>
              <w:spacing w:after="0"/>
              <w:rPr>
                <w:sz w:val="18"/>
                <w:szCs w:val="18"/>
                <w:color w:val="auto"/>
              </w:rPr>
            </w:pPr>
          </w:p>
        </w:tc>
        <w:tc>
          <w:tcPr>
            <w:tcW w:w="700" w:type="dxa"/>
            <w:vAlign w:val="bottom"/>
          </w:tcPr>
          <w:p>
            <w:pPr>
              <w:jc w:val="right"/>
              <w:ind w:right="529"/>
              <w:spacing w:after="0"/>
              <w:rPr>
                <w:sz w:val="20"/>
                <w:szCs w:val="20"/>
                <w:color w:val="auto"/>
              </w:rPr>
            </w:pPr>
            <w:r>
              <w:rPr>
                <w:rFonts w:ascii="Arial" w:cs="Arial" w:eastAsia="Arial" w:hAnsi="Arial"/>
                <w:sz w:val="14"/>
                <w:szCs w:val="14"/>
                <w:color w:val="242424"/>
              </w:rPr>
              <w:t>$</w:t>
            </w:r>
          </w:p>
        </w:tc>
        <w:tc>
          <w:tcPr>
            <w:tcW w:w="280" w:type="dxa"/>
            <w:vAlign w:val="bottom"/>
          </w:tcPr>
          <w:p>
            <w:pPr>
              <w:jc w:val="right"/>
              <w:spacing w:after="0"/>
              <w:rPr>
                <w:sz w:val="20"/>
                <w:szCs w:val="20"/>
                <w:color w:val="auto"/>
              </w:rPr>
            </w:pPr>
            <w:r>
              <w:rPr>
                <w:rFonts w:ascii="Arial" w:cs="Arial" w:eastAsia="Arial" w:hAnsi="Arial"/>
                <w:sz w:val="14"/>
                <w:szCs w:val="14"/>
                <w:color w:val="242424"/>
              </w:rPr>
              <w:t>15</w:t>
            </w:r>
          </w:p>
        </w:tc>
        <w:tc>
          <w:tcPr>
            <w:tcW w:w="14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242424"/>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242424"/>
              </w:rPr>
              <w:t>155</w:t>
            </w:r>
          </w:p>
        </w:tc>
        <w:tc>
          <w:tcPr>
            <w:tcW w:w="8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242424"/>
              </w:rPr>
              <w:t>$</w:t>
            </w:r>
          </w:p>
        </w:tc>
        <w:tc>
          <w:tcPr>
            <w:tcW w:w="760" w:type="dxa"/>
            <w:vAlign w:val="bottom"/>
          </w:tcPr>
          <w:p>
            <w:pPr>
              <w:jc w:val="right"/>
              <w:spacing w:after="0"/>
              <w:rPr>
                <w:sz w:val="20"/>
                <w:szCs w:val="20"/>
                <w:color w:val="auto"/>
              </w:rPr>
            </w:pPr>
            <w:r>
              <w:rPr>
                <w:rFonts w:ascii="Arial" w:cs="Arial" w:eastAsia="Arial" w:hAnsi="Arial"/>
                <w:sz w:val="14"/>
                <w:szCs w:val="14"/>
                <w:color w:val="242424"/>
              </w:rPr>
              <w:t>175</w:t>
            </w: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right="500" w:firstLine="4"/>
        <w:spacing w:after="0" w:line="211" w:lineRule="auto"/>
        <w:tabs>
          <w:tab w:leader="none" w:pos="79"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Current guidance assumes a 2022 Brent price of $98 per barrel of oil, NGL realizations consistent with prior years and a NYMEX gas price of $5.30 per mcf. CRC's share of production under PSC contracts decreases when commodity prices rise and increases when prices fall.</w:t>
      </w:r>
    </w:p>
    <w:p>
      <w:pPr>
        <w:spacing w:after="0" w:line="2" w:lineRule="exact"/>
        <w:rPr>
          <w:sz w:val="20"/>
          <w:szCs w:val="20"/>
          <w:color w:val="auto"/>
        </w:rPr>
      </w:pPr>
    </w:p>
    <w:p>
      <w:pPr>
        <w:ind w:left="80" w:hanging="76"/>
        <w:spacing w:after="0"/>
        <w:tabs>
          <w:tab w:leader="none" w:pos="8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CMB Expenses include start-up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23</w:t>
      </w:r>
    </w:p>
    <w:sectPr>
      <w:pgSz w:w="11900" w:h="16838" w:orient="portrait"/>
      <w:cols w:equalWidth="0" w:num="1">
        <w:col w:w="11220"/>
      </w:cols>
      <w:pgMar w:left="340" w:top="10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bullet"/>
      <w:start w:val="1"/>
    </w:lvl>
  </w:abstractNum>
  <w:abstractNum w:abstractNumId="16">
    <w:nsid w:val="519B500D"/>
    <w:multiLevelType w:val="hybridMultilevel"/>
    <w:lvl w:ilvl="0">
      <w:lvlJc w:val="left"/>
      <w:lvlText w:val="1"/>
      <w:numFmt w:val="bullet"/>
      <w:start w:val="1"/>
    </w:lvl>
  </w:abstractNum>
  <w:abstractNum w:abstractNumId="17">
    <w:nsid w:val="431BD7B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2022-05-05T07:55:23Z</dcterms:created>
  <dcterms:modified xsi:type="dcterms:W3CDTF">2022-05-05T07:55:23Z</dcterms:modified>
</cp:coreProperties>
</file>