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Preston Michael L.</w:t>
              </w:r>
            </w:hyperlink>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tcBorders>
              <w:top w:val="single" w:sz="8" w:color="0000EE"/>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94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GC and Corp. Secretary</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Borders>
              <w:top w:val="single" w:sz="8" w:color="2C2C2C"/>
            </w:tcBorders>
          </w:tcPr>
          <w:p>
            <w:pPr>
              <w:spacing w:after="0"/>
              <w:rPr>
                <w:sz w:val="3"/>
                <w:szCs w:val="3"/>
                <w:color w:val="auto"/>
              </w:rPr>
            </w:pPr>
          </w:p>
        </w:tc>
        <w:tc>
          <w:tcPr>
            <w:tcW w:w="62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vMerge w:val="restart"/>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4"/>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2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2"/>
                <w:szCs w:val="12"/>
                <w:color w:val="0000FF"/>
              </w:rPr>
              <w:t>5,686</w:t>
            </w:r>
            <w:r>
              <w:rPr>
                <w:rFonts w:ascii="Arial" w:cs="Arial" w:eastAsia="Arial" w:hAnsi="Arial"/>
                <w:sz w:val="15"/>
                <w:szCs w:val="15"/>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right="2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59,024</w:t>
            </w: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9"/>
                <w:szCs w:val="9"/>
                <w:color w:val="0000FF"/>
              </w:rPr>
              <w:t>F</w:t>
            </w:r>
          </w:p>
        </w:tc>
        <w:tc>
          <w:tcPr>
            <w:tcW w:w="260" w:type="dxa"/>
            <w:vAlign w:val="bottom"/>
          </w:tcPr>
          <w:p>
            <w:pPr>
              <w:spacing w:after="0"/>
              <w:rPr>
                <w:sz w:val="15"/>
                <w:szCs w:val="15"/>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2"/>
                <w:szCs w:val="12"/>
                <w:color w:val="0000FF"/>
              </w:rPr>
              <w:t>2,138</w:t>
            </w:r>
          </w:p>
        </w:tc>
        <w:tc>
          <w:tcPr>
            <w:tcW w:w="620" w:type="dxa"/>
            <w:vAlign w:val="bottom"/>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Arial" w:cs="Arial" w:eastAsia="Arial" w:hAnsi="Arial"/>
                <w:sz w:val="12"/>
                <w:szCs w:val="12"/>
                <w:color w:val="0000FF"/>
              </w:rPr>
              <w:t>56,886</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2940" w:type="dxa"/>
            <w:vAlign w:val="bottom"/>
            <w:tcBorders>
              <w:bottom w:val="single" w:sz="8" w:color="2C2C2C"/>
            </w:tcBorders>
            <w:gridSpan w:val="7"/>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ind w:right="16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3"/>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Vesting of performance-based Restricted Stock Incentive Award pursuant to California Resources Corporation Long-Term Incentive Plan.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0000FF"/>
                <w:w w:val="91"/>
              </w:rPr>
              <w:t>/s/ Ulrik Damborg, Attorney-in-Fact for</w:t>
            </w:r>
          </w:p>
        </w:tc>
        <w:tc>
          <w:tcPr>
            <w:tcW w:w="42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0000FF"/>
                <w:w w:val="86"/>
              </w:rPr>
              <w:t>05/11/2017</w:t>
            </w:r>
          </w:p>
        </w:tc>
        <w:tc>
          <w:tcPr>
            <w:tcW w:w="0" w:type="dxa"/>
            <w:vAlign w:val="bottom"/>
          </w:tcPr>
          <w:p>
            <w:pPr>
              <w:spacing w:after="0"/>
              <w:rPr>
                <w:sz w:val="1"/>
                <w:szCs w:val="1"/>
                <w:color w:val="auto"/>
              </w:rPr>
            </w:pPr>
          </w:p>
        </w:tc>
      </w:tr>
      <w:tr>
        <w:trPr>
          <w:trHeight w:val="57"/>
        </w:trPr>
        <w:tc>
          <w:tcPr>
            <w:tcW w:w="2280" w:type="dxa"/>
            <w:vAlign w:val="bottom"/>
            <w:gridSpan w:val="3"/>
            <w:vMerge w:val="restart"/>
          </w:tcPr>
          <w:p>
            <w:pPr>
              <w:spacing w:after="0" w:line="124" w:lineRule="exact"/>
              <w:rPr>
                <w:sz w:val="20"/>
                <w:szCs w:val="20"/>
                <w:color w:val="auto"/>
              </w:rPr>
            </w:pPr>
            <w:r>
              <w:rPr>
                <w:rFonts w:ascii="Arial" w:cs="Arial" w:eastAsia="Arial" w:hAnsi="Arial"/>
                <w:sz w:val="12"/>
                <w:szCs w:val="12"/>
                <w:color w:val="0000FF"/>
              </w:rPr>
              <w:t>Michael L. Preston</w:t>
            </w:r>
          </w:p>
        </w:tc>
        <w:tc>
          <w:tcPr>
            <w:tcW w:w="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28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8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Michael L. Preston</w:t>
      </w:r>
    </w:p>
    <w:p>
      <w:pPr>
        <w:ind w:left="8"/>
        <w:spacing w:after="0"/>
        <w:rPr>
          <w:sz w:val="20"/>
          <w:szCs w:val="20"/>
          <w:color w:val="auto"/>
        </w:rPr>
      </w:pPr>
      <w:r>
        <w:rPr>
          <w:rFonts w:ascii="Courier New" w:cs="Courier New" w:eastAsia="Courier New" w:hAnsi="Courier New"/>
          <w:sz w:val="12"/>
          <w:szCs w:val="12"/>
          <w:color w:val="auto"/>
        </w:rPr>
        <w:t>Michael L. Preston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2019-12-04T02:32:18Z</dcterms:created>
  <dcterms:modified xsi:type="dcterms:W3CDTF">2019-12-04T02:32:18Z</dcterms:modified>
</cp:coreProperties>
</file>