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340" w:right="2740"/>
        <w:spacing w:after="0" w:line="263"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3)</w:t>
      </w:r>
      <w:r>
        <w:rPr>
          <w:rFonts w:ascii="Arial" w:cs="Arial" w:eastAsia="Arial" w:hAnsi="Arial"/>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both"/>
        <w:ind w:firstLine="8"/>
        <w:spacing w:after="0"/>
        <w:tabs>
          <w:tab w:leader="none" w:pos="815" w:val="left"/>
        </w:tabs>
        <w:numPr>
          <w:ilvl w:val="0"/>
          <w:numId w:val="4"/>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13057Q305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JB Investors,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Nevada</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jc w:val="right"/>
              <w:ind w:right="537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jc w:val="right"/>
              <w:ind w:right="537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jc w:val="right"/>
              <w:ind w:right="537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jc w:val="right"/>
              <w:ind w:right="537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jc w:val="right"/>
              <w:ind w:right="3770"/>
              <w:spacing w:after="0"/>
              <w:rPr>
                <w:sz w:val="20"/>
                <w:szCs w:val="20"/>
                <w:color w:val="auto"/>
              </w:rPr>
            </w:pPr>
            <w:r>
              <w:rPr>
                <w:rFonts w:ascii="Arial" w:cs="Arial" w:eastAsia="Arial" w:hAnsi="Arial"/>
                <w:sz w:val="18"/>
                <w:szCs w:val="18"/>
                <w:color w:val="auto"/>
              </w:rPr>
              <w:t>2</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13057Q305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Solar Projects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6,148,821 shares of Common Stock</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6,148,821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6,148,821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7.65%</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3</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13057Q305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89"/>
              </w:rPr>
              <w:t>Solar Trust No. 2</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0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6"/>
                <w:szCs w:val="16"/>
                <w:color w:val="auto"/>
              </w:rPr>
            </w:pPr>
          </w:p>
        </w:tc>
        <w:tc>
          <w:tcPr>
            <w:tcW w:w="600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6"/>
                <w:szCs w:val="16"/>
                <w:color w:val="auto"/>
              </w:rPr>
            </w:pPr>
          </w:p>
        </w:tc>
        <w:tc>
          <w:tcPr>
            <w:tcW w:w="600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6,148,821 shares of Common Stock</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6,148,821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6,148,821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4</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13057Q305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Comeg Trust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89,744 shares of Common Stock</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89,744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89,744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Less than 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5</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Comeg Trust</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89,744 shares of Common Stock</w:t>
            </w:r>
          </w:p>
        </w:tc>
        <w:tc>
          <w:tcPr>
            <w:tcW w:w="17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89,744 shares of Common Stock</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89,744 shares of Common Stock</w:t>
            </w:r>
          </w:p>
        </w:tc>
        <w:tc>
          <w:tcPr>
            <w:tcW w:w="172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13057Q305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Daniel Scott Gimbel</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USA</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6,000 shares of Common Stock*</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6,238,565 shares of Common Stock</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6,000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6,238,565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6,244,565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7.77%</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IN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440"/>
        </w:trPr>
        <w:tc>
          <w:tcPr>
            <w:tcW w:w="9520" w:type="dxa"/>
            <w:vAlign w:val="bottom"/>
            <w:gridSpan w:val="4"/>
          </w:tcPr>
          <w:p>
            <w:pPr>
              <w:spacing w:after="0"/>
              <w:rPr>
                <w:sz w:val="20"/>
                <w:szCs w:val="20"/>
                <w:color w:val="auto"/>
              </w:rPr>
            </w:pPr>
            <w:r>
              <w:rPr>
                <w:rFonts w:ascii="Arial" w:cs="Arial" w:eastAsia="Arial" w:hAnsi="Arial"/>
                <w:sz w:val="18"/>
                <w:szCs w:val="18"/>
                <w:color w:val="auto"/>
              </w:rPr>
              <w:t>* These shares are held in Mr. Gimbel’s individual retirement account.</w:t>
            </w:r>
          </w:p>
        </w:tc>
        <w:tc>
          <w:tcPr>
            <w:tcW w:w="1720" w:type="dxa"/>
            <w:vAlign w:val="bottom"/>
          </w:tcPr>
          <w:p>
            <w:pPr>
              <w:spacing w:after="0"/>
              <w:rPr>
                <w:sz w:val="24"/>
                <w:szCs w:val="24"/>
                <w:color w:val="auto"/>
              </w:rPr>
            </w:pPr>
          </w:p>
        </w:tc>
      </w:tr>
      <w:tr>
        <w:trPr>
          <w:trHeight w:val="432"/>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7</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13057Q305</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California Resources Corporation, a Delaware corporation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27200 Tourney Road</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Suite 200</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Santa Clarita, California 91355</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JB Investors, LLC (“JB Investors”)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Reno, Nevada 89501</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Nevada</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Solar Projects LLC (“Solar Projects”)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JB Investors,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Reno, Nevada 89501</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Solar Trust No. 2 (“Solar Trust”)</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JB Investors,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Reno, Nevada 89501</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Comeg Trust LLC (“Comeg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JB Investors,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Reno, Nevada 89501</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Comeg Trust (“Comeg Trust”)</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JB Investors,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Reno, Nevada 89501</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Daniel Scott Gimbel</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JB Investors,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Reno, Nevada 89501</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USA</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tc>
      </w:tr>
      <w:tr>
        <w:trPr>
          <w:trHeight w:val="432"/>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56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19"/>
          <w:szCs w:val="19"/>
          <w:color w:val="auto"/>
        </w:rPr>
        <w:t>CUSIP No. 13057Q305</w:t>
      </w:r>
    </w:p>
    <w:p>
      <w:pPr>
        <w:sectPr>
          <w:pgSz w:w="11900" w:h="16838" w:orient="portrait"/>
          <w:cols w:equalWidth="0" w:num="1">
            <w:col w:w="11240"/>
          </w:cols>
          <w:pgMar w:left="320" w:top="226"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Item 2(e).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par value $0.01 per share (the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13057Q305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This Statement is Filed Pursuant to Rule 13d-1(b), or 13d-2(b) or (c), Check Whether the Person Filing is a:</w:t>
      </w:r>
    </w:p>
    <w:p>
      <w:pPr>
        <w:spacing w:after="0" w:line="222" w:lineRule="exact"/>
        <w:rPr>
          <w:sz w:val="20"/>
          <w:szCs w:val="20"/>
          <w:color w:val="auto"/>
        </w:rPr>
      </w:pPr>
    </w:p>
    <w:p>
      <w:pPr>
        <w:sectPr>
          <w:pgSz w:w="11900" w:h="16838" w:orient="portrait"/>
          <w:cols w:equalWidth="0" w:num="2">
            <w:col w:w="720" w:space="580"/>
            <w:col w:w="9940"/>
          </w:cols>
          <w:pgMar w:left="320" w:top="226" w:right="3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/x/</w:t>
            </w:r>
          </w:p>
        </w:tc>
        <w:tc>
          <w:tcPr>
            <w:tcW w:w="7840" w:type="dxa"/>
            <w:vAlign w:val="bottom"/>
          </w:tcPr>
          <w:p>
            <w:pPr>
              <w:ind w:left="400"/>
              <w:spacing w:after="0"/>
              <w:rPr>
                <w:sz w:val="20"/>
                <w:szCs w:val="20"/>
                <w:color w:val="auto"/>
              </w:rPr>
            </w:pPr>
            <w:r>
              <w:rPr>
                <w:rFonts w:ascii="Arial" w:cs="Arial" w:eastAsia="Arial" w:hAnsi="Arial"/>
                <w:sz w:val="18"/>
                <w:szCs w:val="18"/>
                <w:color w:val="auto"/>
              </w:rPr>
              <w:t>Not applicable.</w:t>
            </w:r>
          </w:p>
        </w:tc>
      </w:tr>
      <w:tr>
        <w:trPr>
          <w:trHeight w:val="432"/>
        </w:trPr>
        <w:tc>
          <w:tcPr>
            <w:tcW w:w="920" w:type="dxa"/>
            <w:vAlign w:val="bottom"/>
          </w:tcPr>
          <w:p>
            <w:pPr>
              <w:spacing w:after="0"/>
              <w:rPr>
                <w:sz w:val="24"/>
                <w:szCs w:val="24"/>
                <w:color w:val="auto"/>
              </w:rPr>
            </w:pPr>
          </w:p>
        </w:tc>
        <w:tc>
          <w:tcPr>
            <w:tcW w:w="1480" w:type="dxa"/>
            <w:vAlign w:val="bottom"/>
          </w:tcPr>
          <w:p>
            <w:pPr>
              <w:ind w:left="760"/>
              <w:spacing w:after="0"/>
              <w:rPr>
                <w:sz w:val="20"/>
                <w:szCs w:val="20"/>
                <w:color w:val="auto"/>
              </w:rPr>
            </w:pPr>
            <w:r>
              <w:rPr>
                <w:rFonts w:ascii="Arial" w:cs="Arial" w:eastAsia="Arial" w:hAnsi="Arial"/>
                <w:sz w:val="18"/>
                <w:szCs w:val="18"/>
                <w:color w:val="auto"/>
              </w:rPr>
              <w:t>(a)</w:t>
            </w:r>
          </w:p>
        </w:tc>
        <w:tc>
          <w:tcPr>
            <w:tcW w:w="900" w:type="dxa"/>
            <w:vAlign w:val="bottom"/>
          </w:tcPr>
          <w:p>
            <w:pPr>
              <w:ind w:left="300"/>
              <w:spacing w:after="0"/>
              <w:rPr>
                <w:sz w:val="20"/>
                <w:szCs w:val="20"/>
                <w:color w:val="auto"/>
              </w:rPr>
            </w:pPr>
            <w:r>
              <w:rPr>
                <w:rFonts w:ascii="Arial" w:cs="Arial" w:eastAsia="Arial" w:hAnsi="Arial"/>
                <w:sz w:val="18"/>
                <w:szCs w:val="18"/>
                <w:color w:val="auto"/>
              </w:rPr>
              <w:t>/ /</w:t>
            </w:r>
          </w:p>
        </w:tc>
        <w:tc>
          <w:tcPr>
            <w:tcW w:w="7840" w:type="dxa"/>
            <w:vAlign w:val="bottom"/>
          </w:tcPr>
          <w:p>
            <w:pPr>
              <w:ind w:left="40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920" w:type="dxa"/>
            <w:vAlign w:val="bottom"/>
          </w:tcPr>
          <w:p>
            <w:pPr>
              <w:spacing w:after="0"/>
              <w:rPr>
                <w:sz w:val="24"/>
                <w:szCs w:val="24"/>
                <w:color w:val="auto"/>
              </w:rPr>
            </w:pPr>
          </w:p>
        </w:tc>
        <w:tc>
          <w:tcPr>
            <w:tcW w:w="1480" w:type="dxa"/>
            <w:vAlign w:val="bottom"/>
          </w:tcPr>
          <w:p>
            <w:pPr>
              <w:ind w:left="760"/>
              <w:spacing w:after="0"/>
              <w:rPr>
                <w:sz w:val="20"/>
                <w:szCs w:val="20"/>
                <w:color w:val="auto"/>
              </w:rPr>
            </w:pPr>
            <w:r>
              <w:rPr>
                <w:rFonts w:ascii="Arial" w:cs="Arial" w:eastAsia="Arial" w:hAnsi="Arial"/>
                <w:sz w:val="18"/>
                <w:szCs w:val="18"/>
                <w:color w:val="auto"/>
              </w:rPr>
              <w:t>(b)</w:t>
            </w:r>
          </w:p>
        </w:tc>
        <w:tc>
          <w:tcPr>
            <w:tcW w:w="900" w:type="dxa"/>
            <w:vAlign w:val="bottom"/>
          </w:tcPr>
          <w:p>
            <w:pPr>
              <w:ind w:left="300"/>
              <w:spacing w:after="0"/>
              <w:rPr>
                <w:sz w:val="20"/>
                <w:szCs w:val="20"/>
                <w:color w:val="auto"/>
              </w:rPr>
            </w:pPr>
            <w:r>
              <w:rPr>
                <w:rFonts w:ascii="Arial" w:cs="Arial" w:eastAsia="Arial" w:hAnsi="Arial"/>
                <w:sz w:val="18"/>
                <w:szCs w:val="18"/>
                <w:color w:val="auto"/>
              </w:rPr>
              <w:t>/ /</w:t>
            </w:r>
          </w:p>
        </w:tc>
        <w:tc>
          <w:tcPr>
            <w:tcW w:w="7840" w:type="dxa"/>
            <w:vAlign w:val="bottom"/>
          </w:tcPr>
          <w:p>
            <w:pPr>
              <w:ind w:left="40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920" w:type="dxa"/>
            <w:vAlign w:val="bottom"/>
          </w:tcPr>
          <w:p>
            <w:pPr>
              <w:spacing w:after="0"/>
              <w:rPr>
                <w:sz w:val="24"/>
                <w:szCs w:val="24"/>
                <w:color w:val="auto"/>
              </w:rPr>
            </w:pPr>
          </w:p>
        </w:tc>
        <w:tc>
          <w:tcPr>
            <w:tcW w:w="1480" w:type="dxa"/>
            <w:vAlign w:val="bottom"/>
          </w:tcPr>
          <w:p>
            <w:pPr>
              <w:ind w:left="760"/>
              <w:spacing w:after="0"/>
              <w:rPr>
                <w:sz w:val="20"/>
                <w:szCs w:val="20"/>
                <w:color w:val="auto"/>
              </w:rPr>
            </w:pPr>
            <w:r>
              <w:rPr>
                <w:rFonts w:ascii="Arial" w:cs="Arial" w:eastAsia="Arial" w:hAnsi="Arial"/>
                <w:sz w:val="18"/>
                <w:szCs w:val="18"/>
                <w:color w:val="auto"/>
              </w:rPr>
              <w:t>(c)</w:t>
            </w:r>
          </w:p>
        </w:tc>
        <w:tc>
          <w:tcPr>
            <w:tcW w:w="900" w:type="dxa"/>
            <w:vAlign w:val="bottom"/>
          </w:tcPr>
          <w:p>
            <w:pPr>
              <w:ind w:left="300"/>
              <w:spacing w:after="0"/>
              <w:rPr>
                <w:sz w:val="20"/>
                <w:szCs w:val="20"/>
                <w:color w:val="auto"/>
              </w:rPr>
            </w:pPr>
            <w:r>
              <w:rPr>
                <w:rFonts w:ascii="Arial" w:cs="Arial" w:eastAsia="Arial" w:hAnsi="Arial"/>
                <w:sz w:val="18"/>
                <w:szCs w:val="18"/>
                <w:color w:val="auto"/>
              </w:rPr>
              <w:t>/ /</w:t>
            </w:r>
          </w:p>
        </w:tc>
        <w:tc>
          <w:tcPr>
            <w:tcW w:w="7840" w:type="dxa"/>
            <w:vAlign w:val="bottom"/>
          </w:tcPr>
          <w:p>
            <w:pPr>
              <w:ind w:left="40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920" w:type="dxa"/>
            <w:vAlign w:val="bottom"/>
          </w:tcPr>
          <w:p>
            <w:pPr>
              <w:spacing w:after="0"/>
              <w:rPr>
                <w:sz w:val="24"/>
                <w:szCs w:val="24"/>
                <w:color w:val="auto"/>
              </w:rPr>
            </w:pPr>
          </w:p>
        </w:tc>
        <w:tc>
          <w:tcPr>
            <w:tcW w:w="1480" w:type="dxa"/>
            <w:vAlign w:val="bottom"/>
          </w:tcPr>
          <w:p>
            <w:pPr>
              <w:ind w:left="760"/>
              <w:spacing w:after="0"/>
              <w:rPr>
                <w:sz w:val="20"/>
                <w:szCs w:val="20"/>
                <w:color w:val="auto"/>
              </w:rPr>
            </w:pPr>
            <w:r>
              <w:rPr>
                <w:rFonts w:ascii="Arial" w:cs="Arial" w:eastAsia="Arial" w:hAnsi="Arial"/>
                <w:sz w:val="18"/>
                <w:szCs w:val="18"/>
                <w:color w:val="auto"/>
              </w:rPr>
              <w:t>(d)</w:t>
            </w:r>
          </w:p>
        </w:tc>
        <w:tc>
          <w:tcPr>
            <w:tcW w:w="900" w:type="dxa"/>
            <w:vAlign w:val="bottom"/>
          </w:tcPr>
          <w:p>
            <w:pPr>
              <w:ind w:left="300"/>
              <w:spacing w:after="0"/>
              <w:rPr>
                <w:sz w:val="20"/>
                <w:szCs w:val="20"/>
                <w:color w:val="auto"/>
              </w:rPr>
            </w:pPr>
            <w:r>
              <w:rPr>
                <w:rFonts w:ascii="Arial" w:cs="Arial" w:eastAsia="Arial" w:hAnsi="Arial"/>
                <w:sz w:val="18"/>
                <w:szCs w:val="18"/>
                <w:color w:val="auto"/>
              </w:rPr>
              <w:t>/ /</w:t>
            </w:r>
          </w:p>
        </w:tc>
        <w:tc>
          <w:tcPr>
            <w:tcW w:w="7840" w:type="dxa"/>
            <w:vAlign w:val="bottom"/>
          </w:tcPr>
          <w:p>
            <w:pPr>
              <w:ind w:left="40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920" w:type="dxa"/>
            <w:vAlign w:val="bottom"/>
          </w:tcPr>
          <w:p>
            <w:pPr>
              <w:spacing w:after="0"/>
              <w:rPr>
                <w:sz w:val="24"/>
                <w:szCs w:val="24"/>
                <w:color w:val="auto"/>
              </w:rPr>
            </w:pPr>
          </w:p>
        </w:tc>
        <w:tc>
          <w:tcPr>
            <w:tcW w:w="1480" w:type="dxa"/>
            <w:vAlign w:val="bottom"/>
          </w:tcPr>
          <w:p>
            <w:pPr>
              <w:ind w:left="760"/>
              <w:spacing w:after="0"/>
              <w:rPr>
                <w:sz w:val="20"/>
                <w:szCs w:val="20"/>
                <w:color w:val="auto"/>
              </w:rPr>
            </w:pPr>
            <w:r>
              <w:rPr>
                <w:rFonts w:ascii="Arial" w:cs="Arial" w:eastAsia="Arial" w:hAnsi="Arial"/>
                <w:sz w:val="18"/>
                <w:szCs w:val="18"/>
                <w:color w:val="auto"/>
              </w:rPr>
              <w:t>(e)</w:t>
            </w:r>
          </w:p>
        </w:tc>
        <w:tc>
          <w:tcPr>
            <w:tcW w:w="900" w:type="dxa"/>
            <w:vAlign w:val="bottom"/>
          </w:tcPr>
          <w:p>
            <w:pPr>
              <w:ind w:left="300"/>
              <w:spacing w:after="0"/>
              <w:rPr>
                <w:sz w:val="20"/>
                <w:szCs w:val="20"/>
                <w:color w:val="auto"/>
              </w:rPr>
            </w:pPr>
            <w:r>
              <w:rPr>
                <w:rFonts w:ascii="Arial" w:cs="Arial" w:eastAsia="Arial" w:hAnsi="Arial"/>
                <w:sz w:val="18"/>
                <w:szCs w:val="18"/>
                <w:color w:val="auto"/>
              </w:rPr>
              <w:t>/ /</w:t>
            </w:r>
          </w:p>
        </w:tc>
        <w:tc>
          <w:tcPr>
            <w:tcW w:w="7840" w:type="dxa"/>
            <w:vAlign w:val="bottom"/>
          </w:tcPr>
          <w:p>
            <w:pPr>
              <w:ind w:left="40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920" w:type="dxa"/>
            <w:vAlign w:val="bottom"/>
          </w:tcPr>
          <w:p>
            <w:pPr>
              <w:spacing w:after="0"/>
              <w:rPr>
                <w:sz w:val="24"/>
                <w:szCs w:val="24"/>
                <w:color w:val="auto"/>
              </w:rPr>
            </w:pPr>
          </w:p>
        </w:tc>
        <w:tc>
          <w:tcPr>
            <w:tcW w:w="1480" w:type="dxa"/>
            <w:vAlign w:val="bottom"/>
          </w:tcPr>
          <w:p>
            <w:pPr>
              <w:ind w:left="760"/>
              <w:spacing w:after="0"/>
              <w:rPr>
                <w:sz w:val="20"/>
                <w:szCs w:val="20"/>
                <w:color w:val="auto"/>
              </w:rPr>
            </w:pPr>
            <w:r>
              <w:rPr>
                <w:rFonts w:ascii="Arial" w:cs="Arial" w:eastAsia="Arial" w:hAnsi="Arial"/>
                <w:sz w:val="18"/>
                <w:szCs w:val="18"/>
                <w:color w:val="auto"/>
              </w:rPr>
              <w:t>(f)</w:t>
            </w:r>
          </w:p>
        </w:tc>
        <w:tc>
          <w:tcPr>
            <w:tcW w:w="900" w:type="dxa"/>
            <w:vAlign w:val="bottom"/>
          </w:tcPr>
          <w:p>
            <w:pPr>
              <w:ind w:left="300"/>
              <w:spacing w:after="0"/>
              <w:rPr>
                <w:sz w:val="20"/>
                <w:szCs w:val="20"/>
                <w:color w:val="auto"/>
              </w:rPr>
            </w:pPr>
            <w:r>
              <w:rPr>
                <w:rFonts w:ascii="Arial" w:cs="Arial" w:eastAsia="Arial" w:hAnsi="Arial"/>
                <w:sz w:val="18"/>
                <w:szCs w:val="18"/>
                <w:color w:val="auto"/>
              </w:rPr>
              <w:t>/ /</w:t>
            </w:r>
          </w:p>
        </w:tc>
        <w:tc>
          <w:tcPr>
            <w:tcW w:w="7840" w:type="dxa"/>
            <w:vAlign w:val="bottom"/>
          </w:tcPr>
          <w:p>
            <w:pPr>
              <w:ind w:left="40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32"/>
        </w:trPr>
        <w:tc>
          <w:tcPr>
            <w:tcW w:w="920" w:type="dxa"/>
            <w:vAlign w:val="bottom"/>
          </w:tcPr>
          <w:p>
            <w:pPr>
              <w:spacing w:after="0"/>
              <w:rPr>
                <w:sz w:val="24"/>
                <w:szCs w:val="24"/>
                <w:color w:val="auto"/>
              </w:rPr>
            </w:pPr>
          </w:p>
        </w:tc>
        <w:tc>
          <w:tcPr>
            <w:tcW w:w="1480" w:type="dxa"/>
            <w:vAlign w:val="bottom"/>
          </w:tcPr>
          <w:p>
            <w:pPr>
              <w:ind w:left="760"/>
              <w:spacing w:after="0"/>
              <w:rPr>
                <w:sz w:val="20"/>
                <w:szCs w:val="20"/>
                <w:color w:val="auto"/>
              </w:rPr>
            </w:pPr>
            <w:r>
              <w:rPr>
                <w:rFonts w:ascii="Arial" w:cs="Arial" w:eastAsia="Arial" w:hAnsi="Arial"/>
                <w:sz w:val="18"/>
                <w:szCs w:val="18"/>
                <w:color w:val="auto"/>
              </w:rPr>
              <w:t>(g)</w:t>
            </w:r>
          </w:p>
        </w:tc>
        <w:tc>
          <w:tcPr>
            <w:tcW w:w="900" w:type="dxa"/>
            <w:vAlign w:val="bottom"/>
          </w:tcPr>
          <w:p>
            <w:pPr>
              <w:ind w:left="300"/>
              <w:spacing w:after="0"/>
              <w:rPr>
                <w:sz w:val="20"/>
                <w:szCs w:val="20"/>
                <w:color w:val="auto"/>
              </w:rPr>
            </w:pPr>
            <w:r>
              <w:rPr>
                <w:rFonts w:ascii="Arial" w:cs="Arial" w:eastAsia="Arial" w:hAnsi="Arial"/>
                <w:sz w:val="18"/>
                <w:szCs w:val="18"/>
                <w:color w:val="auto"/>
              </w:rPr>
              <w:t>/ /</w:t>
            </w:r>
          </w:p>
        </w:tc>
        <w:tc>
          <w:tcPr>
            <w:tcW w:w="7840" w:type="dxa"/>
            <w:vAlign w:val="bottom"/>
          </w:tcPr>
          <w:p>
            <w:pPr>
              <w:ind w:left="40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920" w:type="dxa"/>
            <w:vAlign w:val="bottom"/>
          </w:tcPr>
          <w:p>
            <w:pPr>
              <w:spacing w:after="0"/>
              <w:rPr>
                <w:sz w:val="24"/>
                <w:szCs w:val="24"/>
                <w:color w:val="auto"/>
              </w:rPr>
            </w:pPr>
          </w:p>
        </w:tc>
        <w:tc>
          <w:tcPr>
            <w:tcW w:w="1480" w:type="dxa"/>
            <w:vAlign w:val="bottom"/>
          </w:tcPr>
          <w:p>
            <w:pPr>
              <w:ind w:left="760"/>
              <w:spacing w:after="0"/>
              <w:rPr>
                <w:sz w:val="20"/>
                <w:szCs w:val="20"/>
                <w:color w:val="auto"/>
              </w:rPr>
            </w:pPr>
            <w:r>
              <w:rPr>
                <w:rFonts w:ascii="Arial" w:cs="Arial" w:eastAsia="Arial" w:hAnsi="Arial"/>
                <w:sz w:val="18"/>
                <w:szCs w:val="18"/>
                <w:color w:val="auto"/>
              </w:rPr>
              <w:t>(h)</w:t>
            </w:r>
          </w:p>
        </w:tc>
        <w:tc>
          <w:tcPr>
            <w:tcW w:w="900" w:type="dxa"/>
            <w:vAlign w:val="bottom"/>
          </w:tcPr>
          <w:p>
            <w:pPr>
              <w:ind w:left="300"/>
              <w:spacing w:after="0"/>
              <w:rPr>
                <w:sz w:val="20"/>
                <w:szCs w:val="20"/>
                <w:color w:val="auto"/>
              </w:rPr>
            </w:pPr>
            <w:r>
              <w:rPr>
                <w:rFonts w:ascii="Arial" w:cs="Arial" w:eastAsia="Arial" w:hAnsi="Arial"/>
                <w:sz w:val="18"/>
                <w:szCs w:val="18"/>
                <w:color w:val="auto"/>
              </w:rPr>
              <w:t>/ /</w:t>
            </w:r>
          </w:p>
        </w:tc>
        <w:tc>
          <w:tcPr>
            <w:tcW w:w="7840" w:type="dxa"/>
            <w:vAlign w:val="bottom"/>
          </w:tcPr>
          <w:p>
            <w:pPr>
              <w:ind w:left="40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8"/>
        </w:trPr>
        <w:tc>
          <w:tcPr>
            <w:tcW w:w="920" w:type="dxa"/>
            <w:vAlign w:val="bottom"/>
          </w:tcPr>
          <w:p>
            <w:pPr>
              <w:spacing w:after="0"/>
              <w:rPr>
                <w:sz w:val="24"/>
                <w:szCs w:val="24"/>
                <w:color w:val="auto"/>
              </w:rPr>
            </w:pPr>
          </w:p>
        </w:tc>
        <w:tc>
          <w:tcPr>
            <w:tcW w:w="1480" w:type="dxa"/>
            <w:vAlign w:val="bottom"/>
          </w:tcPr>
          <w:p>
            <w:pPr>
              <w:ind w:left="760"/>
              <w:spacing w:after="0"/>
              <w:rPr>
                <w:sz w:val="20"/>
                <w:szCs w:val="20"/>
                <w:color w:val="auto"/>
              </w:rPr>
            </w:pPr>
            <w:r>
              <w:rPr>
                <w:rFonts w:ascii="Arial" w:cs="Arial" w:eastAsia="Arial" w:hAnsi="Arial"/>
                <w:sz w:val="18"/>
                <w:szCs w:val="18"/>
                <w:color w:val="auto"/>
              </w:rPr>
              <w:t>(i)</w:t>
            </w:r>
          </w:p>
        </w:tc>
        <w:tc>
          <w:tcPr>
            <w:tcW w:w="900" w:type="dxa"/>
            <w:vAlign w:val="bottom"/>
          </w:tcPr>
          <w:p>
            <w:pPr>
              <w:ind w:left="300"/>
              <w:spacing w:after="0"/>
              <w:rPr>
                <w:sz w:val="20"/>
                <w:szCs w:val="20"/>
                <w:color w:val="auto"/>
              </w:rPr>
            </w:pPr>
            <w:r>
              <w:rPr>
                <w:rFonts w:ascii="Arial" w:cs="Arial" w:eastAsia="Arial" w:hAnsi="Arial"/>
                <w:sz w:val="18"/>
                <w:szCs w:val="18"/>
                <w:color w:val="auto"/>
              </w:rPr>
              <w:t>/ /</w:t>
            </w:r>
          </w:p>
        </w:tc>
        <w:tc>
          <w:tcPr>
            <w:tcW w:w="7840" w:type="dxa"/>
            <w:vAlign w:val="bottom"/>
          </w:tcPr>
          <w:p>
            <w:pPr>
              <w:ind w:left="40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w:t>
            </w:r>
          </w:p>
        </w:tc>
      </w:tr>
      <w:tr>
        <w:trPr>
          <w:trHeight w:val="230"/>
        </w:trPr>
        <w:tc>
          <w:tcPr>
            <w:tcW w:w="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the Investment Company Act.</w:t>
            </w:r>
          </w:p>
        </w:tc>
      </w:tr>
      <w:tr>
        <w:trPr>
          <w:trHeight w:val="432"/>
        </w:trPr>
        <w:tc>
          <w:tcPr>
            <w:tcW w:w="920" w:type="dxa"/>
            <w:vAlign w:val="bottom"/>
          </w:tcPr>
          <w:p>
            <w:pPr>
              <w:spacing w:after="0"/>
              <w:rPr>
                <w:sz w:val="24"/>
                <w:szCs w:val="24"/>
                <w:color w:val="auto"/>
              </w:rPr>
            </w:pPr>
          </w:p>
        </w:tc>
        <w:tc>
          <w:tcPr>
            <w:tcW w:w="1480" w:type="dxa"/>
            <w:vAlign w:val="bottom"/>
          </w:tcPr>
          <w:p>
            <w:pPr>
              <w:ind w:left="760"/>
              <w:spacing w:after="0"/>
              <w:rPr>
                <w:sz w:val="20"/>
                <w:szCs w:val="20"/>
                <w:color w:val="auto"/>
              </w:rPr>
            </w:pPr>
            <w:r>
              <w:rPr>
                <w:rFonts w:ascii="Arial" w:cs="Arial" w:eastAsia="Arial" w:hAnsi="Arial"/>
                <w:sz w:val="18"/>
                <w:szCs w:val="18"/>
                <w:color w:val="auto"/>
              </w:rPr>
              <w:t>(j)</w:t>
            </w:r>
          </w:p>
        </w:tc>
        <w:tc>
          <w:tcPr>
            <w:tcW w:w="900" w:type="dxa"/>
            <w:vAlign w:val="bottom"/>
          </w:tcPr>
          <w:p>
            <w:pPr>
              <w:ind w:left="300"/>
              <w:spacing w:after="0"/>
              <w:rPr>
                <w:sz w:val="20"/>
                <w:szCs w:val="20"/>
                <w:color w:val="auto"/>
              </w:rPr>
            </w:pPr>
            <w:r>
              <w:rPr>
                <w:rFonts w:ascii="Arial" w:cs="Arial" w:eastAsia="Arial" w:hAnsi="Arial"/>
                <w:sz w:val="18"/>
                <w:szCs w:val="18"/>
                <w:color w:val="auto"/>
              </w:rPr>
              <w:t>/ /</w:t>
            </w:r>
          </w:p>
        </w:tc>
        <w:tc>
          <w:tcPr>
            <w:tcW w:w="7840" w:type="dxa"/>
            <w:vAlign w:val="bottom"/>
          </w:tcPr>
          <w:p>
            <w:pPr>
              <w:ind w:left="400"/>
              <w:spacing w:after="0"/>
              <w:rPr>
                <w:sz w:val="20"/>
                <w:szCs w:val="20"/>
                <w:color w:val="auto"/>
              </w:rPr>
            </w:pPr>
            <w:r>
              <w:rPr>
                <w:rFonts w:ascii="Arial" w:cs="Arial" w:eastAsia="Arial" w:hAnsi="Arial"/>
                <w:sz w:val="18"/>
                <w:szCs w:val="18"/>
                <w:color w:val="auto"/>
              </w:rPr>
              <w:t>A non-U.S. institution in accordance with Rule 13d-1(b)(1)(ii)(J).</w:t>
            </w:r>
          </w:p>
        </w:tc>
      </w:tr>
      <w:tr>
        <w:trPr>
          <w:trHeight w:val="432"/>
        </w:trPr>
        <w:tc>
          <w:tcPr>
            <w:tcW w:w="920" w:type="dxa"/>
            <w:vAlign w:val="bottom"/>
          </w:tcPr>
          <w:p>
            <w:pPr>
              <w:spacing w:after="0"/>
              <w:rPr>
                <w:sz w:val="24"/>
                <w:szCs w:val="24"/>
                <w:color w:val="auto"/>
              </w:rPr>
            </w:pPr>
          </w:p>
        </w:tc>
        <w:tc>
          <w:tcPr>
            <w:tcW w:w="1480" w:type="dxa"/>
            <w:vAlign w:val="bottom"/>
          </w:tcPr>
          <w:p>
            <w:pPr>
              <w:ind w:left="760"/>
              <w:spacing w:after="0"/>
              <w:rPr>
                <w:sz w:val="20"/>
                <w:szCs w:val="20"/>
                <w:color w:val="auto"/>
              </w:rPr>
            </w:pPr>
            <w:r>
              <w:rPr>
                <w:rFonts w:ascii="Arial" w:cs="Arial" w:eastAsia="Arial" w:hAnsi="Arial"/>
                <w:sz w:val="18"/>
                <w:szCs w:val="18"/>
                <w:color w:val="auto"/>
              </w:rPr>
              <w:t>(k)</w:t>
            </w:r>
          </w:p>
        </w:tc>
        <w:tc>
          <w:tcPr>
            <w:tcW w:w="900" w:type="dxa"/>
            <w:vAlign w:val="bottom"/>
          </w:tcPr>
          <w:p>
            <w:pPr>
              <w:ind w:left="300"/>
              <w:spacing w:after="0"/>
              <w:rPr>
                <w:sz w:val="20"/>
                <w:szCs w:val="20"/>
                <w:color w:val="auto"/>
              </w:rPr>
            </w:pPr>
            <w:r>
              <w:rPr>
                <w:rFonts w:ascii="Arial" w:cs="Arial" w:eastAsia="Arial" w:hAnsi="Arial"/>
                <w:sz w:val="18"/>
                <w:szCs w:val="18"/>
                <w:color w:val="auto"/>
              </w:rPr>
              <w:t>/ /</w:t>
            </w:r>
          </w:p>
        </w:tc>
        <w:tc>
          <w:tcPr>
            <w:tcW w:w="7840" w:type="dxa"/>
            <w:vAlign w:val="bottom"/>
          </w:tcPr>
          <w:p>
            <w:pPr>
              <w:ind w:left="400"/>
              <w:spacing w:after="0"/>
              <w:rPr>
                <w:sz w:val="20"/>
                <w:szCs w:val="20"/>
                <w:color w:val="auto"/>
              </w:rPr>
            </w:pPr>
            <w:r>
              <w:rPr>
                <w:rFonts w:ascii="Arial" w:cs="Arial" w:eastAsia="Arial" w:hAnsi="Arial"/>
                <w:sz w:val="18"/>
                <w:szCs w:val="18"/>
                <w:color w:val="auto"/>
              </w:rPr>
              <w:t>Group, in accordance with Rule 240.13d-1(b)(1)(ii)(K).</w:t>
            </w:r>
          </w:p>
        </w:tc>
      </w:tr>
      <w:tr>
        <w:trPr>
          <w:trHeight w:val="418"/>
        </w:trPr>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w w:val="96"/>
              </w:rPr>
              <w:t>If filing as a non-U.S. institution in accordance with Rule 240.13d-1(b)(1)(ii)(J), please specify the</w:t>
            </w:r>
          </w:p>
        </w:tc>
      </w:tr>
      <w:tr>
        <w:trPr>
          <w:trHeight w:val="230"/>
        </w:trPr>
        <w:tc>
          <w:tcPr>
            <w:tcW w:w="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type of institution: ____</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480" w:type="dxa"/>
            <w:vAlign w:val="bottom"/>
          </w:tcPr>
          <w:p>
            <w:pPr>
              <w:ind w:left="380"/>
              <w:spacing w:after="0"/>
              <w:rPr>
                <w:sz w:val="20"/>
                <w:szCs w:val="20"/>
                <w:color w:val="auto"/>
              </w:rPr>
            </w:pPr>
            <w:r>
              <w:rPr>
                <w:rFonts w:ascii="Arial" w:cs="Arial" w:eastAsia="Arial" w:hAnsi="Arial"/>
                <w:sz w:val="18"/>
                <w:szCs w:val="18"/>
                <w:color w:val="auto"/>
              </w:rPr>
              <w:t>Ownership</w:t>
            </w:r>
          </w:p>
        </w:tc>
        <w:tc>
          <w:tcPr>
            <w:tcW w:w="900" w:type="dxa"/>
            <w:vAlign w:val="bottom"/>
          </w:tcPr>
          <w:p>
            <w:pPr>
              <w:spacing w:after="0"/>
              <w:rPr>
                <w:sz w:val="24"/>
                <w:szCs w:val="24"/>
                <w:color w:val="auto"/>
              </w:rPr>
            </w:pPr>
          </w:p>
        </w:tc>
        <w:tc>
          <w:tcPr>
            <w:tcW w:w="7840" w:type="dxa"/>
            <w:vAlign w:val="bottom"/>
          </w:tcPr>
          <w:p>
            <w:pPr>
              <w:spacing w:after="0"/>
              <w:rPr>
                <w:sz w:val="24"/>
                <w:szCs w:val="24"/>
                <w:color w:val="auto"/>
              </w:rPr>
            </w:pPr>
          </w:p>
        </w:tc>
      </w:tr>
    </w:tbl>
    <w:p>
      <w:pPr>
        <w:spacing w:after="0" w:line="202"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As of the close of business on December 31, 2021, (i) Solar Projects beneficially owned 6,148,821 shares of Common Stock, (ii) Comeg LLC beneficially owned 89,744 shares of Common Stock, and (iii) Mr. Gimbel beneficially owned 6,000 shares of Common Stock through his individual retirement account.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2"/>
          <w:szCs w:val="22"/>
          <w:color w:val="auto"/>
        </w:rPr>
        <w:t>CUSIP No. 13057Q305</w:t>
      </w:r>
    </w:p>
    <w:p>
      <w:pPr>
        <w:spacing w:after="0" w:line="213"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Solar Trust, as the sole member of Solar Projects, may be deemed to beneficially own the 6,148,821 shares of Common Stock beneficially owned by Solar Projects.</w:t>
      </w:r>
    </w:p>
    <w:p>
      <w:pPr>
        <w:spacing w:after="0" w:line="17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Comeg Trust, as the controlling member of Comeg LLC, may be deemed to beneficially own the 89,744 shares of Common Stock beneficially owned by Comeg LLC.</w:t>
      </w:r>
    </w:p>
    <w:p>
      <w:pPr>
        <w:spacing w:after="0" w:line="170"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Mr. Gimbel, as the manager of Solar Projects and the trustee of Solar Trust, may be deemed to beneficially own the 6,148,821 shares of Common Stock beneficially owned by Solar Projects, and, as the manager of Comeg LLC and the trustee of Comeg Trust, may be deemed to beneficially own the 89,744 shares of Common Stock beneficially owned by Comeg LLC.</w:t>
      </w:r>
    </w:p>
    <w:p>
      <w:pPr>
        <w:spacing w:after="0" w:line="165" w:lineRule="exact"/>
        <w:rPr>
          <w:sz w:val="20"/>
          <w:szCs w:val="20"/>
          <w:color w:val="auto"/>
        </w:rPr>
      </w:pPr>
    </w:p>
    <w:p>
      <w:pPr>
        <w:jc w:val="both"/>
        <w:ind w:left="1300"/>
        <w:spacing w:after="0" w:line="275" w:lineRule="auto"/>
        <w:rPr>
          <w:sz w:val="20"/>
          <w:szCs w:val="20"/>
          <w:color w:val="auto"/>
        </w:rPr>
      </w:pPr>
      <w:r>
        <w:rPr>
          <w:rFonts w:ascii="Arial" w:cs="Arial" w:eastAsia="Arial" w:hAnsi="Arial"/>
          <w:sz w:val="17"/>
          <w:szCs w:val="17"/>
          <w:color w:val="auto"/>
        </w:rPr>
        <w:t>The foregoing should not be construed in and of itself as an admission by any Reporting Person as to beneficial ownership of any shares of Common Stock owned by another Reporting Person. Each of Solar Trust and Mr. Gimbel disclaims beneficial ownership of the shares of Common Stock beneficially owned by Solar Projects. Each of Comeg Trust and Mr. Gimbel disclaims beneficial ownership of the shares of Common Stock beneficially owned by Comeg LLC. The filing of this statement shall not be construed as an admission that any such person or entity is the beneficial owner of any such securities.</w:t>
      </w:r>
    </w:p>
    <w:p>
      <w:pPr>
        <w:spacing w:after="0" w:line="17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spacing w:after="0" w:line="308" w:lineRule="auto"/>
        <w:rPr>
          <w:rFonts w:ascii="Arial" w:cs="Arial" w:eastAsia="Arial" w:hAnsi="Arial"/>
          <w:sz w:val="18"/>
          <w:szCs w:val="18"/>
          <w:color w:val="auto"/>
        </w:rPr>
      </w:pPr>
      <w:r>
        <w:rPr>
          <w:rFonts w:ascii="Arial" w:cs="Arial" w:eastAsia="Arial" w:hAnsi="Arial"/>
          <w:sz w:val="17"/>
          <w:szCs w:val="17"/>
          <w:color w:val="auto"/>
        </w:rPr>
        <w:t>The following percentages are based on 80,392,897 shares of Common Stock outstanding as of October 31, 2021, as represented in the Issuer’s quarterly report on Form 10-Q filed with the Securities and Exchange Commission on November 12, 2021.</w:t>
      </w:r>
    </w:p>
    <w:p>
      <w:pPr>
        <w:spacing w:after="0" w:line="146"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As of the close of business on December 31, 2021, (i) Solar Projects beneficially owned and Solar Trust may be deemed to beneficially own approximately 7.65% of the outstanding shares of Common Stock, (ii) Comeg LLC beneficially owned and Comeg Trust may be deemed to beneficially own less than 1% of the outstanding shares of Common Stock, and (iii) Mr. Gimbel may be deemed to beneficially own 7.77% of the outstanding shares of Common Stock.</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right="7120" w:hanging="644"/>
        <w:spacing w:after="0" w:line="50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spacing w:after="0" w:line="1" w:lineRule="exact"/>
        <w:rPr>
          <w:rFonts w:ascii="Arial" w:cs="Arial" w:eastAsia="Arial" w:hAnsi="Arial"/>
          <w:sz w:val="18"/>
          <w:szCs w:val="18"/>
          <w:color w:val="auto"/>
        </w:rPr>
      </w:pPr>
    </w:p>
    <w:p>
      <w:pPr>
        <w:ind w:left="1300" w:right="6940" w:hanging="644"/>
        <w:spacing w:after="0" w:line="50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spacing w:after="0" w:line="1" w:lineRule="exact"/>
        <w:rPr>
          <w:rFonts w:ascii="Arial" w:cs="Arial" w:eastAsia="Arial" w:hAnsi="Arial"/>
          <w:sz w:val="18"/>
          <w:szCs w:val="18"/>
          <w:color w:val="auto"/>
        </w:rPr>
      </w:pPr>
    </w:p>
    <w:p>
      <w:pPr>
        <w:ind w:left="1300" w:right="6220" w:hanging="644"/>
        <w:spacing w:after="0" w:line="50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spacing w:after="0" w:line="1" w:lineRule="exact"/>
        <w:rPr>
          <w:rFonts w:ascii="Arial" w:cs="Arial" w:eastAsia="Arial" w:hAnsi="Arial"/>
          <w:sz w:val="18"/>
          <w:szCs w:val="18"/>
          <w:color w:val="auto"/>
        </w:rPr>
      </w:pPr>
    </w:p>
    <w:p>
      <w:pPr>
        <w:ind w:left="1300" w:right="6040" w:hanging="644"/>
        <w:spacing w:after="0" w:line="50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13057Q305</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Solar Trust and Mr. Gimbel may be deemed to share voting and dispositive power over the shares of Common Stock beneficially owned by Solar Projects. Comeg Trust and Mr. Gimbel may be deemed to share voting and dispositive power over the shares of Common Stock beneficially owned by Comeg LLC.</w:t>
      </w:r>
    </w:p>
    <w:p>
      <w:pPr>
        <w:spacing w:after="0" w:line="184" w:lineRule="exact"/>
        <w:rPr>
          <w:sz w:val="20"/>
          <w:szCs w:val="20"/>
          <w:color w:val="auto"/>
        </w:rPr>
      </w:pPr>
    </w:p>
    <w:p>
      <w:pPr>
        <w:jc w:val="both"/>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See Exhibit 99.1 to the Schedule 13G filed by JB Investors, LLC with the Securities and Exchange Commission on April 19, 2021.</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13057Q305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JB INVESTORS, LLC</w:t>
      </w:r>
    </w:p>
    <w:p>
      <w:pPr>
        <w:spacing w:after="0" w:line="225"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Manager</w:t>
            </w:r>
          </w:p>
        </w:tc>
      </w:tr>
      <w:tr>
        <w:trPr>
          <w:trHeight w:val="648"/>
        </w:trPr>
        <w:tc>
          <w:tcPr>
            <w:tcW w:w="5300" w:type="dxa"/>
            <w:vAlign w:val="bottom"/>
            <w:gridSpan w:val="2"/>
          </w:tcPr>
          <w:p>
            <w:pPr>
              <w:spacing w:after="0"/>
              <w:rPr>
                <w:sz w:val="20"/>
                <w:szCs w:val="20"/>
                <w:color w:val="auto"/>
              </w:rPr>
            </w:pPr>
            <w:r>
              <w:rPr>
                <w:rFonts w:ascii="Arial" w:cs="Arial" w:eastAsia="Arial" w:hAnsi="Arial"/>
                <w:sz w:val="18"/>
                <w:szCs w:val="18"/>
                <w:color w:val="auto"/>
              </w:rPr>
              <w:t>SOLAR PROJECTS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Manager</w:t>
            </w:r>
          </w:p>
        </w:tc>
      </w:tr>
      <w:tr>
        <w:trPr>
          <w:trHeight w:val="648"/>
        </w:trPr>
        <w:tc>
          <w:tcPr>
            <w:tcW w:w="5300" w:type="dxa"/>
            <w:vAlign w:val="bottom"/>
            <w:gridSpan w:val="2"/>
          </w:tcPr>
          <w:p>
            <w:pPr>
              <w:spacing w:after="0"/>
              <w:rPr>
                <w:sz w:val="20"/>
                <w:szCs w:val="20"/>
                <w:color w:val="auto"/>
              </w:rPr>
            </w:pPr>
            <w:r>
              <w:rPr>
                <w:rFonts w:ascii="Arial" w:cs="Arial" w:eastAsia="Arial" w:hAnsi="Arial"/>
                <w:sz w:val="18"/>
                <w:szCs w:val="18"/>
                <w:color w:val="auto"/>
              </w:rPr>
              <w:t>SOLAR TRUST NO. 2</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Trustee</w:t>
            </w:r>
          </w:p>
        </w:tc>
      </w:tr>
      <w:tr>
        <w:trPr>
          <w:trHeight w:val="648"/>
        </w:trPr>
        <w:tc>
          <w:tcPr>
            <w:tcW w:w="5300" w:type="dxa"/>
            <w:vAlign w:val="bottom"/>
            <w:gridSpan w:val="2"/>
          </w:tcPr>
          <w:p>
            <w:pPr>
              <w:spacing w:after="0"/>
              <w:rPr>
                <w:sz w:val="20"/>
                <w:szCs w:val="20"/>
                <w:color w:val="auto"/>
              </w:rPr>
            </w:pPr>
            <w:r>
              <w:rPr>
                <w:rFonts w:ascii="Arial" w:cs="Arial" w:eastAsia="Arial" w:hAnsi="Arial"/>
                <w:sz w:val="18"/>
                <w:szCs w:val="18"/>
                <w:color w:val="auto"/>
              </w:rPr>
              <w:t>COMEG TRUST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Manager</w:t>
            </w: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rPr>
              <w:t>COMEG TRUST</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Trustee</w:t>
            </w:r>
          </w:p>
        </w:tc>
      </w:tr>
    </w:tbl>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Daniel Scott Gimbel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33686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DANIEL SCOTT GIMBEL</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22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2022-02-14T15:10:15Z</dcterms:created>
  <dcterms:modified xsi:type="dcterms:W3CDTF">2022-02-14T15:10:15Z</dcterms:modified>
</cp:coreProperties>
</file>