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Repetti Noelle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Vice President and Controller</w:t>
      </w:r>
    </w:p>
    <w:p>
      <w:pPr>
        <w:spacing w:after="0" w:line="33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91355</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2,545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2"/>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25,211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0"/>
              <w:spacing w:after="0"/>
              <w:rPr>
                <w:sz w:val="20"/>
                <w:szCs w:val="20"/>
                <w:color w:val="auto"/>
              </w:rPr>
            </w:pPr>
            <w:r>
              <w:rPr>
                <w:rFonts w:ascii="Arial" w:cs="Arial" w:eastAsia="Arial" w:hAnsi="Arial"/>
                <w:sz w:val="27"/>
                <w:szCs w:val="27"/>
                <w:color w:val="0000FF"/>
                <w:w w:val="90"/>
                <w:vertAlign w:val="subscript"/>
              </w:rPr>
              <w:t>D</w:t>
            </w:r>
            <w:r>
              <w:rPr>
                <w:rFonts w:ascii="Arial" w:cs="Arial" w:eastAsia="Arial" w:hAnsi="Arial"/>
                <w:sz w:val="11"/>
                <w:szCs w:val="11"/>
                <w:color w:val="008000"/>
                <w:w w:val="90"/>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1,018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22.18</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24,193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20"/>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244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22.18</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23,949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02/20/2019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2,545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2,545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5,089</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vesting of one-third of 7,634 Restricted Stock Units (RSUs) granted on February 21, 2018. Each RSU was the economic equivalent of one share of California Resources Corporation (CRC) common stock. On February 20, 2019, 1,018 of the reporting person's RSUs were settled for cash, and the remaining 1,527 were settled for an equal number of shares of CRC common stock.</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One-third of the RSUs vested on February 20, 2019; the remaining RSUs vest in two equal annual installments beginning February 20,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Ulrik Damborg,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02/22/2019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6"/>
              </w:rPr>
              <w:t>in-Fact for Noelle M. Repetti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2"/>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505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2019-12-24T08:45:55Z</dcterms:created>
  <dcterms:modified xsi:type="dcterms:W3CDTF">2019-12-24T08:45:55Z</dcterms:modified>
</cp:coreProperties>
</file>