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2942590</wp:posOffset>
            </wp:positionH>
            <wp:positionV relativeFrom="page">
              <wp:posOffset>294640</wp:posOffset>
            </wp:positionV>
            <wp:extent cx="166306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037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March 27, 2020</w:t>
      </w:r>
    </w:p>
    <w:p>
      <w:pPr>
        <w:spacing w:after="0" w:line="187"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17" w:lineRule="auto"/>
        <w:rPr>
          <w:sz w:val="20"/>
          <w:szCs w:val="20"/>
          <w:color w:val="auto"/>
        </w:rPr>
      </w:pPr>
      <w:r>
        <w:rPr>
          <w:rFonts w:ascii="Arial" w:cs="Arial" w:eastAsia="Arial" w:hAnsi="Arial"/>
          <w:sz w:val="22"/>
          <w:szCs w:val="22"/>
          <w:color w:val="auto"/>
        </w:rPr>
        <w:t>Office of Energy &amp; Transportation</w:t>
      </w:r>
    </w:p>
    <w:p>
      <w:pPr>
        <w:spacing w:after="0" w:line="218" w:lineRule="auto"/>
        <w:rPr>
          <w:sz w:val="20"/>
          <w:szCs w:val="20"/>
          <w:color w:val="auto"/>
        </w:rPr>
      </w:pPr>
      <w:r>
        <w:rPr>
          <w:rFonts w:ascii="Arial" w:cs="Arial" w:eastAsia="Arial" w:hAnsi="Arial"/>
          <w:sz w:val="22"/>
          <w:szCs w:val="22"/>
          <w:color w:val="auto"/>
        </w:rPr>
        <w:t>United States Securities and Exchange Commission</w:t>
      </w:r>
    </w:p>
    <w:p>
      <w:pPr>
        <w:spacing w:after="0" w:line="21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20549-3561</w:t>
      </w:r>
    </w:p>
    <w:p>
      <w:pPr>
        <w:spacing w:after="0" w:line="175" w:lineRule="exact"/>
        <w:rPr>
          <w:sz w:val="24"/>
          <w:szCs w:val="24"/>
          <w:color w:val="auto"/>
        </w:rPr>
      </w:pPr>
    </w:p>
    <w:p>
      <w:pPr>
        <w:spacing w:after="0"/>
        <w:tabs>
          <w:tab w:leader="none" w:pos="4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California Resources Corporation</w:t>
      </w:r>
    </w:p>
    <w:p>
      <w:pPr>
        <w:ind w:left="660"/>
        <w:spacing w:after="0" w:line="225" w:lineRule="auto"/>
        <w:rPr>
          <w:sz w:val="20"/>
          <w:szCs w:val="20"/>
          <w:color w:val="auto"/>
        </w:rPr>
      </w:pPr>
      <w:r>
        <w:rPr>
          <w:rFonts w:ascii="Arial" w:cs="Arial" w:eastAsia="Arial" w:hAnsi="Arial"/>
          <w:sz w:val="22"/>
          <w:szCs w:val="22"/>
          <w:color w:val="auto"/>
        </w:rPr>
        <w:t>Post-Effective Amendment No. 1 to Form S-3</w:t>
      </w:r>
    </w:p>
    <w:p>
      <w:pPr>
        <w:ind w:left="660"/>
        <w:spacing w:after="0" w:line="218" w:lineRule="auto"/>
        <w:rPr>
          <w:sz w:val="20"/>
          <w:szCs w:val="20"/>
          <w:color w:val="auto"/>
        </w:rPr>
      </w:pPr>
      <w:r>
        <w:rPr>
          <w:rFonts w:ascii="Arial" w:cs="Arial" w:eastAsia="Arial" w:hAnsi="Arial"/>
          <w:sz w:val="22"/>
          <w:szCs w:val="22"/>
          <w:color w:val="auto"/>
        </w:rPr>
        <w:t>Filed on February 26, 2020</w:t>
      </w:r>
    </w:p>
    <w:p>
      <w:pPr>
        <w:ind w:left="660"/>
        <w:spacing w:after="0"/>
        <w:rPr>
          <w:sz w:val="20"/>
          <w:szCs w:val="20"/>
          <w:color w:val="auto"/>
        </w:rPr>
      </w:pPr>
      <w:r>
        <w:rPr>
          <w:rFonts w:ascii="Arial" w:cs="Arial" w:eastAsia="Arial" w:hAnsi="Arial"/>
          <w:sz w:val="22"/>
          <w:szCs w:val="22"/>
          <w:color w:val="auto"/>
        </w:rPr>
        <w:t>File No. 333-233289</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93" w:lineRule="exact"/>
        <w:rPr>
          <w:sz w:val="24"/>
          <w:szCs w:val="24"/>
          <w:color w:val="auto"/>
        </w:rPr>
      </w:pPr>
    </w:p>
    <w:p>
      <w:pPr>
        <w:jc w:val="both"/>
        <w:ind w:firstLine="648"/>
        <w:spacing w:after="0" w:line="226" w:lineRule="auto"/>
        <w:rPr>
          <w:sz w:val="20"/>
          <w:szCs w:val="20"/>
          <w:color w:val="auto"/>
        </w:rPr>
      </w:pPr>
      <w:r>
        <w:rPr>
          <w:rFonts w:ascii="Arial" w:cs="Arial" w:eastAsia="Arial" w:hAnsi="Arial"/>
          <w:sz w:val="22"/>
          <w:szCs w:val="22"/>
          <w:color w:val="auto"/>
        </w:rPr>
        <w:t>Set forth below are the responses of California Resources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t>
      </w:r>
      <w:r>
        <w:rPr>
          <w:rFonts w:ascii="Arial" w:cs="Arial" w:eastAsia="Arial" w:hAnsi="Arial"/>
          <w:sz w:val="22"/>
          <w:szCs w:val="22"/>
          <w:b w:val="1"/>
          <w:bCs w:val="1"/>
          <w:i w:val="1"/>
          <w:iCs w:val="1"/>
          <w:color w:val="auto"/>
        </w:rPr>
        <w:t>we</w:t>
      </w:r>
      <w:r>
        <w:rPr>
          <w:rFonts w:ascii="Arial" w:cs="Arial" w:eastAsia="Arial" w:hAnsi="Arial"/>
          <w:sz w:val="22"/>
          <w:szCs w:val="22"/>
          <w:color w:val="auto"/>
        </w:rPr>
        <w:t>,” “</w:t>
      </w:r>
      <w:r>
        <w:rPr>
          <w:rFonts w:ascii="Arial" w:cs="Arial" w:eastAsia="Arial" w:hAnsi="Arial"/>
          <w:sz w:val="22"/>
          <w:szCs w:val="22"/>
          <w:b w:val="1"/>
          <w:bCs w:val="1"/>
          <w:i w:val="1"/>
          <w:iCs w:val="1"/>
          <w:color w:val="auto"/>
        </w:rPr>
        <w:t>us</w:t>
      </w:r>
      <w:r>
        <w:rPr>
          <w:rFonts w:ascii="Arial" w:cs="Arial" w:eastAsia="Arial" w:hAnsi="Arial"/>
          <w:sz w:val="22"/>
          <w:szCs w:val="22"/>
          <w:color w:val="auto"/>
        </w:rPr>
        <w:t>” or “</w:t>
      </w:r>
      <w:r>
        <w:rPr>
          <w:rFonts w:ascii="Arial" w:cs="Arial" w:eastAsia="Arial" w:hAnsi="Arial"/>
          <w:sz w:val="22"/>
          <w:szCs w:val="22"/>
          <w:b w:val="1"/>
          <w:bCs w:val="1"/>
          <w:i w:val="1"/>
          <w:iCs w:val="1"/>
          <w:color w:val="auto"/>
        </w:rPr>
        <w:t>our</w:t>
      </w:r>
      <w:r>
        <w:rPr>
          <w:rFonts w:ascii="Arial" w:cs="Arial" w:eastAsia="Arial" w:hAnsi="Arial"/>
          <w:sz w:val="22"/>
          <w:szCs w:val="22"/>
          <w:color w:val="auto"/>
        </w:rPr>
        <w:t>”), to comments received from the staff of the Division of Corporation Finance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 of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by letter dated March 11, 2020 (the “</w:t>
      </w:r>
      <w:r>
        <w:rPr>
          <w:rFonts w:ascii="Arial" w:cs="Arial" w:eastAsia="Arial" w:hAnsi="Arial"/>
          <w:sz w:val="22"/>
          <w:szCs w:val="22"/>
          <w:b w:val="1"/>
          <w:bCs w:val="1"/>
          <w:i w:val="1"/>
          <w:iCs w:val="1"/>
          <w:color w:val="auto"/>
        </w:rPr>
        <w:t>Comment Letter</w:t>
      </w:r>
      <w:r>
        <w:rPr>
          <w:rFonts w:ascii="Arial" w:cs="Arial" w:eastAsia="Arial" w:hAnsi="Arial"/>
          <w:sz w:val="22"/>
          <w:szCs w:val="22"/>
          <w:color w:val="auto"/>
        </w:rPr>
        <w:t>”) with respect to Post-Effective Amendment No. 1 filed with the Commission on February 26, 2020 (“</w:t>
      </w:r>
      <w:r>
        <w:rPr>
          <w:rFonts w:ascii="Arial" w:cs="Arial" w:eastAsia="Arial" w:hAnsi="Arial"/>
          <w:sz w:val="22"/>
          <w:szCs w:val="22"/>
          <w:b w:val="1"/>
          <w:bCs w:val="1"/>
          <w:i w:val="1"/>
          <w:iCs w:val="1"/>
          <w:color w:val="auto"/>
        </w:rPr>
        <w:t>Amendment No. 1</w:t>
      </w:r>
      <w:r>
        <w:rPr>
          <w:rFonts w:ascii="Arial" w:cs="Arial" w:eastAsia="Arial" w:hAnsi="Arial"/>
          <w:sz w:val="22"/>
          <w:szCs w:val="22"/>
          <w:color w:val="auto"/>
        </w:rPr>
        <w:t>”) to the Company’s Registration Statement on Form S-3, File No. 333-233289.</w:t>
      </w:r>
    </w:p>
    <w:p>
      <w:pPr>
        <w:spacing w:after="0" w:line="172" w:lineRule="exact"/>
        <w:rPr>
          <w:sz w:val="24"/>
          <w:szCs w:val="24"/>
          <w:color w:val="auto"/>
        </w:rPr>
      </w:pPr>
    </w:p>
    <w:p>
      <w:pPr>
        <w:jc w:val="both"/>
        <w:ind w:firstLine="648"/>
        <w:spacing w:after="0" w:line="239" w:lineRule="auto"/>
        <w:rPr>
          <w:sz w:val="20"/>
          <w:szCs w:val="20"/>
          <w:color w:val="auto"/>
        </w:rPr>
      </w:pPr>
      <w:r>
        <w:rPr>
          <w:rFonts w:ascii="Arial" w:cs="Arial" w:eastAsia="Arial" w:hAnsi="Arial"/>
          <w:sz w:val="22"/>
          <w:szCs w:val="22"/>
          <w:color w:val="auto"/>
        </w:rPr>
        <w:t>The Company is concurrently filing Post-Effective Amendment No. 2 to the Registration Statement, which reflects changes made in response to the comments contained in the Comment Letter.</w:t>
      </w:r>
    </w:p>
    <w:p>
      <w:pPr>
        <w:spacing w:after="0" w:line="171" w:lineRule="exact"/>
        <w:rPr>
          <w:sz w:val="24"/>
          <w:szCs w:val="24"/>
          <w:color w:val="auto"/>
        </w:rPr>
      </w:pPr>
    </w:p>
    <w:p>
      <w:pPr>
        <w:jc w:val="both"/>
        <w:ind w:firstLine="648"/>
        <w:spacing w:after="0" w:line="260" w:lineRule="auto"/>
        <w:rPr>
          <w:sz w:val="20"/>
          <w:szCs w:val="20"/>
          <w:color w:val="auto"/>
        </w:rPr>
      </w:pPr>
      <w:r>
        <w:rPr>
          <w:rFonts w:ascii="Arial" w:cs="Arial" w:eastAsia="Arial" w:hAnsi="Arial"/>
          <w:sz w:val="21"/>
          <w:szCs w:val="21"/>
          <w:color w:val="auto"/>
        </w:rPr>
        <w:t>For your convenience, each response is prefaced by the exact text of the Staff’s corresponding comment in bold, italicized text. All references to page numbers and captions correspond to Amendment No. 1 unless otherwise specified.</w:t>
      </w:r>
    </w:p>
    <w:p>
      <w:pPr>
        <w:spacing w:after="0" w:line="14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Post-Effective Amendment No. 1 to Registration Statement on Form S-3 filed February 26, 2020</w:t>
      </w:r>
    </w:p>
    <w:p>
      <w:pPr>
        <w:spacing w:after="0" w:line="19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Description of Capital Stock</w:t>
      </w:r>
    </w:p>
    <w:p>
      <w:pPr>
        <w:spacing w:after="0" w:line="19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Forum Selection, page 6</w:t>
      </w:r>
    </w:p>
    <w:p>
      <w:pPr>
        <w:spacing w:after="0" w:line="199" w:lineRule="exact"/>
        <w:rPr>
          <w:sz w:val="24"/>
          <w:szCs w:val="24"/>
          <w:color w:val="auto"/>
        </w:rPr>
      </w:pPr>
    </w:p>
    <w:p>
      <w:pPr>
        <w:jc w:val="both"/>
        <w:ind w:left="660" w:hanging="652"/>
        <w:spacing w:after="0" w:line="281"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your forum selection provision identifies the Court of Chancery of the State of Delaware as the exclusive forum for certain litigation, including any “derivative action.” Please disclose whether this provision applies to actions arising under the Securities Act or Exchange Act. In that regard, we note that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March 27,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88" w:lineRule="exact"/>
        <w:rPr>
          <w:sz w:val="20"/>
          <w:szCs w:val="20"/>
          <w:color w:val="auto"/>
        </w:rPr>
      </w:pPr>
    </w:p>
    <w:p>
      <w:pPr>
        <w:jc w:val="both"/>
        <w:spacing w:after="0" w:line="231" w:lineRule="auto"/>
        <w:rPr>
          <w:sz w:val="20"/>
          <w:szCs w:val="20"/>
          <w:color w:val="auto"/>
        </w:rPr>
      </w:pPr>
      <w:r>
        <w:rPr>
          <w:rFonts w:ascii="Arial" w:cs="Arial" w:eastAsia="Arial" w:hAnsi="Arial"/>
          <w:sz w:val="22"/>
          <w:szCs w:val="22"/>
          <w:b w:val="1"/>
          <w:bCs w:val="1"/>
          <w:i w:val="1"/>
          <w:iCs w:val="1"/>
          <w:color w:val="auto"/>
        </w:rPr>
        <w:t>or the rules and regulations thereunder. If the provision applies to Securities Act claims, please also revise your prospectus to add related risk factor disclosure, and to state that investors cannot waive compliance with the federal securities laws and the rules and regulations thereunder.</w:t>
      </w:r>
    </w:p>
    <w:p>
      <w:pPr>
        <w:spacing w:after="0" w:line="17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Company acknowledges the Staff’s comment and has revised its disclosure on page 6 of Amendment No. 1 to include the following language under “Forum Selection”:</w:t>
      </w:r>
    </w:p>
    <w:p>
      <w:pPr>
        <w:spacing w:after="0" w:line="16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“This forum selection provision would not apply to claims brought to enforce a duty or liability created by the Securities Act, Exchange Act or any other claim for which the federal courts have exclusive jurisdiction.”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w:t>
      </w:r>
    </w:p>
    <w:p>
      <w:pPr>
        <w:spacing w:after="0" w:line="199" w:lineRule="exact"/>
        <w:rPr>
          <w:sz w:val="20"/>
          <w:szCs w:val="20"/>
          <w:color w:val="auto"/>
        </w:rPr>
      </w:pPr>
    </w:p>
    <w:p>
      <w:pPr>
        <w:jc w:val="both"/>
        <w:ind w:left="660" w:hanging="652"/>
        <w:spacing w:after="0" w:line="267" w:lineRule="auto"/>
        <w:tabs>
          <w:tab w:leader="none" w:pos="660" w:val="left"/>
        </w:tabs>
        <w:numPr>
          <w:ilvl w:val="0"/>
          <w:numId w:val="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note that you incorporate by reference your Form 10-K for the fiscal year ended December 31, 2019 and that such report incorporates by reference information from your definitive proxy statement, which has not yet been filed. Prior to requesting acceleration of the effectiveness of this registration statement, please either amend the Form 10-K to include information required by Part III of Form 10-K or file the definitive proxy statement. Please refer to Compliance and Disclosure Interpretations, Securities Act Forms Question 123.01 for guidance.</w:t>
      </w:r>
    </w:p>
    <w:p>
      <w:pPr>
        <w:spacing w:after="0" w:line="14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Company acknowledges the Staff’s comment and hereby informs the Staff that the Company has filed its definitive proxy statement on March 24, 2020.</w:t>
      </w:r>
    </w:p>
    <w:p>
      <w:pPr>
        <w:spacing w:after="0" w:line="200" w:lineRule="exact"/>
        <w:rPr>
          <w:sz w:val="20"/>
          <w:szCs w:val="20"/>
          <w:color w:val="auto"/>
        </w:rPr>
      </w:pPr>
    </w:p>
    <w:p>
      <w:pPr>
        <w:spacing w:after="0" w:line="366" w:lineRule="exact"/>
        <w:rPr>
          <w:sz w:val="20"/>
          <w:szCs w:val="20"/>
          <w:color w:val="auto"/>
        </w:rPr>
      </w:pPr>
    </w:p>
    <w:p>
      <w:pPr>
        <w:ind w:left="4280"/>
        <w:spacing w:after="0"/>
        <w:tabs>
          <w:tab w:leader="none" w:pos="4900" w:val="left"/>
          <w:tab w:leader="none" w:pos="5560" w:val="left"/>
          <w:tab w:leader="none" w:pos="6200" w:val="left"/>
          <w:tab w:leader="none" w:pos="68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ectPr>
          <w:pgSz w:w="11900" w:h="16838" w:orient="portrait"/>
          <w:cols w:equalWidth="0" w:num="1">
            <w:col w:w="11240"/>
          </w:cols>
          <w:pgMar w:left="320" w:top="13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March 27,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188" w:lineRule="exact"/>
        <w:rPr>
          <w:sz w:val="20"/>
          <w:szCs w:val="20"/>
          <w:color w:val="auto"/>
        </w:rPr>
      </w:pPr>
    </w:p>
    <w:p>
      <w:pPr>
        <w:ind w:right="20" w:firstLine="648"/>
        <w:spacing w:after="0" w:line="239" w:lineRule="auto"/>
        <w:rPr>
          <w:sz w:val="20"/>
          <w:szCs w:val="20"/>
          <w:color w:val="auto"/>
        </w:rPr>
      </w:pPr>
      <w:r>
        <w:rPr>
          <w:rFonts w:ascii="Arial" w:cs="Arial" w:eastAsia="Arial" w:hAnsi="Arial"/>
          <w:sz w:val="22"/>
          <w:szCs w:val="22"/>
          <w:color w:val="auto"/>
        </w:rPr>
        <w:t>Please direct any questions that you have with respect to the foregoing to, or if any additional supplemental information is required by the Staff, please contact Scott D. Rubinsky of Vinson &amp; Elkins L.L.P. at (713) 758-3287.</w:t>
      </w:r>
    </w:p>
    <w:p>
      <w:pPr>
        <w:spacing w:after="0" w:line="33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CALIFORNIA RESOURCES CORPORATION</w:t>
      </w:r>
    </w:p>
    <w:p>
      <w:pPr>
        <w:spacing w:after="0" w:line="368" w:lineRule="exact"/>
        <w:rPr>
          <w:sz w:val="20"/>
          <w:szCs w:val="20"/>
          <w:color w:val="auto"/>
        </w:rPr>
      </w:pPr>
    </w:p>
    <w:tbl>
      <w:tblPr>
        <w:tblLayout w:type="fixed"/>
        <w:tblInd w:w="520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Todd A. Stevens</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4940" w:type="dxa"/>
            <w:vAlign w:val="bottom"/>
          </w:tcPr>
          <w:p>
            <w:pPr>
              <w:ind w:left="20"/>
              <w:spacing w:after="0"/>
              <w:rPr>
                <w:sz w:val="20"/>
                <w:szCs w:val="20"/>
                <w:color w:val="auto"/>
              </w:rPr>
            </w:pPr>
            <w:r>
              <w:rPr>
                <w:rFonts w:ascii="Arial" w:cs="Arial" w:eastAsia="Arial" w:hAnsi="Arial"/>
                <w:sz w:val="22"/>
                <w:szCs w:val="22"/>
                <w:color w:val="auto"/>
              </w:rPr>
              <w:t>Todd A. Stevens</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4940" w:type="dxa"/>
            <w:vAlign w:val="bottom"/>
          </w:tcPr>
          <w:p>
            <w:pPr>
              <w:ind w:left="20"/>
              <w:spacing w:after="0"/>
              <w:rPr>
                <w:sz w:val="20"/>
                <w:szCs w:val="20"/>
                <w:color w:val="auto"/>
              </w:rPr>
            </w:pPr>
            <w:r>
              <w:rPr>
                <w:rFonts w:ascii="Arial" w:cs="Arial" w:eastAsia="Arial" w:hAnsi="Arial"/>
                <w:sz w:val="22"/>
                <w:szCs w:val="22"/>
                <w:color w:val="auto"/>
                <w:w w:val="99"/>
              </w:rPr>
              <w:t>President and Chief Executive Officer and Director</w:t>
            </w:r>
          </w:p>
        </w:tc>
      </w:tr>
    </w:tbl>
    <w:p>
      <w:pPr>
        <w:spacing w:after="0" w:line="185" w:lineRule="exact"/>
        <w:rPr>
          <w:sz w:val="20"/>
          <w:szCs w:val="20"/>
          <w:color w:val="auto"/>
        </w:rPr>
      </w:pPr>
    </w:p>
    <w:p>
      <w:pPr>
        <w:ind w:left="660" w:right="6120" w:hanging="652"/>
        <w:spacing w:after="0" w:line="269" w:lineRule="auto"/>
        <w:tabs>
          <w:tab w:leader="none" w:pos="444" w:val="left"/>
        </w:tabs>
        <w:numPr>
          <w:ilvl w:val="0"/>
          <w:numId w:val="3"/>
        </w:numPr>
        <w:rPr>
          <w:rFonts w:ascii="Arial" w:cs="Arial" w:eastAsia="Arial" w:hAnsi="Arial"/>
          <w:sz w:val="19"/>
          <w:szCs w:val="19"/>
          <w:color w:val="auto"/>
        </w:rPr>
      </w:pPr>
      <w:r>
        <w:rPr>
          <w:rFonts w:ascii="Arial" w:cs="Arial" w:eastAsia="Arial" w:hAnsi="Arial"/>
          <w:sz w:val="19"/>
          <w:szCs w:val="19"/>
          <w:color w:val="auto"/>
        </w:rPr>
        <w:t>Michael L. Preston, California Resources Corporation Sarah K. Morgan, Vinson &amp; Elkins L.L.P.</w:t>
      </w:r>
    </w:p>
    <w:p>
      <w:pPr>
        <w:ind w:left="660"/>
        <w:spacing w:after="0"/>
        <w:rPr>
          <w:rFonts w:ascii="Arial" w:cs="Arial" w:eastAsia="Arial" w:hAnsi="Arial"/>
          <w:sz w:val="19"/>
          <w:szCs w:val="19"/>
          <w:color w:val="auto"/>
        </w:rPr>
      </w:pPr>
      <w:r>
        <w:rPr>
          <w:rFonts w:ascii="Arial" w:cs="Arial" w:eastAsia="Arial" w:hAnsi="Arial"/>
          <w:sz w:val="22"/>
          <w:szCs w:val="22"/>
          <w:color w:val="auto"/>
        </w:rPr>
        <w:t>Scott D. Rubinsky, Vinson &amp; Elkins L.L.P.</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2021-08-15T20:13:21Z</dcterms:created>
  <dcterms:modified xsi:type="dcterms:W3CDTF">2021-08-15T20:13:21Z</dcterms:modified>
</cp:coreProperties>
</file>