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0001548147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California Resources Corp</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001-36478</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8888484754</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Brooks Douglas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1500</w:t>
            </w:r>
          </w:p>
        </w:tc>
        <w:tc>
          <w:tcPr>
            <w:tcW w:w="1380" w:type="dxa"/>
            <w:tcBorders/>
            <w:vAlign w:val="center"/>
          </w:tcPr>
          <w:p>
            <w:pPr>
              <w:pStyle w:val="TableContents"/>
              <w:bidi w:val="0"/>
              <w:spacing w:before="0" w:after="283"/>
              <w:jc w:val="left"/>
              <w:rPr/>
            </w:pPr>
            <w:r>
              <w:rPr/>
              <w:t>59695.84</w:t>
            </w:r>
          </w:p>
        </w:tc>
        <w:tc>
          <w:tcPr>
            <w:tcW w:w="1555" w:type="dxa"/>
            <w:tcBorders/>
            <w:vAlign w:val="center"/>
          </w:tcPr>
          <w:p>
            <w:pPr>
              <w:pStyle w:val="TableContents"/>
              <w:bidi w:val="0"/>
              <w:spacing w:before="0" w:after="283"/>
              <w:jc w:val="left"/>
              <w:rPr/>
            </w:pPr>
            <w:r>
              <w:rPr/>
              <w:t>70549158</w:t>
            </w:r>
          </w:p>
        </w:tc>
        <w:tc>
          <w:tcPr>
            <w:tcW w:w="1569" w:type="dxa"/>
            <w:tcBorders/>
            <w:vAlign w:val="center"/>
          </w:tcPr>
          <w:p>
            <w:pPr>
              <w:pStyle w:val="TableContents"/>
              <w:bidi w:val="0"/>
              <w:spacing w:before="0" w:after="283"/>
              <w:jc w:val="left"/>
              <w:rPr/>
            </w:pPr>
            <w:r>
              <w:rPr/>
              <w:t>05/15/2023</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05/17/2021</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05/17/2021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pPr>
            <w:r>
              <w:rPr/>
              <w:t>Remarks</w:t>
            </w:r>
          </w:p>
        </w:tc>
        <w:tc>
          <w:tcPr>
            <w:tcW w:w="8455" w:type="dxa"/>
            <w:tcBorders/>
            <w:vAlign w:val="center"/>
          </w:tcPr>
          <w:p>
            <w:pPr>
              <w:pStyle w:val="TableContents"/>
              <w:bidi w:val="0"/>
              <w:spacing w:before="0" w:after="283"/>
              <w:jc w:val="left"/>
              <w:rPr>
                <w:sz w:val="4"/>
                <w:szCs w:val="4"/>
              </w:rPr>
            </w:pPr>
            <w:r>
              <w:rPr>
                <w:sz w:val="4"/>
                <w:szCs w:val="4"/>
              </w:rPr>
            </w:r>
          </w:p>
        </w:tc>
      </w:tr>
      <w:tr>
        <w:trPr/>
        <w:tc>
          <w:tcPr>
            <w:tcW w:w="1750" w:type="dxa"/>
            <w:tcBorders/>
            <w:vAlign w:val="center"/>
          </w:tcPr>
          <w:p>
            <w:pPr>
              <w:pStyle w:val="TableContents"/>
              <w:bidi w:val="0"/>
              <w:spacing w:before="0" w:after="283"/>
              <w:jc w:val="left"/>
              <w:rPr/>
            </w:pPr>
            <w:r>
              <w:rPr/>
              <w:t>Date of Notice</w:t>
            </w:r>
          </w:p>
        </w:tc>
        <w:tc>
          <w:tcPr>
            <w:tcW w:w="8455"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0" w:type="dxa"/>
            <w:tcBorders/>
            <w:vAlign w:val="center"/>
          </w:tcPr>
          <w:p>
            <w:pPr>
              <w:pStyle w:val="TableContents"/>
              <w:bidi w:val="0"/>
              <w:spacing w:before="0" w:after="283"/>
              <w:jc w:val="left"/>
              <w:rPr/>
            </w:pPr>
            <w:r>
              <w:rPr/>
              <w:t>Signature</w:t>
            </w:r>
          </w:p>
        </w:tc>
        <w:tc>
          <w:tcPr>
            <w:tcW w:w="8455" w:type="dxa"/>
            <w:tcBorders/>
            <w:vAlign w:val="center"/>
          </w:tcPr>
          <w:p>
            <w:pPr>
              <w:pStyle w:val="TableContents"/>
              <w:bidi w:val="0"/>
              <w:spacing w:before="0" w:after="0"/>
              <w:jc w:val="left"/>
              <w:rPr/>
            </w:pPr>
            <w:r>
              <w:rPr/>
              <w:t>/s/ Gary Redman, as a duly authorized representative of Fidelity Brokerage Services LLC, as attorney-in-fact for Douglas Brooks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2984</Characters>
  <CharactersWithSpaces>3519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