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501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50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Marshall 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EVP &amp; CFO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20" w:type="dxa"/>
            <w:vAlign w:val="bottom"/>
            <w:vMerge w:val="restart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ind w:righ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12,284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123,988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6,142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117,846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12,284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24,566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20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129,033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129,033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129,033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60,423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60,423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60,423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19,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 RSUs vested on February 18, 2020; the remaining RSUs vest in two equal annual installments beginning February 18,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17,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17, 2021.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-26670</wp:posOffset>
            </wp:positionV>
            <wp:extent cx="1375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Marshall 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-19685</wp:posOffset>
            </wp:positionV>
            <wp:extent cx="1160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5808980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2020-02-20T19:59:51Z</dcterms:created>
  <dcterms:modified xsi:type="dcterms:W3CDTF">2020-02-20T19:59:51Z</dcterms:modified>
</cp:coreProperties>
</file>