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06/22/2021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32.09  14,371,592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7"/>
          </w:tcPr>
          <w:p>
            <w:pPr>
              <w:spacing w:after="0" w:line="221" w:lineRule="exact"/>
              <w:rPr>
                <w:rFonts w:ascii="Arial" w:cs="Arial" w:eastAsia="Arial" w:hAnsi="Arial"/>
                <w:sz w:val="21"/>
                <w:szCs w:val="21"/>
                <w:color w:val="0000EE"/>
                <w:w w:val="98"/>
              </w:rPr>
            </w:pPr>
            <w:hyperlink r:id="rId2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77" w:orient="portrait"/>
          <w:cols w:equalWidth="0" w:num="1">
            <w:col w:w="9979"/>
          </w:cols>
          <w:pgMar w:left="480" w:top="140" w:right="1440" w:bottom="0" w:gutter="0" w:footer="0" w:header="0"/>
        </w:sectPr>
      </w:pPr>
    </w:p>
    <w:p>
      <w:pPr>
        <w:ind w:left="100"/>
        <w:spacing w:after="0"/>
        <w:rPr>
          <w:rFonts w:ascii="Arial" w:cs="Arial" w:eastAsia="Arial" w:hAnsi="Arial"/>
          <w:sz w:val="20"/>
          <w:szCs w:val="20"/>
          <w:u w:val="single" w:color="auto"/>
          <w:color w:val="0000EE"/>
        </w:rPr>
      </w:pPr>
      <w:hyperlink r:id="rId23">
        <w:r>
          <w:rPr>
            <w:rFonts w:ascii="Arial" w:cs="Arial" w:eastAsia="Arial" w:hAnsi="Arial"/>
            <w:sz w:val="20"/>
            <w:szCs w:val="20"/>
            <w:u w:val="single" w:color="auto"/>
            <w:color w:val="0000EE"/>
          </w:rPr>
          <w:t>SSF IV Energy I AIV 1B, L.P.</w:t>
        </w:r>
      </w:hyperlink>
    </w:p>
    <w:p>
      <w:pPr>
        <w:sectPr>
          <w:pgSz w:w="11900" w:h="16877" w:orient="portrait"/>
          <w:cols w:equalWidth="0" w:num="1">
            <w:col w:w="9979"/>
          </w:cols>
          <w:pgMar w:left="48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236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09240" cy="3236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14,371,592 shares of Common Stock by reason of the direct or indirect beneficial ownership of such shares as follows: (i) ACOF AIV 1A directly holds 681,684 shares of Common Stock, (ii) ACOF AIV 1B directly holds 2,494,621 shares of Common Stock, (iii) ACOF AIV 2 directly holds 2,541,272 shares of Common Stock, (iv) AEOF AIV A-B directly holds 1,894,861 shares of Common Stock, (v) AEOF AIV C directly holds 804,524 shares of Common Stock, (vi) SSF AIV 1A directly holds 41,714 shares of Common Stock, (vii) SSF AIV 1B directly holds 37,192 shares of Common Stock, (viii) SSF AIV 2 directly holds 60,542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43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8680" w:space="80"/>
            <w:col w:w="2140"/>
          </w:cols>
          <w:pgMar w:left="480" w:top="43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A-B, L.P.</w:t>
      </w:r>
      <w:r>
        <w:rPr>
          <w:sz w:val="20"/>
          <w:szCs w:val="20"/>
          <w:color w:val="auto"/>
        </w:rPr>
        <w:tab/>
      </w: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ectPr>
          <w:pgSz w:w="11900" w:h="16838" w:orient="portrait"/>
          <w:cols w:equalWidth="0" w:num="1">
            <w:col w:w="10900"/>
          </w:cols>
          <w:pgMar w:left="48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06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 Id="rId22" Type="http://schemas.openxmlformats.org/officeDocument/2006/relationships/hyperlink" Target="http://www.sec.gov/cgi-bin/browse-edgar?action=getcompany&amp;CIK=0001831197" TargetMode="External"/><Relationship Id="rId23" Type="http://schemas.openxmlformats.org/officeDocument/2006/relationships/hyperlink" Target="http://www.sec.gov/cgi-bin/browse-edgar?action=getcompany&amp;CIK=0001831198" TargetMode="External"/><Relationship Id="rId2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2021-06-24T15:03:27Z</dcterms:created>
  <dcterms:modified xsi:type="dcterms:W3CDTF">2021-06-24T15:03:27Z</dcterms:modified>
</cp:coreProperties>
</file>