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14, 2021</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0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1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27200 Tourney Road</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91355</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6" w:lineRule="exact"/>
        <w:rPr>
          <w:rFonts w:ascii="MS PGothic" w:cs="MS PGothic" w:eastAsia="MS PGothic" w:hAnsi="MS PGothic"/>
          <w:sz w:val="20"/>
          <w:szCs w:val="20"/>
          <w:color w:val="auto"/>
        </w:rPr>
      </w:pPr>
    </w:p>
    <w:p>
      <w:pPr>
        <w:ind w:right="2700" w:firstLine="8"/>
        <w:spacing w:after="0" w:line="416" w:lineRule="auto"/>
        <w:tabs>
          <w:tab w:leader="none" w:pos="355"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09"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January 14, 2021, the Company issued a press release announcing the pricing of its private offering of $600 million in aggregate principal amount of its 7.125% senior notes due 2026 at par. A copy of the press release is furnished herewith as Exhibit 99.1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40" w:type="dxa"/>
            <w:vAlign w:val="bottom"/>
          </w:tcPr>
          <w:p>
            <w:pPr>
              <w:spacing w:after="0"/>
              <w:rPr>
                <w:sz w:val="20"/>
                <w:szCs w:val="20"/>
                <w:color w:val="auto"/>
              </w:rPr>
            </w:pPr>
          </w:p>
        </w:tc>
      </w:tr>
      <w:tr>
        <w:trPr>
          <w:trHeight w:val="499"/>
        </w:trPr>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4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0"/>
        </w:trPr>
        <w:tc>
          <w:tcPr>
            <w:tcW w:w="1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99.1</w:t>
            </w:r>
          </w:p>
        </w:tc>
        <w:tc>
          <w:tcPr>
            <w:tcW w:w="9440" w:type="dxa"/>
            <w:vAlign w:val="bottom"/>
          </w:tcPr>
          <w:p>
            <w:pPr>
              <w:ind w:left="3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Press Release, dated January 14, 2021.</w:t>
              </w:r>
            </w:hyperlink>
          </w:p>
        </w:tc>
      </w:tr>
      <w:tr>
        <w:trPr>
          <w:trHeight w:val="270"/>
        </w:trPr>
        <w:tc>
          <w:tcPr>
            <w:tcW w:w="1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w:t>
            </w:r>
          </w:p>
        </w:tc>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57"/>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Roy Pineci</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Roy Pineci</w:t>
            </w:r>
          </w:p>
        </w:tc>
      </w:tr>
      <w:tr>
        <w:trPr>
          <w:trHeight w:val="24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14, 2021</w:t>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16510</wp:posOffset>
            </wp:positionV>
            <wp:extent cx="162877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4740" w:val="left"/>
        </w:tabs>
        <w:rPr>
          <w:sz w:val="20"/>
          <w:szCs w:val="20"/>
          <w:color w:val="auto"/>
        </w:rPr>
      </w:pPr>
      <w:r>
        <w:rPr>
          <w:rFonts w:ascii="Arial" w:cs="Arial" w:eastAsia="Arial" w:hAnsi="Arial"/>
          <w:sz w:val="32"/>
          <w:szCs w:val="32"/>
          <w:b w:val="1"/>
          <w:bCs w:val="1"/>
          <w:color w:val="auto"/>
        </w:rPr>
        <w:t>NEWS RELEASE</w:t>
      </w:r>
      <w:r>
        <w:rPr>
          <w:sz w:val="20"/>
          <w:szCs w:val="20"/>
          <w:color w:val="auto"/>
        </w:rPr>
        <w:tab/>
      </w:r>
      <w:r>
        <w:rPr>
          <w:rFonts w:ascii="Arial" w:cs="Arial" w:eastAsia="Arial" w:hAnsi="Arial"/>
          <w:sz w:val="21"/>
          <w:szCs w:val="21"/>
          <w:b w:val="1"/>
          <w:bCs w:val="1"/>
          <w:color w:val="auto"/>
        </w:rPr>
        <w:t>For immediate release</w:t>
      </w:r>
    </w:p>
    <w:p>
      <w:pPr>
        <w:spacing w:after="0" w:line="211" w:lineRule="exact"/>
        <w:rPr>
          <w:sz w:val="20"/>
          <w:szCs w:val="20"/>
          <w:color w:val="auto"/>
        </w:rPr>
      </w:pPr>
    </w:p>
    <w:p>
      <w:pPr>
        <w:jc w:val="center"/>
        <w:ind w:left="340" w:right="120"/>
        <w:spacing w:after="0" w:line="285" w:lineRule="auto"/>
        <w:rPr>
          <w:sz w:val="20"/>
          <w:szCs w:val="20"/>
          <w:color w:val="auto"/>
        </w:rPr>
      </w:pPr>
      <w:r>
        <w:rPr>
          <w:rFonts w:ascii="Arial" w:cs="Arial" w:eastAsia="Arial" w:hAnsi="Arial"/>
          <w:sz w:val="29"/>
          <w:szCs w:val="29"/>
          <w:b w:val="1"/>
          <w:bCs w:val="1"/>
          <w:color w:val="auto"/>
        </w:rPr>
        <w:t>California Resources Corporation Announces Pricing of Private Offering of $600 Million of Senior Unsecured Notes</w:t>
      </w:r>
    </w:p>
    <w:p>
      <w:pPr>
        <w:spacing w:after="0" w:line="1" w:lineRule="exact"/>
        <w:rPr>
          <w:sz w:val="20"/>
          <w:szCs w:val="20"/>
          <w:color w:val="auto"/>
        </w:rPr>
      </w:pPr>
    </w:p>
    <w:p>
      <w:pPr>
        <w:jc w:val="both"/>
        <w:spacing w:after="0" w:line="278" w:lineRule="auto"/>
        <w:rPr>
          <w:sz w:val="20"/>
          <w:szCs w:val="20"/>
          <w:color w:val="auto"/>
        </w:rPr>
      </w:pPr>
      <w:r>
        <w:rPr>
          <w:rFonts w:ascii="Arial" w:cs="Arial" w:eastAsia="Arial" w:hAnsi="Arial"/>
          <w:sz w:val="22"/>
          <w:szCs w:val="22"/>
          <w:color w:val="auto"/>
        </w:rPr>
        <w:t>Santa Clarita, California, January 14, 2021 – California Resources Corporation (NYSE: CRC) (the “Company”) announced today the pricing of its private offering of $600 million in aggregate principal amount of its 7.125% senior unsecured notes due 2026 (the “Notes”) at par. The Notes will be guaranteed by all of the Company’s existing subsidiaries that guarantee its revolving credit facility and certain future subsidiaries. The offering is expected to close on January 20, 2021, subject to customary closing conditions.</w:t>
      </w:r>
    </w:p>
    <w:p>
      <w:pPr>
        <w:spacing w:after="0" w:line="8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Company estimates that the net proceeds from the offering will be approximately $589 million after deducting the initial purchasers' discount and estimated expenses. The Company intends to use the net proceeds from this offering to repay in full its second lien term loan and repay all outstanding senior secured notes due 2027 previously issued by its wholly-owned subsidiary that indirectly owns all of the assets associated with its Elk Hills power plant and gas processing facilities, with the remainder to be used to repay a portion of the outstanding borrowings under its revolving credit facility.</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Notes have not been, and will not be, registered under the Securities Act of 1933, as amended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will be offered only to persons reasonably believed to be qualified institutional buyers in reliance on Rule 144A under the Securities Act and non-U.S. persons in transactions outside the United States in reliance on Regulation S under the Securities Act.</w:t>
      </w:r>
    </w:p>
    <w:p>
      <w:pPr>
        <w:spacing w:after="0" w:line="77" w:lineRule="exact"/>
        <w:rPr>
          <w:sz w:val="20"/>
          <w:szCs w:val="20"/>
          <w:color w:val="auto"/>
        </w:rPr>
      </w:pPr>
    </w:p>
    <w:p>
      <w:pPr>
        <w:jc w:val="both"/>
        <w:spacing w:after="0" w:line="274" w:lineRule="auto"/>
        <w:rPr>
          <w:sz w:val="20"/>
          <w:szCs w:val="20"/>
          <w:color w:val="auto"/>
        </w:rPr>
      </w:pPr>
      <w:r>
        <w:rPr>
          <w:rFonts w:ascii="Arial" w:cs="Arial" w:eastAsia="Arial" w:hAnsi="Arial"/>
          <w:sz w:val="22"/>
          <w:szCs w:val="22"/>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 Disclosure</w:t>
      </w:r>
    </w:p>
    <w:p>
      <w:pPr>
        <w:spacing w:after="0" w:line="222" w:lineRule="exact"/>
        <w:rPr>
          <w:sz w:val="20"/>
          <w:szCs w:val="20"/>
          <w:color w:val="auto"/>
        </w:rPr>
      </w:pPr>
    </w:p>
    <w:p>
      <w:pPr>
        <w:jc w:val="both"/>
        <w:spacing w:after="0" w:line="325" w:lineRule="auto"/>
        <w:rPr>
          <w:sz w:val="20"/>
          <w:szCs w:val="20"/>
          <w:color w:val="auto"/>
        </w:rPr>
      </w:pPr>
      <w:r>
        <w:rPr>
          <w:rFonts w:ascii="Arial" w:cs="Arial" w:eastAsia="Arial" w:hAnsi="Arial"/>
          <w:sz w:val="21"/>
          <w:szCs w:val="21"/>
          <w:color w:val="auto"/>
        </w:rPr>
        <w:t>All statements, except for statements of historical fact, made in this release regarding activities, events or developments the Company expects, believes or anticipates will or may occur in the future, such as statements regarding the proposed offering and the intended use of proceeds, are forward-looking statements within the meaning of Section 27A of the Securities Act and Section 21E of the Securities Exchange Act of 1934, as amended. All</w:t>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11480"/>
                    </a:xfrm>
                    <a:prstGeom prst="rect">
                      <a:avLst/>
                    </a:prstGeom>
                    <a:noFill/>
                  </pic:spPr>
                </pic:pic>
              </a:graphicData>
            </a:graphic>
          </wp:anchor>
        </w:drawing>
        <w:t>Page 2</w:t>
      </w:r>
    </w:p>
    <w:p>
      <w:pPr>
        <w:spacing w:after="0" w:line="346" w:lineRule="exact"/>
        <w:rPr>
          <w:sz w:val="20"/>
          <w:szCs w:val="20"/>
          <w:color w:val="auto"/>
        </w:rPr>
      </w:pPr>
    </w:p>
    <w:p>
      <w:pPr>
        <w:jc w:val="both"/>
        <w:spacing w:after="0" w:line="314" w:lineRule="auto"/>
        <w:rPr>
          <w:sz w:val="20"/>
          <w:szCs w:val="20"/>
          <w:color w:val="auto"/>
        </w:rPr>
      </w:pPr>
      <w:r>
        <w:rPr>
          <w:rFonts w:ascii="Arial" w:cs="Arial" w:eastAsia="Arial" w:hAnsi="Arial"/>
          <w:sz w:val="22"/>
          <w:szCs w:val="22"/>
          <w:color w:val="auto"/>
        </w:rPr>
        <w:t>forward-looking statements speak only as of the date of this release.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66" w:lineRule="exact"/>
        <w:rPr>
          <w:sz w:val="20"/>
          <w:szCs w:val="20"/>
          <w:color w:val="auto"/>
        </w:rPr>
      </w:pPr>
    </w:p>
    <w:p>
      <w:pPr>
        <w:jc w:val="both"/>
        <w:spacing w:after="0" w:line="316" w:lineRule="auto"/>
        <w:rPr>
          <w:sz w:val="20"/>
          <w:szCs w:val="20"/>
          <w:color w:val="auto"/>
        </w:rPr>
      </w:pPr>
      <w:r>
        <w:rPr>
          <w:rFonts w:ascii="Arial" w:cs="Arial" w:eastAsia="Arial" w:hAnsi="Arial"/>
          <w:sz w:val="22"/>
          <w:szCs w:val="22"/>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2019 and its subsequently filed Quarterly Reports on Form 10-Q.</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22"/>
          <w:szCs w:val="22"/>
          <w:color w:val="333333"/>
        </w:rPr>
        <w:t xml:space="preserve">California Resources Corporation is the largest oil and natural gas exploration and production company in California. The Company operates its large conventional and diverse resource base exclusively within the State of California, applying complementary and integrated infrastructure to gather, process and market its production. Using advanced technology, the Company </w:t>
      </w:r>
      <w:r>
        <w:rPr>
          <w:rFonts w:ascii="Arial" w:cs="Arial" w:eastAsia="Arial" w:hAnsi="Arial"/>
          <w:sz w:val="22"/>
          <w:szCs w:val="22"/>
          <w:color w:val="000000"/>
        </w:rPr>
        <w:t>focuses on safely and responsibly supplying affordable energy for California by</w:t>
      </w:r>
      <w:r>
        <w:rPr>
          <w:rFonts w:ascii="Arial" w:cs="Arial" w:eastAsia="Arial" w:hAnsi="Arial"/>
          <w:sz w:val="22"/>
          <w:szCs w:val="22"/>
          <w:color w:val="333333"/>
        </w:rPr>
        <w:t xml:space="preserve"> </w:t>
      </w:r>
      <w:r>
        <w:rPr>
          <w:rFonts w:ascii="Arial" w:cs="Arial" w:eastAsia="Arial" w:hAnsi="Arial"/>
          <w:sz w:val="22"/>
          <w:szCs w:val="22"/>
          <w:color w:val="000000"/>
        </w:rPr>
        <w:t>Californians.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7"/>
              </w:rPr>
              <w:t>CRC Contacts:</w:t>
            </w:r>
          </w:p>
        </w:tc>
        <w:tc>
          <w:tcPr>
            <w:tcW w:w="344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2760" w:type="dxa"/>
            <w:vAlign w:val="bottom"/>
          </w:tcPr>
          <w:p>
            <w:pPr>
              <w:spacing w:after="0"/>
              <w:rPr>
                <w:sz w:val="21"/>
                <w:szCs w:val="21"/>
                <w:color w:val="auto"/>
              </w:rPr>
            </w:pPr>
          </w:p>
        </w:tc>
      </w:tr>
      <w:tr>
        <w:trPr>
          <w:trHeight w:val="553"/>
        </w:trPr>
        <w:tc>
          <w:tcPr>
            <w:tcW w:w="2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22"/>
                <w:szCs w:val="22"/>
                <w:color w:val="auto"/>
              </w:rPr>
              <w:t>Scott Espenshade (Investor Relations)</w:t>
            </w:r>
          </w:p>
        </w:tc>
        <w:tc>
          <w:tcPr>
            <w:tcW w:w="3740" w:type="dxa"/>
            <w:vAlign w:val="bottom"/>
            <w:gridSpan w:val="2"/>
          </w:tcPr>
          <w:p>
            <w:pPr>
              <w:ind w:left="980"/>
              <w:spacing w:after="0"/>
              <w:rPr>
                <w:sz w:val="20"/>
                <w:szCs w:val="20"/>
                <w:color w:val="auto"/>
              </w:rPr>
            </w:pPr>
            <w:r>
              <w:rPr>
                <w:rFonts w:ascii="Arial" w:cs="Arial" w:eastAsia="Arial" w:hAnsi="Arial"/>
                <w:sz w:val="22"/>
                <w:szCs w:val="22"/>
                <w:color w:val="auto"/>
              </w:rPr>
              <w:t>Margita Thompson (Media)</w:t>
            </w:r>
          </w:p>
        </w:tc>
      </w:tr>
      <w:tr>
        <w:trPr>
          <w:trHeight w:val="257"/>
        </w:trPr>
        <w:tc>
          <w:tcPr>
            <w:tcW w:w="1540" w:type="dxa"/>
            <w:vAlign w:val="bottom"/>
            <w:gridSpan w:val="2"/>
          </w:tcPr>
          <w:p>
            <w:pPr>
              <w:ind w:left="20"/>
              <w:spacing w:after="0"/>
              <w:rPr>
                <w:sz w:val="20"/>
                <w:szCs w:val="20"/>
                <w:color w:val="auto"/>
              </w:rPr>
            </w:pPr>
            <w:r>
              <w:rPr>
                <w:rFonts w:ascii="Arial" w:cs="Arial" w:eastAsia="Arial" w:hAnsi="Arial"/>
                <w:sz w:val="22"/>
                <w:szCs w:val="22"/>
                <w:color w:val="auto"/>
                <w:w w:val="99"/>
              </w:rPr>
              <w:t>(818) 661-6010</w:t>
            </w:r>
          </w:p>
        </w:tc>
        <w:tc>
          <w:tcPr>
            <w:tcW w:w="12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740" w:type="dxa"/>
            <w:vAlign w:val="bottom"/>
            <w:gridSpan w:val="2"/>
          </w:tcPr>
          <w:p>
            <w:pPr>
              <w:ind w:left="980"/>
              <w:spacing w:after="0"/>
              <w:rPr>
                <w:sz w:val="20"/>
                <w:szCs w:val="20"/>
                <w:color w:val="auto"/>
              </w:rPr>
            </w:pPr>
            <w:r>
              <w:rPr>
                <w:rFonts w:ascii="Arial" w:cs="Arial" w:eastAsia="Arial" w:hAnsi="Arial"/>
                <w:sz w:val="22"/>
                <w:szCs w:val="22"/>
                <w:color w:val="auto"/>
              </w:rPr>
              <w:t>(818) 661-6005</w:t>
            </w:r>
          </w:p>
        </w:tc>
      </w:tr>
      <w:tr>
        <w:trPr>
          <w:trHeight w:val="237"/>
        </w:trPr>
        <w:tc>
          <w:tcPr>
            <w:tcW w:w="20" w:type="dxa"/>
            <w:vAlign w:val="bottom"/>
          </w:tcPr>
          <w:p>
            <w:pPr>
              <w:spacing w:after="0"/>
              <w:rPr>
                <w:sz w:val="20"/>
                <w:szCs w:val="20"/>
                <w:color w:val="auto"/>
              </w:rPr>
            </w:pPr>
          </w:p>
        </w:tc>
        <w:tc>
          <w:tcPr>
            <w:tcW w:w="2740" w:type="dxa"/>
            <w:vAlign w:val="bottom"/>
            <w:gridSpan w:val="2"/>
          </w:tcPr>
          <w:p>
            <w:pPr>
              <w:spacing w:after="0" w:line="237" w:lineRule="exact"/>
              <w:rPr>
                <w:sz w:val="20"/>
                <w:szCs w:val="20"/>
                <w:color w:val="auto"/>
              </w:rPr>
            </w:pPr>
            <w:r>
              <w:rPr>
                <w:rFonts w:ascii="Arial" w:cs="Arial" w:eastAsia="Arial" w:hAnsi="Arial"/>
                <w:sz w:val="22"/>
                <w:szCs w:val="22"/>
                <w:color w:val="auto"/>
                <w:w w:val="97"/>
              </w:rPr>
              <w:t>Scott.Espenshade@crc.com</w:t>
            </w:r>
          </w:p>
        </w:tc>
        <w:tc>
          <w:tcPr>
            <w:tcW w:w="2220" w:type="dxa"/>
            <w:vAlign w:val="bottom"/>
          </w:tcPr>
          <w:p>
            <w:pPr>
              <w:spacing w:after="0"/>
              <w:rPr>
                <w:sz w:val="20"/>
                <w:szCs w:val="20"/>
                <w:color w:val="auto"/>
              </w:rPr>
            </w:pPr>
          </w:p>
        </w:tc>
        <w:tc>
          <w:tcPr>
            <w:tcW w:w="3740" w:type="dxa"/>
            <w:vAlign w:val="bottom"/>
            <w:gridSpan w:val="2"/>
          </w:tcPr>
          <w:p>
            <w:pPr>
              <w:ind w:left="980"/>
              <w:spacing w:after="0" w:line="237" w:lineRule="exact"/>
              <w:rPr>
                <w:sz w:val="20"/>
                <w:szCs w:val="20"/>
                <w:color w:val="auto"/>
              </w:rPr>
            </w:pPr>
            <w:r>
              <w:rPr>
                <w:rFonts w:ascii="Arial" w:cs="Arial" w:eastAsia="Arial" w:hAnsi="Arial"/>
                <w:sz w:val="22"/>
                <w:szCs w:val="22"/>
                <w:color w:val="auto"/>
                <w:w w:val="96"/>
              </w:rPr>
              <w:t>Margita.Thompson@crc.com</w:t>
            </w:r>
          </w:p>
        </w:tc>
      </w:tr>
      <w:tr>
        <w:trPr>
          <w:trHeight w:val="20"/>
        </w:trPr>
        <w:tc>
          <w:tcPr>
            <w:tcW w:w="20" w:type="dxa"/>
            <w:vAlign w:val="bottom"/>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669"/>
        </w:trPr>
        <w:tc>
          <w:tcPr>
            <w:tcW w:w="4980" w:type="dxa"/>
            <w:vAlign w:val="bottom"/>
            <w:gridSpan w:val="4"/>
          </w:tcPr>
          <w:p>
            <w:pPr>
              <w:spacing w:after="0"/>
              <w:rPr>
                <w:sz w:val="20"/>
                <w:szCs w:val="20"/>
                <w:color w:val="auto"/>
              </w:rPr>
            </w:pPr>
            <w:r>
              <w:rPr>
                <w:rFonts w:ascii="Arial" w:cs="Arial" w:eastAsia="Arial" w:hAnsi="Arial"/>
                <w:sz w:val="22"/>
                <w:szCs w:val="22"/>
                <w:color w:val="auto"/>
              </w:rPr>
              <w:t>Source: California Resources Corporation</w:t>
            </w:r>
          </w:p>
        </w:tc>
        <w:tc>
          <w:tcPr>
            <w:tcW w:w="98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2021-01-15T05:26:55Z</dcterms:created>
  <dcterms:modified xsi:type="dcterms:W3CDTF">2021-01-15T05:26:55Z</dcterms:modified>
</cp:coreProperties>
</file>