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029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9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Helm Michael S.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Controller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jc w:val="center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720" w:type="dxa"/>
            <w:vAlign w:val="bottom"/>
            <w:gridSpan w:val="7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25,000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95,729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center"/>
              <w:ind w:left="6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46,667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08/05/2015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46,667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3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46,667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 (RSUs) under California Resources Corporation's (CRC) Long-Term Incentive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annual installments beginning on August 4, 2016.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annual installments beginning on August 4, 2016.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-8255</wp:posOffset>
            </wp:positionV>
            <wp:extent cx="9683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Michael S. 08/07/2015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Helm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444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68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2019-12-09T04:38:18Z</dcterms:created>
  <dcterms:modified xsi:type="dcterms:W3CDTF">2019-12-09T04:38:18Z</dcterms:modified>
</cp:coreProperties>
</file>